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75180_10q.htm"/>
      <w:bookmarkStart w:id="1" w:name="ksef20075180_10q"/>
      <w:bookmarkStart w:id="2" w:name="ef20075180_10q.htm"/>
      <w:bookmarkStart w:id="3" w:name="ksef20075180_10q"/>
      <w:bookmarkEnd w:id="2"/>
      <w:bookmarkEnd w:id="3"/>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10-Q</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0"/>
              <w:jc w:val="left"/>
              <w:rPr>
                <w:b/>
              </w:rPr>
            </w:pPr>
            <w:r>
              <w:rPr>
                <w:b/>
              </w:rPr>
              <w:t>QUARTERLY REPORT PURSUANT TO SECTION 13 OR 15(d) OF THE SECURITIES EXCHANGE ACT OF 1934 FOR THE QUARTERLY PERIOD ENDED JUNE 30, 2026</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OR</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0"/>
              <w:jc w:val="left"/>
              <w:rPr>
                <w:b/>
              </w:rPr>
            </w:pPr>
            <w:r>
              <w:rPr>
                <w:b/>
              </w:rPr>
              <w:t>TRANSITION REPORT PURSUANT TO SECTION 13 OR 15(d) OF THE SECURITIES EXCHANGE ACT OF 1934 FOR THE TRANSITION PERIOD FROM ____________ TO ____________</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 xml:space="preserve">Commission File Number: </w:t>
      </w:r>
      <w:r>
        <w:rPr>
          <w:rFonts w:ascii="Times New Roman" w:hAnsi="Times New Roman"/>
          <w:b/>
          <w:color w:val="000000"/>
          <w:sz w:val="20"/>
          <w:shd w:fill="FFFFFF" w:val="clear"/>
        </w:rPr>
        <w:t>001-12421</w:t>
      </w:r>
    </w:p>
    <w:p>
      <w:pPr>
        <w:pStyle w:val="TextBody"/>
        <w:bidi w:val="0"/>
        <w:spacing w:before="0" w:after="0"/>
        <w:jc w:val="left"/>
        <w:rPr/>
      </w:pPr>
      <w:r>
        <w:rPr/>
      </w:r>
    </w:p>
    <w:tbl>
      <w:tblPr>
        <w:tblW w:w="6905" w:type="dxa"/>
        <w:jc w:val="left"/>
        <w:tblInd w:w="0" w:type="dxa"/>
        <w:tblLayout w:type="fixed"/>
        <w:tblCellMar>
          <w:top w:w="0" w:type="dxa"/>
          <w:left w:w="0" w:type="dxa"/>
          <w:bottom w:w="0" w:type="dxa"/>
          <w:right w:w="0" w:type="dxa"/>
        </w:tblCellMar>
      </w:tblPr>
      <w:tblGrid>
        <w:gridCol w:w="90"/>
        <w:gridCol w:w="6695"/>
        <w:gridCol w:w="120"/>
      </w:tblGrid>
      <w:tr>
        <w:trPr/>
        <w:tc>
          <w:tcPr>
            <w:tcW w:w="90" w:type="dxa"/>
            <w:tcBorders/>
            <w:vAlign w:val="center"/>
          </w:tcPr>
          <w:p>
            <w:pPr>
              <w:pStyle w:val="TableContents"/>
              <w:bidi w:val="0"/>
              <w:spacing w:before="0" w:after="283"/>
              <w:jc w:val="left"/>
              <w:rPr/>
            </w:pPr>
            <w:r>
              <w:rPr/>
              <w:t> </w:t>
            </w:r>
          </w:p>
        </w:tc>
        <w:tc>
          <w:tcPr>
            <w:tcW w:w="6695" w:type="dxa"/>
            <w:tcBorders>
              <w:bottom w:val="single" w:sz="12" w:space="0" w:color="000000"/>
            </w:tcBorders>
            <w:tcMar>
              <w:bottom w:w="28" w:type="dxa"/>
            </w:tcMar>
            <w:vAlign w:val="center"/>
          </w:tcPr>
          <w:p>
            <w:pPr>
              <w:pStyle w:val="TableContents"/>
              <w:bidi w:val="0"/>
              <w:spacing w:before="0" w:after="0"/>
              <w:jc w:val="center"/>
              <w:rPr>
                <w:b/>
                <w:color w:val="000000"/>
                <w:sz w:val="48"/>
              </w:rPr>
            </w:pPr>
            <w:r>
              <w:rPr>
                <w:b/>
                <w:color w:val="000000"/>
                <w:sz w:val="48"/>
              </w:rPr>
              <w:t>NU SKIN ENTERPRISES, INC.</w:t>
            </w:r>
          </w:p>
        </w:tc>
        <w:tc>
          <w:tcPr>
            <w:tcW w:w="120" w:type="dxa"/>
            <w:tcBorders/>
            <w:vAlign w:val="center"/>
          </w:tcPr>
          <w:p>
            <w:pPr>
              <w:pStyle w:val="TableContents"/>
              <w:bidi w:val="0"/>
              <w:spacing w:before="0" w:after="283"/>
              <w:jc w:val="left"/>
              <w:rPr/>
            </w:pPr>
            <w:r>
              <w:rPr/>
              <w:t> </w:t>
            </w:r>
          </w:p>
        </w:tc>
      </w:tr>
      <w:tr>
        <w:trPr/>
        <w:tc>
          <w:tcPr>
            <w:tcW w:w="90" w:type="dxa"/>
            <w:tcBorders/>
            <w:vAlign w:val="center"/>
          </w:tcPr>
          <w:p>
            <w:pPr>
              <w:pStyle w:val="TableContents"/>
              <w:bidi w:val="0"/>
              <w:spacing w:before="0" w:after="283"/>
              <w:jc w:val="left"/>
              <w:rPr/>
            </w:pPr>
            <w:r>
              <w:rPr/>
              <w:t> </w:t>
            </w:r>
          </w:p>
        </w:tc>
        <w:tc>
          <w:tcPr>
            <w:tcW w:w="6695" w:type="dxa"/>
            <w:tcBorders/>
            <w:vAlign w:val="center"/>
          </w:tcPr>
          <w:p>
            <w:pPr>
              <w:pStyle w:val="TableContents"/>
              <w:bidi w:val="0"/>
              <w:spacing w:before="0" w:after="0"/>
              <w:jc w:val="center"/>
              <w:rPr>
                <w:color w:val="000000"/>
              </w:rPr>
            </w:pPr>
            <w:r>
              <w:rPr>
                <w:color w:val="000000"/>
              </w:rPr>
              <w:t>(Exact name of registrant as specified in its charter)</w:t>
            </w:r>
          </w:p>
        </w:tc>
        <w:tc>
          <w:tcPr>
            <w:tcW w:w="12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tbl>
      <w:tblPr>
        <w:tblW w:w="9040" w:type="dxa"/>
        <w:jc w:val="left"/>
        <w:tblInd w:w="0" w:type="dxa"/>
        <w:tblLayout w:type="fixed"/>
        <w:tblCellMar>
          <w:top w:w="0" w:type="dxa"/>
          <w:left w:w="0" w:type="dxa"/>
          <w:bottom w:w="28" w:type="dxa"/>
          <w:right w:w="0" w:type="dxa"/>
        </w:tblCellMar>
      </w:tblPr>
      <w:tblGrid>
        <w:gridCol w:w="5630"/>
        <w:gridCol w:w="90"/>
        <w:gridCol w:w="3320"/>
      </w:tblGrid>
      <w:tr>
        <w:trPr/>
        <w:tc>
          <w:tcPr>
            <w:tcW w:w="5630" w:type="dxa"/>
            <w:tcBorders>
              <w:bottom w:val="single" w:sz="12" w:space="0" w:color="000000"/>
            </w:tcBorders>
            <w:vAlign w:val="center"/>
          </w:tcPr>
          <w:p>
            <w:pPr>
              <w:pStyle w:val="TableContents"/>
              <w:bidi w:val="0"/>
              <w:spacing w:before="0" w:after="0"/>
              <w:jc w:val="center"/>
              <w:rPr>
                <w:b/>
                <w:color w:val="000000"/>
              </w:rPr>
            </w:pPr>
            <w:r>
              <w:rPr>
                <w:b/>
                <w:color w:val="000000"/>
              </w:rPr>
              <w:t>Delaware</w:t>
            </w:r>
          </w:p>
        </w:tc>
        <w:tc>
          <w:tcPr>
            <w:tcW w:w="90" w:type="dxa"/>
            <w:tcBorders/>
            <w:tcMar>
              <w:bottom w:w="0" w:type="dxa"/>
            </w:tcMar>
            <w:vAlign w:val="center"/>
          </w:tcPr>
          <w:p>
            <w:pPr>
              <w:pStyle w:val="TableContents"/>
              <w:bidi w:val="0"/>
              <w:spacing w:before="0" w:after="283"/>
              <w:jc w:val="left"/>
              <w:rPr/>
            </w:pPr>
            <w:r>
              <w:rPr/>
              <w:t> </w:t>
            </w:r>
          </w:p>
        </w:tc>
        <w:tc>
          <w:tcPr>
            <w:tcW w:w="3320" w:type="dxa"/>
            <w:tcBorders>
              <w:bottom w:val="single" w:sz="12" w:space="0" w:color="000000"/>
            </w:tcBorders>
            <w:vAlign w:val="center"/>
          </w:tcPr>
          <w:p>
            <w:pPr>
              <w:pStyle w:val="TableContents"/>
              <w:bidi w:val="0"/>
              <w:spacing w:before="0" w:after="0"/>
              <w:jc w:val="center"/>
              <w:rPr>
                <w:b/>
                <w:color w:val="000000"/>
              </w:rPr>
            </w:pPr>
            <w:r>
              <w:rPr>
                <w:b/>
                <w:color w:val="000000"/>
              </w:rPr>
              <w:t>87-0565309</w:t>
            </w:r>
          </w:p>
        </w:tc>
      </w:tr>
      <w:tr>
        <w:trPr/>
        <w:tc>
          <w:tcPr>
            <w:tcW w:w="5630" w:type="dxa"/>
            <w:tcBorders/>
            <w:tcMar>
              <w:bottom w:w="0" w:type="dxa"/>
            </w:tcMar>
            <w:vAlign w:val="center"/>
          </w:tcPr>
          <w:p>
            <w:pPr>
              <w:pStyle w:val="TableContents"/>
              <w:bidi w:val="0"/>
              <w:spacing w:before="0" w:after="0"/>
              <w:jc w:val="center"/>
              <w:rPr>
                <w:color w:val="000000"/>
              </w:rPr>
            </w:pPr>
            <w:r>
              <w:rPr>
                <w:color w:val="000000"/>
              </w:rPr>
              <w:t>(State or other jurisdiction of incorporation or organization)</w:t>
            </w:r>
          </w:p>
        </w:tc>
        <w:tc>
          <w:tcPr>
            <w:tcW w:w="90" w:type="dxa"/>
            <w:tcBorders/>
            <w:tcMar>
              <w:bottom w:w="0" w:type="dxa"/>
            </w:tcMar>
            <w:vAlign w:val="center"/>
          </w:tcPr>
          <w:p>
            <w:pPr>
              <w:pStyle w:val="TableContents"/>
              <w:bidi w:val="0"/>
              <w:spacing w:before="0" w:after="283"/>
              <w:jc w:val="left"/>
              <w:rPr/>
            </w:pPr>
            <w:r>
              <w:rPr/>
              <w:t> </w:t>
            </w:r>
          </w:p>
        </w:tc>
        <w:tc>
          <w:tcPr>
            <w:tcW w:w="3320" w:type="dxa"/>
            <w:tcBorders/>
            <w:tcMar>
              <w:bottom w:w="0" w:type="dxa"/>
            </w:tcMar>
            <w:vAlign w:val="center"/>
          </w:tcPr>
          <w:p>
            <w:pPr>
              <w:pStyle w:val="TableContents"/>
              <w:bidi w:val="0"/>
              <w:spacing w:before="0" w:after="0"/>
              <w:jc w:val="center"/>
              <w:rPr>
                <w:color w:val="000000"/>
              </w:rPr>
            </w:pPr>
            <w:r>
              <w:rPr>
                <w:color w:val="000000"/>
              </w:rPr>
              <w:t>(IRS Employer Identification No.)</w:t>
            </w:r>
          </w:p>
        </w:tc>
      </w:tr>
    </w:tbl>
    <w:p>
      <w:pPr>
        <w:pStyle w:val="TextBody"/>
        <w:bidi w:val="0"/>
        <w:spacing w:before="0" w:after="0"/>
        <w:jc w:val="left"/>
        <w:rPr/>
      </w:pPr>
      <w:r>
        <w:rPr/>
      </w:r>
    </w:p>
    <w:tbl>
      <w:tblPr>
        <w:tblW w:w="5840" w:type="dxa"/>
        <w:jc w:val="left"/>
        <w:tblInd w:w="0" w:type="dxa"/>
        <w:tblLayout w:type="fixed"/>
        <w:tblCellMar>
          <w:top w:w="0" w:type="dxa"/>
          <w:left w:w="0" w:type="dxa"/>
          <w:bottom w:w="0" w:type="dxa"/>
          <w:right w:w="0" w:type="dxa"/>
        </w:tblCellMar>
      </w:tblPr>
      <w:tblGrid>
        <w:gridCol w:w="90"/>
        <w:gridCol w:w="5630"/>
        <w:gridCol w:w="120"/>
      </w:tblGrid>
      <w:tr>
        <w:trPr/>
        <w:tc>
          <w:tcPr>
            <w:tcW w:w="90" w:type="dxa"/>
            <w:tcBorders/>
            <w:vAlign w:val="center"/>
          </w:tcPr>
          <w:p>
            <w:pPr>
              <w:pStyle w:val="TableContents"/>
              <w:bidi w:val="0"/>
              <w:spacing w:before="0" w:after="283"/>
              <w:jc w:val="left"/>
              <w:rPr/>
            </w:pPr>
            <w:r>
              <w:rPr/>
              <w:t> </w:t>
            </w:r>
          </w:p>
        </w:tc>
        <w:tc>
          <w:tcPr>
            <w:tcW w:w="5630" w:type="dxa"/>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75 West Center Street</w:t>
            </w:r>
          </w:p>
          <w:p>
            <w:pPr>
              <w:pStyle w:val="TableContents"/>
              <w:bidi w:val="0"/>
              <w:spacing w:before="0" w:after="0"/>
              <w:jc w:val="center"/>
              <w:rPr>
                <w:b/>
                <w:color w:val="000000"/>
              </w:rPr>
            </w:pPr>
            <w:r>
              <w:rPr>
                <w:b/>
                <w:color w:val="000000"/>
              </w:rPr>
              <w:t>Provo, Utah 84601</w:t>
            </w:r>
          </w:p>
        </w:tc>
        <w:tc>
          <w:tcPr>
            <w:tcW w:w="120" w:type="dxa"/>
            <w:tcBorders/>
            <w:vAlign w:val="center"/>
          </w:tcPr>
          <w:p>
            <w:pPr>
              <w:pStyle w:val="TableContents"/>
              <w:bidi w:val="0"/>
              <w:spacing w:before="0" w:after="283"/>
              <w:jc w:val="left"/>
              <w:rPr/>
            </w:pPr>
            <w:r>
              <w:rPr/>
              <w:t> </w:t>
            </w:r>
          </w:p>
        </w:tc>
      </w:tr>
      <w:tr>
        <w:trPr/>
        <w:tc>
          <w:tcPr>
            <w:tcW w:w="9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0"/>
              <w:jc w:val="center"/>
              <w:rPr>
                <w:color w:val="000000"/>
              </w:rPr>
            </w:pPr>
            <w:r>
              <w:rPr>
                <w:color w:val="000000"/>
              </w:rPr>
              <w:t>(Address of principal executive offices, including zip code)</w:t>
            </w:r>
          </w:p>
        </w:tc>
        <w:tc>
          <w:tcPr>
            <w:tcW w:w="120" w:type="dxa"/>
            <w:tcBorders/>
            <w:vAlign w:val="center"/>
          </w:tcPr>
          <w:p>
            <w:pPr>
              <w:pStyle w:val="TableContents"/>
              <w:bidi w:val="0"/>
              <w:spacing w:before="0" w:after="283"/>
              <w:jc w:val="left"/>
              <w:rPr/>
            </w:pPr>
            <w:r>
              <w:rPr/>
              <w:t> </w:t>
            </w:r>
          </w:p>
        </w:tc>
      </w:tr>
      <w:tr>
        <w:trPr/>
        <w:tc>
          <w:tcPr>
            <w:tcW w:w="9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r>
      <w:tr>
        <w:trPr/>
        <w:tc>
          <w:tcPr>
            <w:tcW w:w="90" w:type="dxa"/>
            <w:tcBorders/>
            <w:vAlign w:val="center"/>
          </w:tcPr>
          <w:p>
            <w:pPr>
              <w:pStyle w:val="TableContents"/>
              <w:bidi w:val="0"/>
              <w:spacing w:before="0" w:after="283"/>
              <w:jc w:val="left"/>
              <w:rPr/>
            </w:pPr>
            <w:r>
              <w:rPr/>
              <w:t> </w:t>
            </w:r>
          </w:p>
        </w:tc>
        <w:tc>
          <w:tcPr>
            <w:tcW w:w="5630" w:type="dxa"/>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(801) 345-1000</w:t>
            </w:r>
          </w:p>
        </w:tc>
        <w:tc>
          <w:tcPr>
            <w:tcW w:w="120" w:type="dxa"/>
            <w:tcBorders/>
            <w:vAlign w:val="center"/>
          </w:tcPr>
          <w:p>
            <w:pPr>
              <w:pStyle w:val="TableContents"/>
              <w:bidi w:val="0"/>
              <w:spacing w:before="0" w:after="283"/>
              <w:jc w:val="left"/>
              <w:rPr/>
            </w:pPr>
            <w:r>
              <w:rPr/>
              <w:t> </w:t>
            </w:r>
          </w:p>
        </w:tc>
      </w:tr>
      <w:tr>
        <w:trPr/>
        <w:tc>
          <w:tcPr>
            <w:tcW w:w="9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0"/>
              <w:jc w:val="center"/>
              <w:rPr>
                <w:color w:val="000000"/>
              </w:rPr>
            </w:pPr>
            <w:r>
              <w:rPr>
                <w:color w:val="000000"/>
              </w:rPr>
              <w:t>(Registrant’s telephone number, including area code)</w:t>
            </w:r>
          </w:p>
        </w:tc>
        <w:tc>
          <w:tcPr>
            <w:tcW w:w="12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3924"/>
        <w:gridCol w:w="90"/>
        <w:gridCol w:w="1831"/>
        <w:gridCol w:w="90"/>
        <w:gridCol w:w="4270"/>
      </w:tblGrid>
      <w:tr>
        <w:trPr/>
        <w:tc>
          <w:tcPr>
            <w:tcW w:w="3924" w:type="dxa"/>
            <w:tcBorders>
              <w:bottom w:val="single" w:sz="12" w:space="0" w:color="000000"/>
            </w:tcBorders>
            <w:vAlign w:val="center"/>
          </w:tcPr>
          <w:p>
            <w:pPr>
              <w:pStyle w:val="TableContents"/>
              <w:bidi w:val="0"/>
              <w:spacing w:before="0" w:after="0"/>
              <w:jc w:val="center"/>
              <w:rPr>
                <w:color w:val="000000"/>
              </w:rPr>
            </w:pPr>
            <w:r>
              <w:rPr>
                <w:color w:val="000000"/>
              </w:rPr>
              <w:t>Title of each class</w:t>
            </w:r>
          </w:p>
        </w:tc>
        <w:tc>
          <w:tcPr>
            <w:tcW w:w="90" w:type="dxa"/>
            <w:tcBorders/>
            <w:tcMar>
              <w:bottom w:w="0" w:type="dxa"/>
            </w:tcMar>
            <w:vAlign w:val="center"/>
          </w:tcPr>
          <w:p>
            <w:pPr>
              <w:pStyle w:val="TableContents"/>
              <w:bidi w:val="0"/>
              <w:spacing w:before="0" w:after="283"/>
              <w:jc w:val="left"/>
              <w:rPr/>
            </w:pPr>
            <w:r>
              <w:rPr/>
              <w:t> </w:t>
            </w:r>
          </w:p>
        </w:tc>
        <w:tc>
          <w:tcPr>
            <w:tcW w:w="1831" w:type="dxa"/>
            <w:tcBorders>
              <w:bottom w:val="single" w:sz="12" w:space="0" w:color="000000"/>
            </w:tcBorders>
            <w:vAlign w:val="center"/>
          </w:tcPr>
          <w:p>
            <w:pPr>
              <w:pStyle w:val="TableContents"/>
              <w:bidi w:val="0"/>
              <w:spacing w:before="0" w:after="0"/>
              <w:jc w:val="center"/>
              <w:rPr>
                <w:color w:val="000000"/>
              </w:rPr>
            </w:pPr>
            <w:r>
              <w:rPr>
                <w:color w:val="000000"/>
              </w:rPr>
              <w:t>Trading Symbol(s)</w:t>
            </w:r>
          </w:p>
        </w:tc>
        <w:tc>
          <w:tcPr>
            <w:tcW w:w="90" w:type="dxa"/>
            <w:tcBorders/>
            <w:tcMar>
              <w:bottom w:w="0" w:type="dxa"/>
            </w:tcMar>
            <w:vAlign w:val="center"/>
          </w:tcPr>
          <w:p>
            <w:pPr>
              <w:pStyle w:val="TableContents"/>
              <w:bidi w:val="0"/>
              <w:spacing w:before="0" w:after="283"/>
              <w:jc w:val="left"/>
              <w:rPr/>
            </w:pPr>
            <w:r>
              <w:rPr/>
              <w:t> </w:t>
            </w:r>
          </w:p>
        </w:tc>
        <w:tc>
          <w:tcPr>
            <w:tcW w:w="4270" w:type="dxa"/>
            <w:tcBorders>
              <w:bottom w:val="single" w:sz="12" w:space="0" w:color="000000"/>
            </w:tcBorders>
            <w:vAlign w:val="center"/>
          </w:tcPr>
          <w:p>
            <w:pPr>
              <w:pStyle w:val="TableContents"/>
              <w:bidi w:val="0"/>
              <w:spacing w:before="0" w:after="0"/>
              <w:jc w:val="center"/>
              <w:rPr>
                <w:color w:val="000000"/>
              </w:rPr>
            </w:pPr>
            <w:r>
              <w:rPr>
                <w:color w:val="000000"/>
              </w:rPr>
              <w:t>Name of each exchange on which registered</w:t>
            </w:r>
          </w:p>
        </w:tc>
      </w:tr>
      <w:tr>
        <w:trPr/>
        <w:tc>
          <w:tcPr>
            <w:tcW w:w="3924" w:type="dxa"/>
            <w:tcBorders/>
            <w:tcMar>
              <w:bottom w:w="0" w:type="dxa"/>
            </w:tcMar>
            <w:vAlign w:val="center"/>
          </w:tcPr>
          <w:p>
            <w:pPr>
              <w:pStyle w:val="TableContents"/>
              <w:bidi w:val="0"/>
              <w:spacing w:before="0" w:after="0"/>
              <w:jc w:val="center"/>
              <w:rPr>
                <w:color w:val="000000"/>
              </w:rPr>
            </w:pPr>
            <w:r>
              <w:rPr>
                <w:color w:val="000000"/>
              </w:rPr>
              <w:t>Class A Common Stock, $.001 par value</w:t>
            </w:r>
          </w:p>
        </w:tc>
        <w:tc>
          <w:tcPr>
            <w:tcW w:w="90" w:type="dxa"/>
            <w:tcBorders/>
            <w:tcMar>
              <w:bottom w:w="0" w:type="dxa"/>
            </w:tcMar>
            <w:vAlign w:val="center"/>
          </w:tcPr>
          <w:p>
            <w:pPr>
              <w:pStyle w:val="TableContents"/>
              <w:bidi w:val="0"/>
              <w:spacing w:before="0" w:after="283"/>
              <w:jc w:val="left"/>
              <w:rPr/>
            </w:pPr>
            <w:r>
              <w:rPr/>
              <w:t> </w:t>
            </w:r>
          </w:p>
        </w:tc>
        <w:tc>
          <w:tcPr>
            <w:tcW w:w="1831" w:type="dxa"/>
            <w:tcBorders/>
            <w:tcMar>
              <w:bottom w:w="0" w:type="dxa"/>
            </w:tcMar>
            <w:vAlign w:val="center"/>
          </w:tcPr>
          <w:p>
            <w:pPr>
              <w:pStyle w:val="TableContents"/>
              <w:bidi w:val="0"/>
              <w:spacing w:before="0" w:after="0"/>
              <w:jc w:val="center"/>
              <w:rPr>
                <w:color w:val="000000"/>
              </w:rPr>
            </w:pPr>
            <w:r>
              <w:rPr>
                <w:color w:val="000000"/>
              </w:rPr>
              <w:t>NUS</w:t>
            </w:r>
          </w:p>
        </w:tc>
        <w:tc>
          <w:tcPr>
            <w:tcW w:w="90" w:type="dxa"/>
            <w:tcBorders/>
            <w:tcMar>
              <w:bottom w:w="0" w:type="dxa"/>
            </w:tcMar>
            <w:vAlign w:val="center"/>
          </w:tcPr>
          <w:p>
            <w:pPr>
              <w:pStyle w:val="TableContents"/>
              <w:bidi w:val="0"/>
              <w:spacing w:before="0" w:after="283"/>
              <w:jc w:val="left"/>
              <w:rPr/>
            </w:pPr>
            <w:r>
              <w:rPr/>
              <w:t> </w:t>
            </w:r>
          </w:p>
        </w:tc>
        <w:tc>
          <w:tcPr>
            <w:tcW w:w="4270" w:type="dxa"/>
            <w:tcBorders/>
            <w:tcMar>
              <w:bottom w:w="0" w:type="dxa"/>
            </w:tcMar>
            <w:vAlign w:val="center"/>
          </w:tcPr>
          <w:p>
            <w:pPr>
              <w:pStyle w:val="TableContents"/>
              <w:bidi w:val="0"/>
              <w:spacing w:before="0" w:after="0"/>
              <w:jc w:val="center"/>
              <w:rPr>
                <w:color w:val="000000"/>
              </w:rPr>
            </w:pPr>
            <w:r>
              <w:rPr>
                <w:color w:val="000000"/>
              </w:rPr>
              <w:t>New York Stock Exchange</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   No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r>
    </w:p>
    <w:tbl>
      <w:tblPr>
        <w:tblW w:w="5545" w:type="dxa"/>
        <w:jc w:val="left"/>
        <w:tblInd w:w="0" w:type="dxa"/>
        <w:tblLayout w:type="fixed"/>
        <w:tblCellMar>
          <w:top w:w="0" w:type="dxa"/>
          <w:left w:w="0" w:type="dxa"/>
          <w:bottom w:w="0" w:type="dxa"/>
          <w:right w:w="0" w:type="dxa"/>
        </w:tblCellMar>
      </w:tblPr>
      <w:tblGrid>
        <w:gridCol w:w="2540"/>
        <w:gridCol w:w="3005"/>
      </w:tblGrid>
      <w:tr>
        <w:trPr/>
        <w:tc>
          <w:tcPr>
            <w:tcW w:w="2540" w:type="dxa"/>
            <w:tcBorders/>
            <w:vAlign w:val="center"/>
          </w:tcPr>
          <w:p>
            <w:pPr>
              <w:pStyle w:val="TableContents"/>
              <w:bidi w:val="0"/>
              <w:spacing w:before="0" w:after="0"/>
              <w:jc w:val="left"/>
              <w:rPr>
                <w:color w:val="000000"/>
              </w:rPr>
            </w:pPr>
            <w:r>
              <w:rPr>
                <w:color w:val="000000"/>
              </w:rPr>
              <w:t>Large accelerated filer   ☐</w:t>
            </w:r>
          </w:p>
        </w:tc>
        <w:tc>
          <w:tcPr>
            <w:tcW w:w="3005" w:type="dxa"/>
            <w:tcBorders/>
            <w:vAlign w:val="center"/>
          </w:tcPr>
          <w:p>
            <w:pPr>
              <w:pStyle w:val="TableContents"/>
              <w:bidi w:val="0"/>
              <w:spacing w:before="0" w:after="0"/>
              <w:jc w:val="left"/>
              <w:rPr>
                <w:color w:val="000000"/>
              </w:rPr>
            </w:pPr>
            <w:r>
              <w:rPr>
                <w:color w:val="000000"/>
              </w:rPr>
              <w:t>Accelerated filer   ☑</w:t>
            </w:r>
          </w:p>
        </w:tc>
      </w:tr>
      <w:tr>
        <w:trPr/>
        <w:tc>
          <w:tcPr>
            <w:tcW w:w="2540" w:type="dxa"/>
            <w:tcBorders/>
            <w:vAlign w:val="center"/>
          </w:tcPr>
          <w:p>
            <w:pPr>
              <w:pStyle w:val="TableContents"/>
              <w:bidi w:val="0"/>
              <w:spacing w:before="0" w:after="0"/>
              <w:jc w:val="left"/>
              <w:rPr>
                <w:color w:val="000000"/>
              </w:rPr>
            </w:pPr>
            <w:r>
              <w:rPr>
                <w:color w:val="000000"/>
              </w:rPr>
              <w:t>Non-accelerated filer   ☐</w:t>
            </w:r>
          </w:p>
        </w:tc>
        <w:tc>
          <w:tcPr>
            <w:tcW w:w="3005" w:type="dxa"/>
            <w:tcBorders/>
            <w:vAlign w:val="center"/>
          </w:tcPr>
          <w:p>
            <w:pPr>
              <w:pStyle w:val="TableContents"/>
              <w:bidi w:val="0"/>
              <w:spacing w:before="0" w:after="0"/>
              <w:jc w:val="left"/>
              <w:rPr>
                <w:color w:val="000000"/>
              </w:rPr>
            </w:pPr>
            <w:r>
              <w:rPr>
                <w:color w:val="000000"/>
              </w:rPr>
              <w:t>Smaller reporting company  ☐</w:t>
            </w:r>
          </w:p>
        </w:tc>
      </w:tr>
      <w:tr>
        <w:trPr/>
        <w:tc>
          <w:tcPr>
            <w:tcW w:w="254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0"/>
              <w:jc w:val="left"/>
              <w:rPr>
                <w:color w:val="000000"/>
              </w:rPr>
            </w:pPr>
            <w:r>
              <w:rPr>
                <w:color w:val="000000"/>
              </w:rPr>
              <w:t>Emerging growth company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 shell company (as defined in Rule 12b-2 of the Exchange Act). Yes  ☐    No  ☑</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As of July 31, 2026, 48,676,634 shares of the registrant’s Class A common stock, $.001 par value per share, were outstanding.</w:t>
      </w:r>
    </w:p>
    <w:p>
      <w:pPr>
        <w:pStyle w:val="TextBody"/>
        <w:bidi w:val="0"/>
        <w:spacing w:before="0" w:after="0"/>
        <w:jc w:val="left"/>
        <w:rPr/>
      </w:pPr>
      <w:r>
        <w:rPr/>
      </w:r>
    </w:p>
    <w:p>
      <w:pPr>
        <w:pStyle w:val="HorizontalLine"/>
        <w:bidi w:val="0"/>
        <w:jc w:val="left"/>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NU SKIN ENTERPRISES, INC.</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QUARTERLY REPORT ON FORM 10-Q – SECOND QUARTER 2026</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bookmarkStart w:id="4" w:name="TABLEOFCONTENTS"/>
      <w:bookmarkEnd w:id="4"/>
      <w:r>
        <w:rPr>
          <w:rFonts w:ascii="Times New Roman" w:hAnsi="Times New Roman"/>
          <w:b/>
          <w:color w:val="000000"/>
          <w:sz w:val="20"/>
          <w:shd w:fill="FFFFFF" w:val="clear"/>
        </w:rPr>
        <w:t>TABLE OF CONTENTS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78"/>
        <w:gridCol w:w="859"/>
        <w:gridCol w:w="8021"/>
        <w:gridCol w:w="547"/>
      </w:tblGrid>
      <w:tr>
        <w:trPr/>
        <w:tc>
          <w:tcPr>
            <w:tcW w:w="778" w:type="dxa"/>
            <w:tcBorders/>
            <w:vAlign w:val="center"/>
          </w:tcPr>
          <w:p>
            <w:pPr>
              <w:pStyle w:val="TableContents"/>
              <w:bidi w:val="0"/>
              <w:spacing w:before="0" w:after="283"/>
              <w:jc w:val="left"/>
              <w:rPr/>
            </w:pPr>
            <w:r>
              <w:rPr/>
              <w:t> </w:t>
            </w:r>
          </w:p>
        </w:tc>
        <w:tc>
          <w:tcPr>
            <w:tcW w:w="8880" w:type="dxa"/>
            <w:gridSpan w:val="2"/>
            <w:tcBorders/>
            <w:vAlign w:val="center"/>
          </w:tcPr>
          <w:p>
            <w:pPr>
              <w:pStyle w:val="TableContents"/>
              <w:bidi w:val="0"/>
              <w:spacing w:before="0" w:after="283"/>
              <w:jc w:val="left"/>
              <w:rPr/>
            </w:pPr>
            <w:r>
              <w:rPr/>
              <w:t> </w:t>
            </w:r>
          </w:p>
        </w:tc>
        <w:tc>
          <w:tcPr>
            <w:tcW w:w="547" w:type="dxa"/>
            <w:tcBorders>
              <w:bottom w:val="single" w:sz="12" w:space="0" w:color="000000"/>
            </w:tcBorders>
            <w:tcMar>
              <w:bottom w:w="28" w:type="dxa"/>
            </w:tcMar>
            <w:vAlign w:val="center"/>
          </w:tcPr>
          <w:p>
            <w:pPr>
              <w:pStyle w:val="TableContents"/>
              <w:bidi w:val="0"/>
              <w:spacing w:before="0" w:after="0"/>
              <w:jc w:val="center"/>
              <w:rPr>
                <w:color w:val="000000"/>
              </w:rPr>
            </w:pPr>
            <w:r>
              <w:rPr>
                <w:color w:val="000000"/>
              </w:rPr>
              <w:t>Page</w:t>
            </w:r>
          </w:p>
        </w:tc>
      </w:tr>
      <w:tr>
        <w:trPr/>
        <w:tc>
          <w:tcPr>
            <w:tcW w:w="778" w:type="dxa"/>
            <w:tcBorders/>
            <w:vAlign w:val="center"/>
          </w:tcPr>
          <w:p>
            <w:pPr>
              <w:pStyle w:val="TableContents"/>
              <w:bidi w:val="0"/>
              <w:spacing w:before="0" w:after="0"/>
              <w:jc w:val="left"/>
              <w:rPr>
                <w:b/>
                <w:color w:val="000000"/>
              </w:rPr>
            </w:pPr>
            <w:r>
              <w:rPr>
                <w:b/>
                <w:color w:val="000000"/>
              </w:rPr>
              <w:t>Part I.</w:t>
            </w:r>
          </w:p>
        </w:tc>
        <w:tc>
          <w:tcPr>
            <w:tcW w:w="8880" w:type="dxa"/>
            <w:gridSpan w:val="2"/>
            <w:tcBorders/>
            <w:vAlign w:val="center"/>
          </w:tcPr>
          <w:p>
            <w:pPr>
              <w:pStyle w:val="TableContents"/>
              <w:bidi w:val="0"/>
              <w:spacing w:before="0" w:after="0"/>
              <w:jc w:val="left"/>
              <w:rPr>
                <w:b/>
                <w:color w:val="000000"/>
              </w:rPr>
            </w:pPr>
            <w:r>
              <w:rPr>
                <w:b/>
                <w:color w:val="000000"/>
              </w:rPr>
              <w:t>Financial Information</w:t>
            </w:r>
          </w:p>
        </w:tc>
        <w:tc>
          <w:tcPr>
            <w:tcW w:w="547" w:type="dxa"/>
            <w:tcBorders/>
            <w:vAlign w:val="center"/>
          </w:tcPr>
          <w:p>
            <w:pPr>
              <w:pStyle w:val="TableContents"/>
              <w:bidi w:val="0"/>
              <w:spacing w:before="0" w:after="283"/>
              <w:jc w:val="left"/>
              <w:rPr/>
            </w:pPr>
            <w:r>
              <w:rPr/>
              <w:t> </w:t>
            </w:r>
          </w:p>
        </w:tc>
      </w:tr>
      <w:tr>
        <w:trPr/>
        <w:tc>
          <w:tcPr>
            <w:tcW w:w="778"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0"/>
              <w:jc w:val="left"/>
              <w:rPr>
                <w:color w:val="000000"/>
              </w:rPr>
            </w:pPr>
            <w:r>
              <w:rPr>
                <w:color w:val="000000"/>
              </w:rPr>
              <w:t>Item 1.</w:t>
            </w:r>
          </w:p>
        </w:tc>
        <w:tc>
          <w:tcPr>
            <w:tcW w:w="8021" w:type="dxa"/>
            <w:tcBorders/>
            <w:shd w:fill="CCEEFF" w:val="clear"/>
            <w:vAlign w:val="center"/>
          </w:tcPr>
          <w:p>
            <w:pPr>
              <w:pStyle w:val="TableContents"/>
              <w:bidi w:val="0"/>
              <w:spacing w:before="0" w:after="0"/>
              <w:jc w:val="left"/>
              <w:rPr/>
            </w:pPr>
            <w:hyperlink w:anchor="FINANCIALSTATEMENTS">
              <w:r>
                <w:rPr>
                  <w:rStyle w:val="InternetLink"/>
                  <w:color w:val="000000"/>
                </w:rPr>
                <w:t>Financial Statements (Unaudited):</w:t>
              </w:r>
            </w:hyperlink>
          </w:p>
        </w:tc>
        <w:tc>
          <w:tcPr>
            <w:tcW w:w="547" w:type="dxa"/>
            <w:tcBorders/>
            <w:shd w:fill="CCEEFF" w:val="clear"/>
            <w:vAlign w:val="center"/>
          </w:tcPr>
          <w:p>
            <w:pPr>
              <w:pStyle w:val="TableContents"/>
              <w:bidi w:val="0"/>
              <w:spacing w:before="0" w:after="283"/>
              <w:jc w:val="left"/>
              <w:rPr/>
            </w:pPr>
            <w:r>
              <w:rPr/>
              <w:t> </w:t>
            </w:r>
          </w:p>
        </w:tc>
      </w:tr>
      <w:tr>
        <w:trPr/>
        <w:tc>
          <w:tcPr>
            <w:tcW w:w="778"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left"/>
              <w:rPr/>
            </w:pPr>
            <w:r>
              <w:rPr/>
              <w:t> </w:t>
            </w:r>
          </w:p>
        </w:tc>
        <w:tc>
          <w:tcPr>
            <w:tcW w:w="8021" w:type="dxa"/>
            <w:tcBorders/>
            <w:vAlign w:val="center"/>
          </w:tcPr>
          <w:p>
            <w:pPr>
              <w:pStyle w:val="TableContents"/>
              <w:bidi w:val="0"/>
              <w:spacing w:before="0" w:after="0"/>
              <w:jc w:val="left"/>
              <w:rPr/>
            </w:pPr>
            <w:hyperlink w:anchor="BalanceSheets">
              <w:r>
                <w:rPr>
                  <w:rStyle w:val="InternetLink"/>
                  <w:color w:val="000000"/>
                </w:rPr>
                <w:t>Consolidated Balance Sheets</w:t>
              </w:r>
            </w:hyperlink>
          </w:p>
        </w:tc>
        <w:tc>
          <w:tcPr>
            <w:tcW w:w="547" w:type="dxa"/>
            <w:tcBorders/>
            <w:vAlign w:val="center"/>
          </w:tcPr>
          <w:p>
            <w:pPr>
              <w:pStyle w:val="TableContents"/>
              <w:bidi w:val="0"/>
              <w:spacing w:before="0" w:after="0"/>
              <w:jc w:val="center"/>
              <w:rPr>
                <w:color w:val="000000"/>
              </w:rPr>
            </w:pPr>
            <w:r>
              <w:rPr>
                <w:color w:val="000000"/>
              </w:rPr>
              <w:t>1</w:t>
            </w:r>
          </w:p>
        </w:tc>
      </w:tr>
      <w:tr>
        <w:trPr/>
        <w:tc>
          <w:tcPr>
            <w:tcW w:w="778"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left"/>
              <w:rPr/>
            </w:pPr>
            <w:r>
              <w:rPr/>
              <w:t> </w:t>
            </w:r>
          </w:p>
        </w:tc>
        <w:tc>
          <w:tcPr>
            <w:tcW w:w="8021" w:type="dxa"/>
            <w:tcBorders/>
            <w:shd w:fill="CCEEFF" w:val="clear"/>
            <w:vAlign w:val="center"/>
          </w:tcPr>
          <w:p>
            <w:pPr>
              <w:pStyle w:val="TableContents"/>
              <w:bidi w:val="0"/>
              <w:spacing w:before="0" w:after="0"/>
              <w:jc w:val="left"/>
              <w:rPr/>
            </w:pPr>
            <w:hyperlink w:anchor="StatementsofIncome">
              <w:r>
                <w:rPr>
                  <w:rStyle w:val="InternetLink"/>
                  <w:color w:val="000000"/>
                </w:rPr>
                <w:t>Consolidated Statements of Income</w:t>
              </w:r>
            </w:hyperlink>
          </w:p>
        </w:tc>
        <w:tc>
          <w:tcPr>
            <w:tcW w:w="547" w:type="dxa"/>
            <w:tcBorders/>
            <w:shd w:fill="CCEEFF" w:val="clear"/>
            <w:vAlign w:val="center"/>
          </w:tcPr>
          <w:p>
            <w:pPr>
              <w:pStyle w:val="TableContents"/>
              <w:bidi w:val="0"/>
              <w:spacing w:before="0" w:after="0"/>
              <w:jc w:val="center"/>
              <w:rPr>
                <w:color w:val="000000"/>
              </w:rPr>
            </w:pPr>
            <w:r>
              <w:rPr>
                <w:color w:val="000000"/>
              </w:rPr>
              <w:t>2</w:t>
            </w:r>
          </w:p>
        </w:tc>
      </w:tr>
      <w:tr>
        <w:trPr/>
        <w:tc>
          <w:tcPr>
            <w:tcW w:w="778"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left"/>
              <w:rPr/>
            </w:pPr>
            <w:r>
              <w:rPr/>
              <w:t> </w:t>
            </w:r>
          </w:p>
        </w:tc>
        <w:tc>
          <w:tcPr>
            <w:tcW w:w="8021" w:type="dxa"/>
            <w:tcBorders/>
            <w:vAlign w:val="center"/>
          </w:tcPr>
          <w:p>
            <w:pPr>
              <w:pStyle w:val="TableContents"/>
              <w:bidi w:val="0"/>
              <w:spacing w:before="0" w:after="0"/>
              <w:jc w:val="left"/>
              <w:rPr/>
            </w:pPr>
            <w:hyperlink w:anchor="ComprehensiveIncome">
              <w:r>
                <w:rPr>
                  <w:rStyle w:val="InternetLink"/>
                  <w:color w:val="000000"/>
                </w:rPr>
                <w:t>Consolidated Statements of Comprehensive Income</w:t>
              </w:r>
            </w:hyperlink>
          </w:p>
        </w:tc>
        <w:tc>
          <w:tcPr>
            <w:tcW w:w="547" w:type="dxa"/>
            <w:tcBorders/>
            <w:vAlign w:val="center"/>
          </w:tcPr>
          <w:p>
            <w:pPr>
              <w:pStyle w:val="TableContents"/>
              <w:bidi w:val="0"/>
              <w:spacing w:before="0" w:after="0"/>
              <w:jc w:val="center"/>
              <w:rPr>
                <w:color w:val="000000"/>
              </w:rPr>
            </w:pPr>
            <w:r>
              <w:rPr>
                <w:color w:val="000000"/>
              </w:rPr>
              <w:t>3</w:t>
            </w:r>
          </w:p>
        </w:tc>
      </w:tr>
      <w:tr>
        <w:trPr/>
        <w:tc>
          <w:tcPr>
            <w:tcW w:w="778"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left"/>
              <w:rPr/>
            </w:pPr>
            <w:r>
              <w:rPr/>
              <w:t> </w:t>
            </w:r>
          </w:p>
        </w:tc>
        <w:tc>
          <w:tcPr>
            <w:tcW w:w="8021" w:type="dxa"/>
            <w:tcBorders/>
            <w:shd w:fill="CCEEFF" w:val="clear"/>
            <w:vAlign w:val="center"/>
          </w:tcPr>
          <w:p>
            <w:pPr>
              <w:pStyle w:val="TableContents"/>
              <w:bidi w:val="0"/>
              <w:spacing w:before="0" w:after="0"/>
              <w:jc w:val="left"/>
              <w:rPr/>
            </w:pPr>
            <w:hyperlink w:anchor="StockholdersEquity">
              <w:r>
                <w:rPr>
                  <w:rStyle w:val="InternetLink"/>
                  <w:color w:val="000000"/>
                </w:rPr>
                <w:t>Consolidated Statements of Stockholders’ Equity</w:t>
              </w:r>
            </w:hyperlink>
          </w:p>
        </w:tc>
        <w:tc>
          <w:tcPr>
            <w:tcW w:w="547" w:type="dxa"/>
            <w:tcBorders/>
            <w:shd w:fill="CCEEFF" w:val="clear"/>
            <w:vAlign w:val="center"/>
          </w:tcPr>
          <w:p>
            <w:pPr>
              <w:pStyle w:val="TableContents"/>
              <w:bidi w:val="0"/>
              <w:spacing w:before="0" w:after="0"/>
              <w:jc w:val="center"/>
              <w:rPr>
                <w:color w:val="000000"/>
              </w:rPr>
            </w:pPr>
            <w:r>
              <w:rPr>
                <w:color w:val="000000"/>
              </w:rPr>
              <w:t>4</w:t>
            </w:r>
          </w:p>
        </w:tc>
      </w:tr>
      <w:tr>
        <w:trPr/>
        <w:tc>
          <w:tcPr>
            <w:tcW w:w="778"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left"/>
              <w:rPr/>
            </w:pPr>
            <w:r>
              <w:rPr/>
              <w:t> </w:t>
            </w:r>
          </w:p>
        </w:tc>
        <w:tc>
          <w:tcPr>
            <w:tcW w:w="8021" w:type="dxa"/>
            <w:tcBorders/>
            <w:vAlign w:val="center"/>
          </w:tcPr>
          <w:p>
            <w:pPr>
              <w:pStyle w:val="TableContents"/>
              <w:bidi w:val="0"/>
              <w:spacing w:before="0" w:after="0"/>
              <w:jc w:val="left"/>
              <w:rPr/>
            </w:pPr>
            <w:hyperlink w:anchor="CashFlows">
              <w:r>
                <w:rPr>
                  <w:rStyle w:val="InternetLink"/>
                  <w:color w:val="000000"/>
                </w:rPr>
                <w:t>Consolidated Statements of Cash Flows</w:t>
              </w:r>
            </w:hyperlink>
          </w:p>
        </w:tc>
        <w:tc>
          <w:tcPr>
            <w:tcW w:w="547" w:type="dxa"/>
            <w:tcBorders/>
            <w:vAlign w:val="center"/>
          </w:tcPr>
          <w:p>
            <w:pPr>
              <w:pStyle w:val="TableContents"/>
              <w:bidi w:val="0"/>
              <w:spacing w:before="0" w:after="0"/>
              <w:jc w:val="center"/>
              <w:rPr>
                <w:color w:val="000000"/>
              </w:rPr>
            </w:pPr>
            <w:r>
              <w:rPr>
                <w:color w:val="000000"/>
              </w:rPr>
              <w:t>6</w:t>
            </w:r>
          </w:p>
        </w:tc>
      </w:tr>
      <w:tr>
        <w:trPr/>
        <w:tc>
          <w:tcPr>
            <w:tcW w:w="778"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left"/>
              <w:rPr/>
            </w:pPr>
            <w:r>
              <w:rPr/>
              <w:t> </w:t>
            </w:r>
          </w:p>
        </w:tc>
        <w:tc>
          <w:tcPr>
            <w:tcW w:w="8021" w:type="dxa"/>
            <w:tcBorders/>
            <w:shd w:fill="CCEEFF" w:val="clear"/>
            <w:vAlign w:val="center"/>
          </w:tcPr>
          <w:p>
            <w:pPr>
              <w:pStyle w:val="TableContents"/>
              <w:bidi w:val="0"/>
              <w:spacing w:before="0" w:after="0"/>
              <w:jc w:val="left"/>
              <w:rPr/>
            </w:pPr>
            <w:hyperlink w:anchor="Notes">
              <w:r>
                <w:rPr>
                  <w:rStyle w:val="InternetLink"/>
                  <w:color w:val="000000"/>
                </w:rPr>
                <w:t>Notes to Consolidated Financial Statements</w:t>
              </w:r>
            </w:hyperlink>
          </w:p>
        </w:tc>
        <w:tc>
          <w:tcPr>
            <w:tcW w:w="547" w:type="dxa"/>
            <w:tcBorders/>
            <w:shd w:fill="CCEEFF" w:val="clear"/>
            <w:vAlign w:val="center"/>
          </w:tcPr>
          <w:p>
            <w:pPr>
              <w:pStyle w:val="TableContents"/>
              <w:bidi w:val="0"/>
              <w:spacing w:before="0" w:after="0"/>
              <w:jc w:val="center"/>
              <w:rPr>
                <w:color w:val="000000"/>
              </w:rPr>
            </w:pPr>
            <w:r>
              <w:rPr>
                <w:color w:val="000000"/>
              </w:rPr>
              <w:t>7</w:t>
            </w:r>
          </w:p>
        </w:tc>
      </w:tr>
      <w:tr>
        <w:trPr/>
        <w:tc>
          <w:tcPr>
            <w:tcW w:w="778"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0"/>
              <w:jc w:val="left"/>
              <w:rPr>
                <w:color w:val="000000"/>
              </w:rPr>
            </w:pPr>
            <w:r>
              <w:rPr>
                <w:color w:val="000000"/>
              </w:rPr>
              <w:t>Item 2.</w:t>
            </w:r>
          </w:p>
        </w:tc>
        <w:tc>
          <w:tcPr>
            <w:tcW w:w="8021" w:type="dxa"/>
            <w:tcBorders/>
            <w:vAlign w:val="center"/>
          </w:tcPr>
          <w:p>
            <w:pPr>
              <w:pStyle w:val="TableContents"/>
              <w:bidi w:val="0"/>
              <w:spacing w:before="0" w:after="0"/>
              <w:jc w:val="left"/>
              <w:rPr/>
            </w:pPr>
            <w:hyperlink w:anchor="MANAGEMENTSDISCUSSIONANDA">
              <w:r>
                <w:rPr>
                  <w:rStyle w:val="InternetLink"/>
                  <w:color w:val="000000"/>
                </w:rPr>
                <w:t>Management’s Discussion and Analysis of Financial Condition and Results of Operations</w:t>
              </w:r>
            </w:hyperlink>
          </w:p>
        </w:tc>
        <w:tc>
          <w:tcPr>
            <w:tcW w:w="547" w:type="dxa"/>
            <w:tcBorders/>
            <w:vAlign w:val="center"/>
          </w:tcPr>
          <w:p>
            <w:pPr>
              <w:pStyle w:val="TableContents"/>
              <w:bidi w:val="0"/>
              <w:spacing w:before="0" w:after="0"/>
              <w:jc w:val="center"/>
              <w:rPr>
                <w:color w:val="000000"/>
              </w:rPr>
            </w:pPr>
            <w:r>
              <w:rPr>
                <w:color w:val="000000"/>
              </w:rPr>
              <w:t>20</w:t>
            </w:r>
          </w:p>
        </w:tc>
      </w:tr>
      <w:tr>
        <w:trPr/>
        <w:tc>
          <w:tcPr>
            <w:tcW w:w="778"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0"/>
              <w:jc w:val="left"/>
              <w:rPr>
                <w:color w:val="000000"/>
              </w:rPr>
            </w:pPr>
            <w:r>
              <w:rPr>
                <w:color w:val="000000"/>
              </w:rPr>
              <w:t>Item 3.</w:t>
            </w:r>
          </w:p>
        </w:tc>
        <w:tc>
          <w:tcPr>
            <w:tcW w:w="8021" w:type="dxa"/>
            <w:tcBorders/>
            <w:shd w:fill="CCEEFF" w:val="clear"/>
            <w:vAlign w:val="center"/>
          </w:tcPr>
          <w:p>
            <w:pPr>
              <w:pStyle w:val="TableContents"/>
              <w:bidi w:val="0"/>
              <w:spacing w:before="0" w:after="0"/>
              <w:jc w:val="left"/>
              <w:rPr/>
            </w:pPr>
            <w:hyperlink w:anchor="QUANTITATIVEANDQUALITATIV">
              <w:r>
                <w:rPr>
                  <w:rStyle w:val="InternetLink"/>
                  <w:color w:val="000000"/>
                </w:rPr>
                <w:t>Quantitative and Qualitative Disclosures about Market Risk</w:t>
              </w:r>
            </w:hyperlink>
          </w:p>
        </w:tc>
        <w:tc>
          <w:tcPr>
            <w:tcW w:w="547" w:type="dxa"/>
            <w:tcBorders/>
            <w:shd w:fill="CCEEFF" w:val="clear"/>
            <w:vAlign w:val="center"/>
          </w:tcPr>
          <w:p>
            <w:pPr>
              <w:pStyle w:val="TableContents"/>
              <w:bidi w:val="0"/>
              <w:spacing w:before="0" w:after="0"/>
              <w:jc w:val="center"/>
              <w:rPr>
                <w:color w:val="000000"/>
              </w:rPr>
            </w:pPr>
            <w:r>
              <w:rPr>
                <w:color w:val="000000"/>
              </w:rPr>
              <w:t>30</w:t>
            </w:r>
          </w:p>
        </w:tc>
      </w:tr>
      <w:tr>
        <w:trPr/>
        <w:tc>
          <w:tcPr>
            <w:tcW w:w="778"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0"/>
              <w:jc w:val="left"/>
              <w:rPr>
                <w:color w:val="000000"/>
              </w:rPr>
            </w:pPr>
            <w:r>
              <w:rPr>
                <w:color w:val="000000"/>
              </w:rPr>
              <w:t>Item 4.</w:t>
            </w:r>
          </w:p>
        </w:tc>
        <w:tc>
          <w:tcPr>
            <w:tcW w:w="8021" w:type="dxa"/>
            <w:tcBorders/>
            <w:vAlign w:val="center"/>
          </w:tcPr>
          <w:p>
            <w:pPr>
              <w:pStyle w:val="TableContents"/>
              <w:bidi w:val="0"/>
              <w:spacing w:before="0" w:after="0"/>
              <w:jc w:val="left"/>
              <w:rPr/>
            </w:pPr>
            <w:hyperlink w:anchor="CONTROLSANDPROCEDURES">
              <w:r>
                <w:rPr>
                  <w:rStyle w:val="InternetLink"/>
                  <w:color w:val="000000"/>
                </w:rPr>
                <w:t>Controls and Procedures</w:t>
              </w:r>
            </w:hyperlink>
          </w:p>
        </w:tc>
        <w:tc>
          <w:tcPr>
            <w:tcW w:w="547" w:type="dxa"/>
            <w:tcBorders/>
            <w:vAlign w:val="center"/>
          </w:tcPr>
          <w:p>
            <w:pPr>
              <w:pStyle w:val="TableContents"/>
              <w:bidi w:val="0"/>
              <w:spacing w:before="0" w:after="0"/>
              <w:jc w:val="center"/>
              <w:rPr>
                <w:color w:val="000000"/>
              </w:rPr>
            </w:pPr>
            <w:r>
              <w:rPr>
                <w:color w:val="000000"/>
              </w:rPr>
              <w:t>30</w:t>
            </w:r>
          </w:p>
        </w:tc>
      </w:tr>
      <w:tr>
        <w:trPr/>
        <w:tc>
          <w:tcPr>
            <w:tcW w:w="778"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left"/>
              <w:rPr/>
            </w:pPr>
            <w:r>
              <w:rPr/>
              <w:t> </w:t>
            </w:r>
          </w:p>
        </w:tc>
        <w:tc>
          <w:tcPr>
            <w:tcW w:w="8021" w:type="dxa"/>
            <w:tcBorders/>
            <w:shd w:fill="CCEEFF" w:val="clear"/>
            <w:vAlign w:val="center"/>
          </w:tcPr>
          <w:p>
            <w:pPr>
              <w:pStyle w:val="TableContents"/>
              <w:bidi w:val="0"/>
              <w:spacing w:before="0" w:after="283"/>
              <w:jc w:val="left"/>
              <w:rPr/>
            </w:pPr>
            <w:r>
              <w:rPr/>
              <w:t> </w:t>
            </w:r>
          </w:p>
        </w:tc>
        <w:tc>
          <w:tcPr>
            <w:tcW w:w="547" w:type="dxa"/>
            <w:tcBorders/>
            <w:shd w:fill="CCEEFF" w:val="clear"/>
            <w:vAlign w:val="center"/>
          </w:tcPr>
          <w:p>
            <w:pPr>
              <w:pStyle w:val="TableContents"/>
              <w:bidi w:val="0"/>
              <w:spacing w:before="0" w:after="283"/>
              <w:jc w:val="left"/>
              <w:rPr/>
            </w:pPr>
            <w:r>
              <w:rPr/>
              <w:t> </w:t>
            </w:r>
          </w:p>
        </w:tc>
      </w:tr>
      <w:tr>
        <w:trPr/>
        <w:tc>
          <w:tcPr>
            <w:tcW w:w="778" w:type="dxa"/>
            <w:tcBorders/>
            <w:vAlign w:val="center"/>
          </w:tcPr>
          <w:p>
            <w:pPr>
              <w:pStyle w:val="TableContents"/>
              <w:bidi w:val="0"/>
              <w:spacing w:before="0" w:after="0"/>
              <w:jc w:val="left"/>
              <w:rPr>
                <w:b/>
                <w:color w:val="000000"/>
              </w:rPr>
            </w:pPr>
            <w:r>
              <w:rPr>
                <w:b/>
                <w:color w:val="000000"/>
              </w:rPr>
              <w:t>Part II.</w:t>
            </w:r>
          </w:p>
        </w:tc>
        <w:tc>
          <w:tcPr>
            <w:tcW w:w="8880" w:type="dxa"/>
            <w:gridSpan w:val="2"/>
            <w:tcBorders/>
            <w:vAlign w:val="center"/>
          </w:tcPr>
          <w:p>
            <w:pPr>
              <w:pStyle w:val="TableContents"/>
              <w:bidi w:val="0"/>
              <w:spacing w:before="0" w:after="0"/>
              <w:jc w:val="left"/>
              <w:rPr>
                <w:b/>
                <w:color w:val="000000"/>
              </w:rPr>
            </w:pPr>
            <w:r>
              <w:rPr>
                <w:b/>
                <w:color w:val="000000"/>
              </w:rPr>
              <w:t>Other Information</w:t>
            </w:r>
          </w:p>
        </w:tc>
        <w:tc>
          <w:tcPr>
            <w:tcW w:w="547" w:type="dxa"/>
            <w:tcBorders/>
            <w:vAlign w:val="center"/>
          </w:tcPr>
          <w:p>
            <w:pPr>
              <w:pStyle w:val="TableContents"/>
              <w:bidi w:val="0"/>
              <w:spacing w:before="0" w:after="283"/>
              <w:jc w:val="left"/>
              <w:rPr/>
            </w:pPr>
            <w:r>
              <w:rPr/>
              <w:t> </w:t>
            </w:r>
          </w:p>
        </w:tc>
      </w:tr>
      <w:tr>
        <w:trPr/>
        <w:tc>
          <w:tcPr>
            <w:tcW w:w="778"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0"/>
              <w:jc w:val="left"/>
              <w:rPr>
                <w:color w:val="000000"/>
              </w:rPr>
            </w:pPr>
            <w:r>
              <w:rPr>
                <w:color w:val="000000"/>
              </w:rPr>
              <w:t>Item 1.</w:t>
            </w:r>
          </w:p>
        </w:tc>
        <w:tc>
          <w:tcPr>
            <w:tcW w:w="8021" w:type="dxa"/>
            <w:tcBorders/>
            <w:shd w:fill="CCEEFF" w:val="clear"/>
            <w:vAlign w:val="center"/>
          </w:tcPr>
          <w:p>
            <w:pPr>
              <w:pStyle w:val="TableContents"/>
              <w:bidi w:val="0"/>
              <w:spacing w:before="0" w:after="0"/>
              <w:jc w:val="left"/>
              <w:rPr/>
            </w:pPr>
            <w:hyperlink w:anchor="ITEM1.">
              <w:r>
                <w:rPr>
                  <w:rStyle w:val="InternetLink"/>
                  <w:color w:val="000000"/>
                </w:rPr>
                <w:t>Legal Proceedings</w:t>
              </w:r>
            </w:hyperlink>
          </w:p>
        </w:tc>
        <w:tc>
          <w:tcPr>
            <w:tcW w:w="547" w:type="dxa"/>
            <w:tcBorders/>
            <w:shd w:fill="CCEEFF" w:val="clear"/>
            <w:vAlign w:val="center"/>
          </w:tcPr>
          <w:p>
            <w:pPr>
              <w:pStyle w:val="TableContents"/>
              <w:bidi w:val="0"/>
              <w:spacing w:before="0" w:after="0"/>
              <w:jc w:val="center"/>
              <w:rPr>
                <w:color w:val="000000"/>
              </w:rPr>
            </w:pPr>
            <w:r>
              <w:rPr>
                <w:color w:val="000000"/>
              </w:rPr>
              <w:t>31</w:t>
            </w:r>
          </w:p>
        </w:tc>
      </w:tr>
      <w:tr>
        <w:trPr/>
        <w:tc>
          <w:tcPr>
            <w:tcW w:w="778"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0"/>
              <w:jc w:val="left"/>
              <w:rPr>
                <w:color w:val="000000"/>
              </w:rPr>
            </w:pPr>
            <w:r>
              <w:rPr>
                <w:color w:val="000000"/>
              </w:rPr>
              <w:t>Item 1A.</w:t>
            </w:r>
          </w:p>
        </w:tc>
        <w:tc>
          <w:tcPr>
            <w:tcW w:w="8021" w:type="dxa"/>
            <w:tcBorders/>
            <w:vAlign w:val="center"/>
          </w:tcPr>
          <w:p>
            <w:pPr>
              <w:pStyle w:val="TableContents"/>
              <w:bidi w:val="0"/>
              <w:spacing w:before="0" w:after="0"/>
              <w:jc w:val="left"/>
              <w:rPr/>
            </w:pPr>
            <w:hyperlink w:anchor="ITEM1A.">
              <w:r>
                <w:rPr>
                  <w:rStyle w:val="InternetLink"/>
                  <w:color w:val="000000"/>
                </w:rPr>
                <w:t>Risk Factors</w:t>
              </w:r>
            </w:hyperlink>
          </w:p>
        </w:tc>
        <w:tc>
          <w:tcPr>
            <w:tcW w:w="547" w:type="dxa"/>
            <w:tcBorders/>
            <w:vAlign w:val="center"/>
          </w:tcPr>
          <w:p>
            <w:pPr>
              <w:pStyle w:val="TableContents"/>
              <w:bidi w:val="0"/>
              <w:spacing w:before="0" w:after="0"/>
              <w:jc w:val="center"/>
              <w:rPr>
                <w:color w:val="000000"/>
              </w:rPr>
            </w:pPr>
            <w:r>
              <w:rPr>
                <w:color w:val="000000"/>
              </w:rPr>
              <w:t>31</w:t>
            </w:r>
          </w:p>
        </w:tc>
      </w:tr>
      <w:tr>
        <w:trPr/>
        <w:tc>
          <w:tcPr>
            <w:tcW w:w="778"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0"/>
              <w:jc w:val="left"/>
              <w:rPr>
                <w:color w:val="000000"/>
              </w:rPr>
            </w:pPr>
            <w:r>
              <w:rPr>
                <w:color w:val="000000"/>
              </w:rPr>
              <w:t>Item 2.</w:t>
            </w:r>
          </w:p>
        </w:tc>
        <w:tc>
          <w:tcPr>
            <w:tcW w:w="8021" w:type="dxa"/>
            <w:tcBorders/>
            <w:shd w:fill="CCEEFF" w:val="clear"/>
            <w:vAlign w:val="center"/>
          </w:tcPr>
          <w:p>
            <w:pPr>
              <w:pStyle w:val="TableContents"/>
              <w:bidi w:val="0"/>
              <w:spacing w:before="0" w:after="0"/>
              <w:jc w:val="left"/>
              <w:rPr/>
            </w:pPr>
            <w:hyperlink w:anchor="ITEM2.">
              <w:r>
                <w:rPr>
                  <w:rStyle w:val="InternetLink"/>
                  <w:color w:val="000000"/>
                </w:rPr>
                <w:t>Unregistered Sales of Equity Securities and Use of Proceeds</w:t>
              </w:r>
            </w:hyperlink>
          </w:p>
        </w:tc>
        <w:tc>
          <w:tcPr>
            <w:tcW w:w="547" w:type="dxa"/>
            <w:tcBorders/>
            <w:shd w:fill="CCEEFF" w:val="clear"/>
            <w:vAlign w:val="center"/>
          </w:tcPr>
          <w:p>
            <w:pPr>
              <w:pStyle w:val="TableContents"/>
              <w:bidi w:val="0"/>
              <w:spacing w:before="0" w:after="0"/>
              <w:jc w:val="center"/>
              <w:rPr>
                <w:color w:val="000000"/>
              </w:rPr>
            </w:pPr>
            <w:r>
              <w:rPr>
                <w:color w:val="000000"/>
              </w:rPr>
              <w:t>31</w:t>
            </w:r>
          </w:p>
        </w:tc>
      </w:tr>
      <w:tr>
        <w:trPr/>
        <w:tc>
          <w:tcPr>
            <w:tcW w:w="778"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0"/>
              <w:jc w:val="left"/>
              <w:rPr>
                <w:color w:val="000000"/>
              </w:rPr>
            </w:pPr>
            <w:r>
              <w:rPr>
                <w:color w:val="000000"/>
              </w:rPr>
              <w:t>Item 3.</w:t>
            </w:r>
          </w:p>
        </w:tc>
        <w:tc>
          <w:tcPr>
            <w:tcW w:w="8021" w:type="dxa"/>
            <w:tcBorders/>
            <w:vAlign w:val="center"/>
          </w:tcPr>
          <w:p>
            <w:pPr>
              <w:pStyle w:val="TableContents"/>
              <w:bidi w:val="0"/>
              <w:spacing w:before="0" w:after="0"/>
              <w:jc w:val="left"/>
              <w:rPr/>
            </w:pPr>
            <w:hyperlink w:anchor="ITEM3.">
              <w:r>
                <w:rPr>
                  <w:rStyle w:val="InternetLink"/>
                  <w:color w:val="000000"/>
                </w:rPr>
                <w:t>Defaults Upon Senior Securities</w:t>
              </w:r>
            </w:hyperlink>
          </w:p>
        </w:tc>
        <w:tc>
          <w:tcPr>
            <w:tcW w:w="547" w:type="dxa"/>
            <w:tcBorders/>
            <w:vAlign w:val="center"/>
          </w:tcPr>
          <w:p>
            <w:pPr>
              <w:pStyle w:val="TableContents"/>
              <w:bidi w:val="0"/>
              <w:spacing w:before="0" w:after="0"/>
              <w:jc w:val="center"/>
              <w:rPr>
                <w:color w:val="000000"/>
              </w:rPr>
            </w:pPr>
            <w:r>
              <w:rPr>
                <w:color w:val="000000"/>
              </w:rPr>
              <w:t>31</w:t>
            </w:r>
          </w:p>
        </w:tc>
      </w:tr>
      <w:tr>
        <w:trPr/>
        <w:tc>
          <w:tcPr>
            <w:tcW w:w="778"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0"/>
              <w:jc w:val="left"/>
              <w:rPr>
                <w:color w:val="000000"/>
              </w:rPr>
            </w:pPr>
            <w:r>
              <w:rPr>
                <w:color w:val="000000"/>
              </w:rPr>
              <w:t>Item 4.</w:t>
            </w:r>
          </w:p>
        </w:tc>
        <w:tc>
          <w:tcPr>
            <w:tcW w:w="8021" w:type="dxa"/>
            <w:tcBorders/>
            <w:shd w:fill="CCEEFF" w:val="clear"/>
            <w:vAlign w:val="center"/>
          </w:tcPr>
          <w:p>
            <w:pPr>
              <w:pStyle w:val="TableContents"/>
              <w:bidi w:val="0"/>
              <w:spacing w:before="0" w:after="0"/>
              <w:jc w:val="left"/>
              <w:rPr/>
            </w:pPr>
            <w:hyperlink w:anchor="ITEM4.">
              <w:r>
                <w:rPr>
                  <w:rStyle w:val="InternetLink"/>
                  <w:color w:val="000000"/>
                </w:rPr>
                <w:t>Mine Safety Disclosures</w:t>
              </w:r>
            </w:hyperlink>
          </w:p>
        </w:tc>
        <w:tc>
          <w:tcPr>
            <w:tcW w:w="547" w:type="dxa"/>
            <w:tcBorders/>
            <w:shd w:fill="CCEEFF" w:val="clear"/>
            <w:vAlign w:val="center"/>
          </w:tcPr>
          <w:p>
            <w:pPr>
              <w:pStyle w:val="TableContents"/>
              <w:bidi w:val="0"/>
              <w:spacing w:before="0" w:after="0"/>
              <w:jc w:val="center"/>
              <w:rPr>
                <w:color w:val="000000"/>
              </w:rPr>
            </w:pPr>
            <w:r>
              <w:rPr>
                <w:color w:val="000000"/>
              </w:rPr>
              <w:t>31</w:t>
            </w:r>
          </w:p>
        </w:tc>
      </w:tr>
      <w:tr>
        <w:trPr/>
        <w:tc>
          <w:tcPr>
            <w:tcW w:w="778"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0"/>
              <w:jc w:val="left"/>
              <w:rPr>
                <w:color w:val="000000"/>
              </w:rPr>
            </w:pPr>
            <w:r>
              <w:rPr>
                <w:color w:val="000000"/>
              </w:rPr>
              <w:t>Item 5.</w:t>
            </w:r>
          </w:p>
        </w:tc>
        <w:tc>
          <w:tcPr>
            <w:tcW w:w="8021" w:type="dxa"/>
            <w:tcBorders/>
            <w:vAlign w:val="center"/>
          </w:tcPr>
          <w:p>
            <w:pPr>
              <w:pStyle w:val="TableContents"/>
              <w:bidi w:val="0"/>
              <w:spacing w:before="0" w:after="0"/>
              <w:jc w:val="left"/>
              <w:rPr/>
            </w:pPr>
            <w:hyperlink w:anchor="ITEM5.">
              <w:r>
                <w:rPr>
                  <w:rStyle w:val="InternetLink"/>
                  <w:color w:val="000000"/>
                </w:rPr>
                <w:t>Other Information</w:t>
              </w:r>
            </w:hyperlink>
          </w:p>
        </w:tc>
        <w:tc>
          <w:tcPr>
            <w:tcW w:w="547" w:type="dxa"/>
            <w:tcBorders/>
            <w:vAlign w:val="center"/>
          </w:tcPr>
          <w:p>
            <w:pPr>
              <w:pStyle w:val="TableContents"/>
              <w:bidi w:val="0"/>
              <w:spacing w:before="0" w:after="0"/>
              <w:jc w:val="center"/>
              <w:rPr>
                <w:color w:val="000000"/>
              </w:rPr>
            </w:pPr>
            <w:r>
              <w:rPr>
                <w:color w:val="000000"/>
              </w:rPr>
              <w:t>31</w:t>
            </w:r>
          </w:p>
        </w:tc>
      </w:tr>
      <w:tr>
        <w:trPr/>
        <w:tc>
          <w:tcPr>
            <w:tcW w:w="778"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0"/>
              <w:jc w:val="left"/>
              <w:rPr>
                <w:color w:val="000000"/>
              </w:rPr>
            </w:pPr>
            <w:r>
              <w:rPr>
                <w:color w:val="000000"/>
              </w:rPr>
              <w:t>Item 6.</w:t>
            </w:r>
          </w:p>
        </w:tc>
        <w:tc>
          <w:tcPr>
            <w:tcW w:w="8021" w:type="dxa"/>
            <w:tcBorders/>
            <w:shd w:fill="CCEEFF" w:val="clear"/>
            <w:vAlign w:val="center"/>
          </w:tcPr>
          <w:p>
            <w:pPr>
              <w:pStyle w:val="TableContents"/>
              <w:bidi w:val="0"/>
              <w:spacing w:before="0" w:after="0"/>
              <w:jc w:val="left"/>
              <w:rPr/>
            </w:pPr>
            <w:hyperlink w:anchor="ITEM6.">
              <w:r>
                <w:rPr>
                  <w:rStyle w:val="InternetLink"/>
                  <w:color w:val="000000"/>
                </w:rPr>
                <w:t>Exhibits</w:t>
              </w:r>
            </w:hyperlink>
          </w:p>
        </w:tc>
        <w:tc>
          <w:tcPr>
            <w:tcW w:w="547" w:type="dxa"/>
            <w:tcBorders/>
            <w:shd w:fill="CCEEFF" w:val="clear"/>
            <w:vAlign w:val="center"/>
          </w:tcPr>
          <w:p>
            <w:pPr>
              <w:pStyle w:val="TableContents"/>
              <w:bidi w:val="0"/>
              <w:spacing w:before="0" w:after="0"/>
              <w:jc w:val="center"/>
              <w:rPr>
                <w:color w:val="000000"/>
              </w:rPr>
            </w:pPr>
            <w:r>
              <w:rPr>
                <w:color w:val="000000"/>
              </w:rPr>
              <w:t>32</w:t>
            </w:r>
          </w:p>
        </w:tc>
      </w:tr>
      <w:tr>
        <w:trPr/>
        <w:tc>
          <w:tcPr>
            <w:tcW w:w="778"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left"/>
              <w:rPr/>
            </w:pPr>
            <w:r>
              <w:rPr/>
              <w:t> </w:t>
            </w:r>
          </w:p>
        </w:tc>
        <w:tc>
          <w:tcPr>
            <w:tcW w:w="8021" w:type="dxa"/>
            <w:tcBorders/>
            <w:vAlign w:val="center"/>
          </w:tcPr>
          <w:p>
            <w:pPr>
              <w:pStyle w:val="TableContents"/>
              <w:bidi w:val="0"/>
              <w:spacing w:before="0" w:after="283"/>
              <w:jc w:val="left"/>
              <w:rPr/>
            </w:pPr>
            <w:r>
              <w:rPr/>
              <w:t> </w:t>
            </w:r>
          </w:p>
        </w:tc>
        <w:tc>
          <w:tcPr>
            <w:tcW w:w="547" w:type="dxa"/>
            <w:tcBorders/>
            <w:vAlign w:val="center"/>
          </w:tcPr>
          <w:p>
            <w:pPr>
              <w:pStyle w:val="TableContents"/>
              <w:bidi w:val="0"/>
              <w:spacing w:before="0" w:after="283"/>
              <w:jc w:val="left"/>
              <w:rPr/>
            </w:pPr>
            <w:r>
              <w:rPr/>
              <w:t> </w:t>
            </w:r>
          </w:p>
        </w:tc>
      </w:tr>
      <w:tr>
        <w:trPr/>
        <w:tc>
          <w:tcPr>
            <w:tcW w:w="778" w:type="dxa"/>
            <w:tcBorders/>
            <w:shd w:fill="CCEEFF" w:val="clear"/>
            <w:vAlign w:val="center"/>
          </w:tcPr>
          <w:p>
            <w:pPr>
              <w:pStyle w:val="TableContents"/>
              <w:bidi w:val="0"/>
              <w:spacing w:before="0" w:after="283"/>
              <w:jc w:val="left"/>
              <w:rPr/>
            </w:pPr>
            <w:r>
              <w:rPr/>
              <w:t> </w:t>
            </w:r>
          </w:p>
        </w:tc>
        <w:tc>
          <w:tcPr>
            <w:tcW w:w="8880" w:type="dxa"/>
            <w:gridSpan w:val="2"/>
            <w:tcBorders/>
            <w:shd w:fill="CCEEFF" w:val="clear"/>
            <w:vAlign w:val="center"/>
          </w:tcPr>
          <w:p>
            <w:pPr>
              <w:pStyle w:val="TableContents"/>
              <w:bidi w:val="0"/>
              <w:spacing w:before="0" w:after="0"/>
              <w:jc w:val="left"/>
              <w:rPr/>
            </w:pPr>
            <w:hyperlink w:anchor="SIGNATURE">
              <w:r>
                <w:rPr>
                  <w:rStyle w:val="InternetLink"/>
                  <w:color w:val="000000"/>
                </w:rPr>
                <w:t>Signature</w:t>
              </w:r>
            </w:hyperlink>
          </w:p>
        </w:tc>
        <w:tc>
          <w:tcPr>
            <w:tcW w:w="547" w:type="dxa"/>
            <w:tcBorders/>
            <w:shd w:fill="CCEEFF" w:val="clear"/>
            <w:vAlign w:val="center"/>
          </w:tcPr>
          <w:p>
            <w:pPr>
              <w:pStyle w:val="TableContents"/>
              <w:bidi w:val="0"/>
              <w:spacing w:before="0" w:after="0"/>
              <w:jc w:val="center"/>
              <w:rPr>
                <w:color w:val="000000"/>
              </w:rPr>
            </w:pPr>
            <w:r>
              <w:rPr>
                <w:color w:val="000000"/>
              </w:rPr>
              <w:t>33</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this Quarterly Report on Form 10-Q, references to “dollars” and “$” are to United States (“U.S.”) dollars.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Nu Skin, Pharmanex, and ageLOC are our trademarks. The italicized product names used in this Quarterly Report on Form 10-Q are product names and also, in certain cases, our trademarks.</w:t>
      </w:r>
    </w:p>
    <w:p>
      <w:pPr>
        <w:pStyle w:val="TextBody"/>
        <w:bidi w:val="0"/>
        <w:spacing w:before="0" w:after="0"/>
        <w:jc w:val="left"/>
        <w:rPr/>
      </w:pPr>
      <w:r>
        <w:rPr/>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PART I.  FINANCIAL INFORMATION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 w:name="FINANCIALSTATEMENTS"/>
      <w:bookmarkStart w:id="6" w:name="FINANCIALSTATEMENTS"/>
      <w:bookmarkEnd w:id="6"/>
    </w:p>
    <w:tbl>
      <w:tblPr>
        <w:tblW w:w="4120" w:type="dxa"/>
        <w:jc w:val="left"/>
        <w:tblInd w:w="0" w:type="dxa"/>
        <w:tblLayout w:type="fixed"/>
        <w:tblCellMar>
          <w:top w:w="0" w:type="dxa"/>
          <w:left w:w="0" w:type="dxa"/>
          <w:bottom w:w="0" w:type="dxa"/>
          <w:right w:w="0" w:type="dxa"/>
        </w:tblCellMar>
      </w:tblPr>
      <w:tblGrid>
        <w:gridCol w:w="890"/>
        <w:gridCol w:w="3230"/>
      </w:tblGrid>
      <w:tr>
        <w:trPr/>
        <w:tc>
          <w:tcPr>
            <w:tcW w:w="890" w:type="dxa"/>
            <w:tcBorders/>
            <w:vAlign w:val="center"/>
          </w:tcPr>
          <w:p>
            <w:pPr>
              <w:pStyle w:val="TableContents"/>
              <w:bidi w:val="0"/>
              <w:spacing w:before="0" w:after="283"/>
              <w:jc w:val="left"/>
              <w:rPr>
                <w:b/>
              </w:rPr>
            </w:pPr>
            <w:r>
              <w:rPr>
                <w:b/>
              </w:rPr>
              <w:t>ITEM 1</w:t>
            </w:r>
          </w:p>
        </w:tc>
        <w:tc>
          <w:tcPr>
            <w:tcW w:w="3230" w:type="dxa"/>
            <w:tcBorders/>
            <w:vAlign w:val="center"/>
          </w:tcPr>
          <w:p>
            <w:pPr>
              <w:pStyle w:val="TableContents"/>
              <w:bidi w:val="0"/>
              <w:spacing w:before="0" w:after="0"/>
              <w:jc w:val="left"/>
              <w:rPr>
                <w:b/>
                <w:u w:val="single"/>
              </w:rPr>
            </w:pPr>
            <w:r>
              <w:rPr>
                <w:b/>
                <w:u w:val="single"/>
              </w:rPr>
              <w:t>FINANCIAL STATEMENTS</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NU SKIN ENTERPRISES, INC.</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 xml:space="preserve">Consolidated </w:t>
      </w:r>
      <w:bookmarkStart w:id="7" w:name="BalanceSheets"/>
      <w:bookmarkEnd w:id="7"/>
      <w:r>
        <w:rPr>
          <w:rFonts w:ascii="Times New Roman" w:hAnsi="Times New Roman"/>
          <w:b/>
          <w:color w:val="000000"/>
          <w:sz w:val="20"/>
          <w:shd w:fill="FFFFFF" w:val="clear"/>
        </w:rPr>
        <w:t>Balance Sheets (Unaudited)</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(U.S. dollars in thousands)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093"/>
        <w:gridCol w:w="90"/>
        <w:gridCol w:w="170"/>
        <w:gridCol w:w="1085"/>
        <w:gridCol w:w="125"/>
        <w:gridCol w:w="90"/>
        <w:gridCol w:w="186"/>
        <w:gridCol w:w="1194"/>
        <w:gridCol w:w="172"/>
      </w:tblGrid>
      <w:tr>
        <w:trPr/>
        <w:tc>
          <w:tcPr>
            <w:tcW w:w="7093"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r>
          </w:p>
        </w:tc>
        <w:tc>
          <w:tcPr>
            <w:tcW w:w="125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June 30,</w:t>
            </w:r>
          </w:p>
          <w:p>
            <w:pPr>
              <w:pStyle w:val="TableContents"/>
              <w:bidi w:val="0"/>
              <w:spacing w:before="0" w:after="0"/>
              <w:jc w:val="center"/>
              <w:rPr>
                <w:b/>
                <w:color w:val="000000"/>
              </w:rPr>
            </w:pPr>
            <w:r>
              <w:rPr>
                <w:b/>
                <w:color w:val="000000"/>
              </w:rPr>
              <w:t>2026</w:t>
            </w:r>
          </w:p>
        </w:tc>
        <w:tc>
          <w:tcPr>
            <w:tcW w:w="125"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r>
          </w:p>
        </w:tc>
        <w:tc>
          <w:tcPr>
            <w:tcW w:w="13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w:t>
            </w:r>
          </w:p>
          <w:p>
            <w:pPr>
              <w:pStyle w:val="TableContents"/>
              <w:bidi w:val="0"/>
              <w:spacing w:before="0" w:after="0"/>
              <w:jc w:val="center"/>
              <w:rPr>
                <w:b/>
                <w:color w:val="000000"/>
              </w:rPr>
            </w:pPr>
            <w:r>
              <w:rPr>
                <w:b/>
                <w:color w:val="000000"/>
              </w:rPr>
              <w:t>2025</w:t>
            </w:r>
          </w:p>
        </w:tc>
        <w:tc>
          <w:tcPr>
            <w:tcW w:w="172" w:type="dxa"/>
            <w:tcBorders/>
            <w:vAlign w:val="bottom"/>
          </w:tcPr>
          <w:p>
            <w:pPr>
              <w:pStyle w:val="TableContents"/>
              <w:bidi w:val="0"/>
              <w:spacing w:before="0" w:after="283"/>
              <w:jc w:val="left"/>
              <w:rPr/>
            </w:pPr>
            <w:r>
              <w:rPr/>
            </w:r>
          </w:p>
        </w:tc>
      </w:tr>
      <w:tr>
        <w:trPr/>
        <w:tc>
          <w:tcPr>
            <w:tcW w:w="7093" w:type="dxa"/>
            <w:tcBorders/>
            <w:vAlign w:val="bottom"/>
          </w:tcPr>
          <w:p>
            <w:pPr>
              <w:pStyle w:val="TableContents"/>
              <w:bidi w:val="0"/>
              <w:spacing w:before="0" w:after="0"/>
              <w:jc w:val="left"/>
              <w:rPr>
                <w:b/>
                <w:color w:val="000000"/>
              </w:rPr>
            </w:pPr>
            <w:r>
              <w:rPr>
                <w:b/>
                <w:color w:val="000000"/>
              </w:rPr>
              <w:t>ASSETS</w:t>
            </w:r>
          </w:p>
        </w:tc>
        <w:tc>
          <w:tcPr>
            <w:tcW w:w="90" w:type="dxa"/>
            <w:tcBorders/>
            <w:vAlign w:val="bottom"/>
          </w:tcPr>
          <w:p>
            <w:pPr>
              <w:pStyle w:val="TableContents"/>
              <w:bidi w:val="0"/>
              <w:spacing w:before="0" w:after="283"/>
              <w:jc w:val="left"/>
              <w:rPr/>
            </w:pPr>
            <w:r>
              <w:rPr/>
              <w:t> </w:t>
            </w:r>
          </w:p>
        </w:tc>
        <w:tc>
          <w:tcPr>
            <w:tcW w:w="1255"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80" w:type="dxa"/>
            <w:gridSpan w:val="2"/>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r>
          </w:p>
        </w:tc>
      </w:tr>
      <w:tr>
        <w:trPr/>
        <w:tc>
          <w:tcPr>
            <w:tcW w:w="7093" w:type="dxa"/>
            <w:tcBorders/>
            <w:vAlign w:val="bottom"/>
          </w:tcPr>
          <w:p>
            <w:pPr>
              <w:pStyle w:val="TableContents"/>
              <w:bidi w:val="0"/>
              <w:spacing w:before="0" w:after="0"/>
              <w:jc w:val="left"/>
              <w:rPr>
                <w:color w:val="000000"/>
              </w:rPr>
            </w:pPr>
            <w:r>
              <w:rPr>
                <w:color w:val="000000"/>
              </w:rPr>
              <w:t>Current assets:</w:t>
            </w:r>
          </w:p>
        </w:tc>
        <w:tc>
          <w:tcPr>
            <w:tcW w:w="90" w:type="dxa"/>
            <w:tcBorders/>
            <w:vAlign w:val="bottom"/>
          </w:tcPr>
          <w:p>
            <w:pPr>
              <w:pStyle w:val="TableContents"/>
              <w:bidi w:val="0"/>
              <w:spacing w:before="0" w:after="283"/>
              <w:jc w:val="left"/>
              <w:rPr/>
            </w:pPr>
            <w:r>
              <w:rPr/>
              <w:t> </w:t>
            </w:r>
          </w:p>
        </w:tc>
        <w:tc>
          <w:tcPr>
            <w:tcW w:w="1255"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80" w:type="dxa"/>
            <w:gridSpan w:val="2"/>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r>
      <w:tr>
        <w:trPr/>
        <w:tc>
          <w:tcPr>
            <w:tcW w:w="7093" w:type="dxa"/>
            <w:tcBorders/>
            <w:shd w:fill="CCEEFF" w:val="clear"/>
            <w:vAlign w:val="bottom"/>
          </w:tcPr>
          <w:p>
            <w:pPr>
              <w:pStyle w:val="TableContents"/>
              <w:bidi w:val="0"/>
              <w:spacing w:before="0" w:after="0"/>
              <w:ind w:left="180" w:right="0" w:hanging="0"/>
              <w:jc w:val="left"/>
              <w:rPr>
                <w:color w:val="000000"/>
              </w:rPr>
            </w:pPr>
            <w:r>
              <w:rPr>
                <w:color w:val="000000"/>
              </w:rPr>
              <w:t>Cash and cash equivalents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85" w:type="dxa"/>
            <w:tcBorders/>
            <w:shd w:fill="CCEEFF" w:val="clear"/>
            <w:vAlign w:val="bottom"/>
          </w:tcPr>
          <w:p>
            <w:pPr>
              <w:pStyle w:val="TableContents"/>
              <w:bidi w:val="0"/>
              <w:spacing w:before="0" w:after="0"/>
              <w:jc w:val="right"/>
              <w:rPr>
                <w:color w:val="000000"/>
              </w:rPr>
            </w:pPr>
            <w:r>
              <w:rPr>
                <w:color w:val="000000"/>
              </w:rPr>
              <w:t>189,643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0"/>
              <w:jc w:val="left"/>
              <w:rPr>
                <w:color w:val="000000"/>
              </w:rPr>
            </w:pPr>
            <w:r>
              <w:rPr>
                <w:color w:val="000000"/>
              </w:rPr>
              <w:t>$</w:t>
            </w:r>
          </w:p>
        </w:tc>
        <w:tc>
          <w:tcPr>
            <w:tcW w:w="1194" w:type="dxa"/>
            <w:tcBorders/>
            <w:shd w:fill="CCEEFF" w:val="clear"/>
            <w:vAlign w:val="bottom"/>
          </w:tcPr>
          <w:p>
            <w:pPr>
              <w:pStyle w:val="TableContents"/>
              <w:bidi w:val="0"/>
              <w:spacing w:before="0" w:after="0"/>
              <w:jc w:val="right"/>
              <w:rPr>
                <w:color w:val="000000"/>
              </w:rPr>
            </w:pPr>
            <w:r>
              <w:rPr>
                <w:color w:val="000000"/>
              </w:rPr>
              <w:t>238,630</w:t>
            </w:r>
          </w:p>
        </w:tc>
        <w:tc>
          <w:tcPr>
            <w:tcW w:w="172" w:type="dxa"/>
            <w:tcBorders/>
            <w:shd w:fill="CCEEFF" w:val="clear"/>
            <w:vAlign w:val="bottom"/>
          </w:tcPr>
          <w:p>
            <w:pPr>
              <w:pStyle w:val="TableContents"/>
              <w:bidi w:val="0"/>
              <w:spacing w:before="0" w:after="283"/>
              <w:jc w:val="left"/>
              <w:rPr/>
            </w:pPr>
            <w:r>
              <w:rPr/>
              <w:t> </w:t>
            </w:r>
          </w:p>
        </w:tc>
      </w:tr>
      <w:tr>
        <w:trPr/>
        <w:tc>
          <w:tcPr>
            <w:tcW w:w="7093" w:type="dxa"/>
            <w:tcBorders/>
            <w:vAlign w:val="bottom"/>
          </w:tcPr>
          <w:p>
            <w:pPr>
              <w:pStyle w:val="TableContents"/>
              <w:bidi w:val="0"/>
              <w:spacing w:before="0" w:after="0"/>
              <w:ind w:left="180" w:right="0" w:hanging="0"/>
              <w:jc w:val="left"/>
              <w:rPr>
                <w:color w:val="000000"/>
              </w:rPr>
            </w:pPr>
            <w:r>
              <w:rPr>
                <w:color w:val="000000"/>
              </w:rPr>
              <w:t>Current investments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0"/>
              <w:jc w:val="right"/>
              <w:rPr>
                <w:color w:val="000000"/>
              </w:rPr>
            </w:pPr>
            <w:r>
              <w:rPr>
                <w:color w:val="000000"/>
              </w:rPr>
              <w:t>1,743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0"/>
              <w:jc w:val="right"/>
              <w:rPr>
                <w:color w:val="000000"/>
              </w:rPr>
            </w:pPr>
            <w:r>
              <w:rPr>
                <w:color w:val="000000"/>
              </w:rPr>
              <w:t>1,211</w:t>
            </w:r>
          </w:p>
        </w:tc>
        <w:tc>
          <w:tcPr>
            <w:tcW w:w="172" w:type="dxa"/>
            <w:tcBorders/>
            <w:vAlign w:val="bottom"/>
          </w:tcPr>
          <w:p>
            <w:pPr>
              <w:pStyle w:val="TableContents"/>
              <w:bidi w:val="0"/>
              <w:spacing w:before="0" w:after="283"/>
              <w:jc w:val="left"/>
              <w:rPr/>
            </w:pPr>
            <w:r>
              <w:rPr/>
              <w:t> </w:t>
            </w:r>
          </w:p>
        </w:tc>
      </w:tr>
      <w:tr>
        <w:trPr/>
        <w:tc>
          <w:tcPr>
            <w:tcW w:w="7093" w:type="dxa"/>
            <w:tcBorders/>
            <w:shd w:fill="CCEEFF" w:val="clear"/>
            <w:vAlign w:val="bottom"/>
          </w:tcPr>
          <w:p>
            <w:pPr>
              <w:pStyle w:val="TableContents"/>
              <w:bidi w:val="0"/>
              <w:spacing w:before="0" w:after="0"/>
              <w:ind w:left="180" w:right="0" w:hanging="0"/>
              <w:jc w:val="left"/>
              <w:rPr>
                <w:color w:val="000000"/>
              </w:rPr>
            </w:pPr>
            <w:r>
              <w:rPr>
                <w:color w:val="000000"/>
              </w:rPr>
              <w:t>Accounts receivable, net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0"/>
              <w:jc w:val="right"/>
              <w:rPr>
                <w:color w:val="000000"/>
              </w:rPr>
            </w:pPr>
            <w:r>
              <w:rPr>
                <w:color w:val="000000"/>
              </w:rPr>
              <w:t>48,902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0"/>
              <w:jc w:val="right"/>
              <w:rPr>
                <w:color w:val="000000"/>
              </w:rPr>
            </w:pPr>
            <w:r>
              <w:rPr>
                <w:color w:val="000000"/>
              </w:rPr>
              <w:t>39,544</w:t>
            </w:r>
          </w:p>
        </w:tc>
        <w:tc>
          <w:tcPr>
            <w:tcW w:w="172" w:type="dxa"/>
            <w:tcBorders/>
            <w:shd w:fill="CCEEFF" w:val="clear"/>
            <w:vAlign w:val="bottom"/>
          </w:tcPr>
          <w:p>
            <w:pPr>
              <w:pStyle w:val="TableContents"/>
              <w:bidi w:val="0"/>
              <w:spacing w:before="0" w:after="283"/>
              <w:jc w:val="left"/>
              <w:rPr/>
            </w:pPr>
            <w:r>
              <w:rPr/>
              <w:t> </w:t>
            </w:r>
          </w:p>
        </w:tc>
      </w:tr>
      <w:tr>
        <w:trPr/>
        <w:tc>
          <w:tcPr>
            <w:tcW w:w="7093" w:type="dxa"/>
            <w:tcBorders/>
            <w:vAlign w:val="bottom"/>
          </w:tcPr>
          <w:p>
            <w:pPr>
              <w:pStyle w:val="TableContents"/>
              <w:bidi w:val="0"/>
              <w:spacing w:before="0" w:after="0"/>
              <w:ind w:left="180" w:right="0" w:hanging="0"/>
              <w:jc w:val="left"/>
              <w:rPr>
                <w:color w:val="000000"/>
              </w:rPr>
            </w:pPr>
            <w:r>
              <w:rPr>
                <w:color w:val="000000"/>
              </w:rPr>
              <w:t>Inventories, net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0"/>
              <w:jc w:val="right"/>
              <w:rPr>
                <w:color w:val="000000"/>
              </w:rPr>
            </w:pPr>
            <w:r>
              <w:rPr>
                <w:color w:val="000000"/>
              </w:rPr>
              <w:t>191,497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0"/>
              <w:jc w:val="right"/>
              <w:rPr>
                <w:color w:val="000000"/>
              </w:rPr>
            </w:pPr>
            <w:r>
              <w:rPr>
                <w:color w:val="000000"/>
              </w:rPr>
              <w:t>178,643</w:t>
            </w:r>
          </w:p>
        </w:tc>
        <w:tc>
          <w:tcPr>
            <w:tcW w:w="172" w:type="dxa"/>
            <w:tcBorders/>
            <w:vAlign w:val="bottom"/>
          </w:tcPr>
          <w:p>
            <w:pPr>
              <w:pStyle w:val="TableContents"/>
              <w:bidi w:val="0"/>
              <w:spacing w:before="0" w:after="283"/>
              <w:jc w:val="left"/>
              <w:rPr/>
            </w:pPr>
            <w:r>
              <w:rPr/>
              <w:t> </w:t>
            </w:r>
          </w:p>
        </w:tc>
      </w:tr>
      <w:tr>
        <w:trPr/>
        <w:tc>
          <w:tcPr>
            <w:tcW w:w="7093" w:type="dxa"/>
            <w:tcBorders/>
            <w:shd w:fill="CCEEFF" w:val="clear"/>
            <w:vAlign w:val="bottom"/>
          </w:tcPr>
          <w:p>
            <w:pPr>
              <w:pStyle w:val="TableContents"/>
              <w:bidi w:val="0"/>
              <w:spacing w:before="0" w:after="0"/>
              <w:ind w:left="180" w:right="0" w:hanging="0"/>
              <w:jc w:val="left"/>
              <w:rPr>
                <w:color w:val="000000"/>
              </w:rPr>
            </w:pPr>
            <w:r>
              <w:rPr>
                <w:color w:val="000000"/>
              </w:rPr>
              <w:t>Prepaid expenses and other</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76,364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89,670</w:t>
            </w:r>
          </w:p>
        </w:tc>
        <w:tc>
          <w:tcPr>
            <w:tcW w:w="172" w:type="dxa"/>
            <w:tcBorders/>
            <w:shd w:fill="CCEEFF" w:val="clear"/>
            <w:vAlign w:val="bottom"/>
          </w:tcPr>
          <w:p>
            <w:pPr>
              <w:pStyle w:val="TableContents"/>
              <w:bidi w:val="0"/>
              <w:spacing w:before="0" w:after="283"/>
              <w:jc w:val="left"/>
              <w:rPr/>
            </w:pPr>
            <w:r>
              <w:rPr/>
              <w:t> </w:t>
            </w:r>
          </w:p>
        </w:tc>
      </w:tr>
      <w:tr>
        <w:trPr/>
        <w:tc>
          <w:tcPr>
            <w:tcW w:w="7093" w:type="dxa"/>
            <w:tcBorders/>
            <w:vAlign w:val="bottom"/>
          </w:tcPr>
          <w:p>
            <w:pPr>
              <w:pStyle w:val="TableContents"/>
              <w:bidi w:val="0"/>
              <w:spacing w:before="0" w:after="0"/>
              <w:ind w:left="360" w:right="0" w:hanging="0"/>
              <w:jc w:val="left"/>
              <w:rPr>
                <w:color w:val="000000"/>
              </w:rPr>
            </w:pPr>
            <w:r>
              <w:rPr>
                <w:color w:val="000000"/>
              </w:rPr>
              <w:t>Total current assets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0"/>
              <w:jc w:val="right"/>
              <w:rPr>
                <w:color w:val="000000"/>
              </w:rPr>
            </w:pPr>
            <w:r>
              <w:rPr>
                <w:color w:val="000000"/>
              </w:rPr>
              <w:t>508,149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0"/>
              <w:jc w:val="right"/>
              <w:rPr>
                <w:color w:val="000000"/>
              </w:rPr>
            </w:pPr>
            <w:r>
              <w:rPr>
                <w:color w:val="000000"/>
              </w:rPr>
              <w:t>547,698</w:t>
            </w:r>
          </w:p>
        </w:tc>
        <w:tc>
          <w:tcPr>
            <w:tcW w:w="172" w:type="dxa"/>
            <w:tcBorders/>
            <w:vAlign w:val="bottom"/>
          </w:tcPr>
          <w:p>
            <w:pPr>
              <w:pStyle w:val="TableContents"/>
              <w:bidi w:val="0"/>
              <w:spacing w:before="0" w:after="283"/>
              <w:jc w:val="left"/>
              <w:rPr/>
            </w:pPr>
            <w:r>
              <w:rPr/>
              <w:t> </w:t>
            </w:r>
          </w:p>
        </w:tc>
      </w:tr>
      <w:tr>
        <w:trPr/>
        <w:tc>
          <w:tcPr>
            <w:tcW w:w="7093"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 </w:t>
            </w:r>
          </w:p>
        </w:tc>
        <w:tc>
          <w:tcPr>
            <w:tcW w:w="172" w:type="dxa"/>
            <w:tcBorders/>
            <w:shd w:fill="CCEEFF" w:val="clear"/>
            <w:vAlign w:val="bottom"/>
          </w:tcPr>
          <w:p>
            <w:pPr>
              <w:pStyle w:val="TableContents"/>
              <w:bidi w:val="0"/>
              <w:spacing w:before="0" w:after="283"/>
              <w:jc w:val="left"/>
              <w:rPr/>
            </w:pPr>
            <w:r>
              <w:rPr/>
              <w:t> </w:t>
            </w:r>
          </w:p>
        </w:tc>
      </w:tr>
      <w:tr>
        <w:trPr/>
        <w:tc>
          <w:tcPr>
            <w:tcW w:w="7093" w:type="dxa"/>
            <w:tcBorders/>
            <w:vAlign w:val="bottom"/>
          </w:tcPr>
          <w:p>
            <w:pPr>
              <w:pStyle w:val="TableContents"/>
              <w:bidi w:val="0"/>
              <w:spacing w:before="0" w:after="0"/>
              <w:jc w:val="left"/>
              <w:rPr>
                <w:color w:val="000000"/>
              </w:rPr>
            </w:pPr>
            <w:r>
              <w:rPr>
                <w:color w:val="000000"/>
              </w:rPr>
              <w:t>Property and equipment, net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0"/>
              <w:jc w:val="right"/>
              <w:rPr>
                <w:color w:val="000000"/>
              </w:rPr>
            </w:pPr>
            <w:r>
              <w:rPr>
                <w:color w:val="000000"/>
              </w:rPr>
              <w:t>379,550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0"/>
              <w:jc w:val="right"/>
              <w:rPr>
                <w:color w:val="000000"/>
              </w:rPr>
            </w:pPr>
            <w:r>
              <w:rPr>
                <w:color w:val="000000"/>
              </w:rPr>
              <w:t>377,168</w:t>
            </w:r>
          </w:p>
        </w:tc>
        <w:tc>
          <w:tcPr>
            <w:tcW w:w="172" w:type="dxa"/>
            <w:tcBorders/>
            <w:vAlign w:val="bottom"/>
          </w:tcPr>
          <w:p>
            <w:pPr>
              <w:pStyle w:val="TableContents"/>
              <w:bidi w:val="0"/>
              <w:spacing w:before="0" w:after="283"/>
              <w:jc w:val="left"/>
              <w:rPr/>
            </w:pPr>
            <w:r>
              <w:rPr/>
              <w:t> </w:t>
            </w:r>
          </w:p>
        </w:tc>
      </w:tr>
      <w:tr>
        <w:trPr/>
        <w:tc>
          <w:tcPr>
            <w:tcW w:w="7093" w:type="dxa"/>
            <w:tcBorders/>
            <w:shd w:fill="CCEEFF" w:val="clear"/>
            <w:vAlign w:val="bottom"/>
          </w:tcPr>
          <w:p>
            <w:pPr>
              <w:pStyle w:val="TableContents"/>
              <w:bidi w:val="0"/>
              <w:spacing w:before="0" w:after="0"/>
              <w:jc w:val="left"/>
              <w:rPr>
                <w:color w:val="000000"/>
              </w:rPr>
            </w:pPr>
            <w:r>
              <w:rPr>
                <w:color w:val="000000"/>
              </w:rPr>
              <w:t>Operating lease right-of-use assets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0"/>
              <w:jc w:val="right"/>
              <w:rPr>
                <w:color w:val="000000"/>
              </w:rPr>
            </w:pPr>
            <w:r>
              <w:rPr>
                <w:color w:val="000000"/>
              </w:rPr>
              <w:t>65,442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0"/>
              <w:jc w:val="right"/>
              <w:rPr>
                <w:color w:val="000000"/>
              </w:rPr>
            </w:pPr>
            <w:r>
              <w:rPr>
                <w:color w:val="000000"/>
              </w:rPr>
              <w:t>74,021</w:t>
            </w:r>
          </w:p>
        </w:tc>
        <w:tc>
          <w:tcPr>
            <w:tcW w:w="172" w:type="dxa"/>
            <w:tcBorders/>
            <w:shd w:fill="CCEEFF" w:val="clear"/>
            <w:vAlign w:val="bottom"/>
          </w:tcPr>
          <w:p>
            <w:pPr>
              <w:pStyle w:val="TableContents"/>
              <w:bidi w:val="0"/>
              <w:spacing w:before="0" w:after="283"/>
              <w:jc w:val="left"/>
              <w:rPr/>
            </w:pPr>
            <w:r>
              <w:rPr/>
              <w:t> </w:t>
            </w:r>
          </w:p>
        </w:tc>
      </w:tr>
      <w:tr>
        <w:trPr/>
        <w:tc>
          <w:tcPr>
            <w:tcW w:w="7093" w:type="dxa"/>
            <w:tcBorders/>
            <w:vAlign w:val="bottom"/>
          </w:tcPr>
          <w:p>
            <w:pPr>
              <w:pStyle w:val="TableContents"/>
              <w:bidi w:val="0"/>
              <w:spacing w:before="0" w:after="0"/>
              <w:jc w:val="left"/>
              <w:rPr>
                <w:color w:val="000000"/>
              </w:rPr>
            </w:pPr>
            <w:r>
              <w:rPr>
                <w:color w:val="000000"/>
              </w:rPr>
              <w:t>Goodwill</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0"/>
              <w:jc w:val="right"/>
              <w:rPr>
                <w:color w:val="000000"/>
              </w:rPr>
            </w:pPr>
            <w:r>
              <w:rPr>
                <w:color w:val="000000"/>
              </w:rPr>
              <w:t>4,750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0"/>
              <w:jc w:val="right"/>
              <w:rPr>
                <w:color w:val="000000"/>
              </w:rPr>
            </w:pPr>
            <w:r>
              <w:rPr>
                <w:color w:val="000000"/>
              </w:rPr>
              <w:t>83,625</w:t>
            </w:r>
          </w:p>
        </w:tc>
        <w:tc>
          <w:tcPr>
            <w:tcW w:w="172" w:type="dxa"/>
            <w:tcBorders/>
            <w:vAlign w:val="bottom"/>
          </w:tcPr>
          <w:p>
            <w:pPr>
              <w:pStyle w:val="TableContents"/>
              <w:bidi w:val="0"/>
              <w:spacing w:before="0" w:after="283"/>
              <w:jc w:val="left"/>
              <w:rPr/>
            </w:pPr>
            <w:r>
              <w:rPr/>
              <w:t> </w:t>
            </w:r>
          </w:p>
        </w:tc>
      </w:tr>
      <w:tr>
        <w:trPr/>
        <w:tc>
          <w:tcPr>
            <w:tcW w:w="7093" w:type="dxa"/>
            <w:tcBorders/>
            <w:shd w:fill="CCEEFF" w:val="clear"/>
            <w:vAlign w:val="bottom"/>
          </w:tcPr>
          <w:p>
            <w:pPr>
              <w:pStyle w:val="TableContents"/>
              <w:bidi w:val="0"/>
              <w:spacing w:before="0" w:after="0"/>
              <w:jc w:val="left"/>
              <w:rPr>
                <w:color w:val="000000"/>
              </w:rPr>
            </w:pPr>
            <w:r>
              <w:rPr>
                <w:color w:val="000000"/>
              </w:rPr>
              <w:t>Other intangible assets, net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0"/>
              <w:jc w:val="right"/>
              <w:rPr>
                <w:color w:val="000000"/>
              </w:rPr>
            </w:pPr>
            <w:r>
              <w:rPr>
                <w:color w:val="000000"/>
              </w:rPr>
              <w:t>37,884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0"/>
              <w:jc w:val="right"/>
              <w:rPr>
                <w:color w:val="000000"/>
              </w:rPr>
            </w:pPr>
            <w:r>
              <w:rPr>
                <w:color w:val="000000"/>
              </w:rPr>
              <w:t>42,614</w:t>
            </w:r>
          </w:p>
        </w:tc>
        <w:tc>
          <w:tcPr>
            <w:tcW w:w="172" w:type="dxa"/>
            <w:tcBorders/>
            <w:shd w:fill="CCEEFF" w:val="clear"/>
            <w:vAlign w:val="bottom"/>
          </w:tcPr>
          <w:p>
            <w:pPr>
              <w:pStyle w:val="TableContents"/>
              <w:bidi w:val="0"/>
              <w:spacing w:before="0" w:after="283"/>
              <w:jc w:val="left"/>
              <w:rPr/>
            </w:pPr>
            <w:r>
              <w:rPr/>
              <w:t> </w:t>
            </w:r>
          </w:p>
        </w:tc>
      </w:tr>
      <w:tr>
        <w:trPr/>
        <w:tc>
          <w:tcPr>
            <w:tcW w:w="7093" w:type="dxa"/>
            <w:tcBorders/>
            <w:vAlign w:val="bottom"/>
          </w:tcPr>
          <w:p>
            <w:pPr>
              <w:pStyle w:val="TableContents"/>
              <w:bidi w:val="0"/>
              <w:spacing w:before="0" w:after="0"/>
              <w:jc w:val="left"/>
              <w:rPr>
                <w:color w:val="000000"/>
              </w:rPr>
            </w:pPr>
            <w:r>
              <w:rPr>
                <w:color w:val="000000"/>
              </w:rPr>
              <w:t>Other assets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8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125,755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6" w:type="dxa"/>
            <w:tcBorders>
              <w:bottom w:val="single" w:sz="12" w:space="0" w:color="000000"/>
            </w:tcBorders>
            <w:tcMar>
              <w:bottom w:w="28" w:type="dxa"/>
            </w:tcMar>
            <w:vAlign w:val="bottom"/>
          </w:tcPr>
          <w:p>
            <w:pPr>
              <w:pStyle w:val="TableContents"/>
              <w:bidi w:val="0"/>
              <w:spacing w:before="0" w:after="283"/>
              <w:jc w:val="left"/>
              <w:rPr/>
            </w:pPr>
            <w:r>
              <w:rPr/>
              <w:t> </w:t>
            </w:r>
          </w:p>
        </w:tc>
        <w:tc>
          <w:tcPr>
            <w:tcW w:w="119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280,187</w:t>
            </w:r>
          </w:p>
        </w:tc>
        <w:tc>
          <w:tcPr>
            <w:tcW w:w="172" w:type="dxa"/>
            <w:tcBorders/>
            <w:vAlign w:val="bottom"/>
          </w:tcPr>
          <w:p>
            <w:pPr>
              <w:pStyle w:val="TableContents"/>
              <w:bidi w:val="0"/>
              <w:spacing w:before="0" w:after="283"/>
              <w:jc w:val="left"/>
              <w:rPr/>
            </w:pPr>
            <w:r>
              <w:rPr/>
              <w:t> </w:t>
            </w:r>
          </w:p>
        </w:tc>
      </w:tr>
      <w:tr>
        <w:trPr/>
        <w:tc>
          <w:tcPr>
            <w:tcW w:w="7093" w:type="dxa"/>
            <w:tcBorders/>
            <w:shd w:fill="CCEEFF" w:val="clear"/>
            <w:vAlign w:val="bottom"/>
          </w:tcPr>
          <w:p>
            <w:pPr>
              <w:pStyle w:val="TableContents"/>
              <w:bidi w:val="0"/>
              <w:spacing w:before="0" w:after="0"/>
              <w:ind w:left="360" w:right="0" w:hanging="0"/>
              <w:jc w:val="left"/>
              <w:rPr>
                <w:color w:val="000000"/>
              </w:rPr>
            </w:pPr>
            <w:r>
              <w:rPr>
                <w:color w:val="000000"/>
              </w:rPr>
              <w:t>Total assets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08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1,121,530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6"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194"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1,405,313</w:t>
            </w:r>
          </w:p>
        </w:tc>
        <w:tc>
          <w:tcPr>
            <w:tcW w:w="172" w:type="dxa"/>
            <w:tcBorders/>
            <w:shd w:fill="CCEEFF" w:val="clear"/>
            <w:vAlign w:val="bottom"/>
          </w:tcPr>
          <w:p>
            <w:pPr>
              <w:pStyle w:val="TableContents"/>
              <w:bidi w:val="0"/>
              <w:spacing w:before="0" w:after="283"/>
              <w:jc w:val="left"/>
              <w:rPr/>
            </w:pPr>
            <w:r>
              <w:rPr/>
              <w:t> </w:t>
            </w:r>
          </w:p>
        </w:tc>
      </w:tr>
      <w:tr>
        <w:trPr/>
        <w:tc>
          <w:tcPr>
            <w:tcW w:w="709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 </w:t>
            </w:r>
          </w:p>
        </w:tc>
        <w:tc>
          <w:tcPr>
            <w:tcW w:w="172" w:type="dxa"/>
            <w:tcBorders/>
            <w:vAlign w:val="bottom"/>
          </w:tcPr>
          <w:p>
            <w:pPr>
              <w:pStyle w:val="TableContents"/>
              <w:bidi w:val="0"/>
              <w:spacing w:before="0" w:after="283"/>
              <w:jc w:val="left"/>
              <w:rPr/>
            </w:pPr>
            <w:r>
              <w:rPr/>
              <w:t> </w:t>
            </w:r>
          </w:p>
        </w:tc>
      </w:tr>
      <w:tr>
        <w:trPr/>
        <w:tc>
          <w:tcPr>
            <w:tcW w:w="7093" w:type="dxa"/>
            <w:tcBorders/>
            <w:shd w:fill="CCEEFF" w:val="clear"/>
            <w:vAlign w:val="bottom"/>
          </w:tcPr>
          <w:p>
            <w:pPr>
              <w:pStyle w:val="TableContents"/>
              <w:bidi w:val="0"/>
              <w:spacing w:before="0" w:after="0"/>
              <w:jc w:val="left"/>
              <w:rPr>
                <w:b/>
                <w:color w:val="000000"/>
              </w:rPr>
            </w:pPr>
            <w:r>
              <w:rPr>
                <w:b/>
                <w:color w:val="000000"/>
              </w:rPr>
              <w:t>LIABILITIES AND STOCKHOLDERS’ EQUITY</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 </w:t>
            </w:r>
          </w:p>
        </w:tc>
        <w:tc>
          <w:tcPr>
            <w:tcW w:w="172" w:type="dxa"/>
            <w:tcBorders/>
            <w:shd w:fill="CCEEFF" w:val="clear"/>
            <w:vAlign w:val="bottom"/>
          </w:tcPr>
          <w:p>
            <w:pPr>
              <w:pStyle w:val="TableContents"/>
              <w:bidi w:val="0"/>
              <w:spacing w:before="0" w:after="283"/>
              <w:jc w:val="left"/>
              <w:rPr/>
            </w:pPr>
            <w:r>
              <w:rPr/>
              <w:t> </w:t>
            </w:r>
          </w:p>
        </w:tc>
      </w:tr>
      <w:tr>
        <w:trPr/>
        <w:tc>
          <w:tcPr>
            <w:tcW w:w="7093" w:type="dxa"/>
            <w:tcBorders/>
            <w:vAlign w:val="bottom"/>
          </w:tcPr>
          <w:p>
            <w:pPr>
              <w:pStyle w:val="TableContents"/>
              <w:bidi w:val="0"/>
              <w:spacing w:before="0" w:after="0"/>
              <w:jc w:val="left"/>
              <w:rPr>
                <w:color w:val="000000"/>
              </w:rPr>
            </w:pPr>
            <w:r>
              <w:rPr>
                <w:color w:val="000000"/>
              </w:rPr>
              <w:t>Current liabilities: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 </w:t>
            </w:r>
          </w:p>
        </w:tc>
        <w:tc>
          <w:tcPr>
            <w:tcW w:w="172" w:type="dxa"/>
            <w:tcBorders/>
            <w:vAlign w:val="bottom"/>
          </w:tcPr>
          <w:p>
            <w:pPr>
              <w:pStyle w:val="TableContents"/>
              <w:bidi w:val="0"/>
              <w:spacing w:before="0" w:after="283"/>
              <w:jc w:val="left"/>
              <w:rPr/>
            </w:pPr>
            <w:r>
              <w:rPr/>
              <w:t> </w:t>
            </w:r>
          </w:p>
        </w:tc>
      </w:tr>
      <w:tr>
        <w:trPr/>
        <w:tc>
          <w:tcPr>
            <w:tcW w:w="7093" w:type="dxa"/>
            <w:tcBorders/>
            <w:shd w:fill="CCEEFF" w:val="clear"/>
            <w:vAlign w:val="bottom"/>
          </w:tcPr>
          <w:p>
            <w:pPr>
              <w:pStyle w:val="TableContents"/>
              <w:bidi w:val="0"/>
              <w:spacing w:before="0" w:after="0"/>
              <w:ind w:left="180" w:right="0" w:hanging="0"/>
              <w:jc w:val="left"/>
              <w:rPr>
                <w:color w:val="000000"/>
              </w:rPr>
            </w:pPr>
            <w:r>
              <w:rPr>
                <w:color w:val="000000"/>
              </w:rPr>
              <w:t>Accounts payable</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1085" w:type="dxa"/>
            <w:tcBorders/>
            <w:shd w:fill="CCEEFF" w:val="clear"/>
            <w:vAlign w:val="bottom"/>
          </w:tcPr>
          <w:p>
            <w:pPr>
              <w:pStyle w:val="TableContents"/>
              <w:bidi w:val="0"/>
              <w:spacing w:before="0" w:after="0"/>
              <w:jc w:val="right"/>
              <w:rPr>
                <w:color w:val="000000"/>
              </w:rPr>
            </w:pPr>
            <w:r>
              <w:rPr>
                <w:color w:val="000000"/>
              </w:rPr>
              <w:t>37,711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0"/>
              <w:jc w:val="left"/>
              <w:rPr>
                <w:color w:val="000000"/>
              </w:rPr>
            </w:pPr>
            <w:r>
              <w:rPr>
                <w:color w:val="000000"/>
              </w:rPr>
              <w:t>$</w:t>
            </w:r>
          </w:p>
        </w:tc>
        <w:tc>
          <w:tcPr>
            <w:tcW w:w="1194" w:type="dxa"/>
            <w:tcBorders/>
            <w:shd w:fill="CCEEFF" w:val="clear"/>
            <w:vAlign w:val="bottom"/>
          </w:tcPr>
          <w:p>
            <w:pPr>
              <w:pStyle w:val="TableContents"/>
              <w:bidi w:val="0"/>
              <w:spacing w:before="0" w:after="0"/>
              <w:jc w:val="right"/>
              <w:rPr>
                <w:color w:val="000000"/>
              </w:rPr>
            </w:pPr>
            <w:r>
              <w:rPr>
                <w:color w:val="000000"/>
              </w:rPr>
              <w:t>26,183</w:t>
            </w:r>
          </w:p>
        </w:tc>
        <w:tc>
          <w:tcPr>
            <w:tcW w:w="172" w:type="dxa"/>
            <w:tcBorders/>
            <w:shd w:fill="CCEEFF" w:val="clear"/>
            <w:vAlign w:val="bottom"/>
          </w:tcPr>
          <w:p>
            <w:pPr>
              <w:pStyle w:val="TableContents"/>
              <w:bidi w:val="0"/>
              <w:spacing w:before="0" w:after="283"/>
              <w:jc w:val="left"/>
              <w:rPr/>
            </w:pPr>
            <w:r>
              <w:rPr/>
              <w:t> </w:t>
            </w:r>
          </w:p>
        </w:tc>
      </w:tr>
      <w:tr>
        <w:trPr/>
        <w:tc>
          <w:tcPr>
            <w:tcW w:w="7093" w:type="dxa"/>
            <w:tcBorders/>
            <w:vAlign w:val="bottom"/>
          </w:tcPr>
          <w:p>
            <w:pPr>
              <w:pStyle w:val="TableContents"/>
              <w:bidi w:val="0"/>
              <w:spacing w:before="0" w:after="0"/>
              <w:ind w:left="180" w:right="0" w:hanging="0"/>
              <w:jc w:val="left"/>
              <w:rPr>
                <w:color w:val="000000"/>
              </w:rPr>
            </w:pPr>
            <w:r>
              <w:rPr>
                <w:color w:val="000000"/>
              </w:rPr>
              <w:t>Accrued expenses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0"/>
              <w:jc w:val="right"/>
              <w:rPr>
                <w:color w:val="000000"/>
              </w:rPr>
            </w:pPr>
            <w:r>
              <w:rPr>
                <w:color w:val="000000"/>
              </w:rPr>
              <w:t>198,636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0"/>
              <w:jc w:val="right"/>
              <w:rPr>
                <w:color w:val="000000"/>
              </w:rPr>
            </w:pPr>
            <w:r>
              <w:rPr>
                <w:color w:val="000000"/>
              </w:rPr>
              <w:t>217,551</w:t>
            </w:r>
          </w:p>
        </w:tc>
        <w:tc>
          <w:tcPr>
            <w:tcW w:w="172" w:type="dxa"/>
            <w:tcBorders/>
            <w:vAlign w:val="bottom"/>
          </w:tcPr>
          <w:p>
            <w:pPr>
              <w:pStyle w:val="TableContents"/>
              <w:bidi w:val="0"/>
              <w:spacing w:before="0" w:after="283"/>
              <w:jc w:val="left"/>
              <w:rPr/>
            </w:pPr>
            <w:r>
              <w:rPr/>
              <w:t> </w:t>
            </w:r>
          </w:p>
        </w:tc>
      </w:tr>
      <w:tr>
        <w:trPr/>
        <w:tc>
          <w:tcPr>
            <w:tcW w:w="7093" w:type="dxa"/>
            <w:tcBorders/>
            <w:shd w:fill="CCEEFF" w:val="clear"/>
            <w:vAlign w:val="bottom"/>
          </w:tcPr>
          <w:p>
            <w:pPr>
              <w:pStyle w:val="TableContents"/>
              <w:bidi w:val="0"/>
              <w:spacing w:before="0" w:after="0"/>
              <w:ind w:left="180" w:right="0" w:hanging="0"/>
              <w:jc w:val="left"/>
              <w:rPr>
                <w:color w:val="000000"/>
              </w:rPr>
            </w:pPr>
            <w:r>
              <w:rPr>
                <w:color w:val="000000"/>
              </w:rPr>
              <w:t>Current portion of long-term debt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20,000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20,000</w:t>
            </w:r>
          </w:p>
        </w:tc>
        <w:tc>
          <w:tcPr>
            <w:tcW w:w="172" w:type="dxa"/>
            <w:tcBorders/>
            <w:shd w:fill="CCEEFF" w:val="clear"/>
            <w:vAlign w:val="bottom"/>
          </w:tcPr>
          <w:p>
            <w:pPr>
              <w:pStyle w:val="TableContents"/>
              <w:bidi w:val="0"/>
              <w:spacing w:before="0" w:after="283"/>
              <w:jc w:val="left"/>
              <w:rPr/>
            </w:pPr>
            <w:r>
              <w:rPr/>
              <w:t> </w:t>
            </w:r>
          </w:p>
        </w:tc>
      </w:tr>
      <w:tr>
        <w:trPr/>
        <w:tc>
          <w:tcPr>
            <w:tcW w:w="7093" w:type="dxa"/>
            <w:tcBorders/>
            <w:vAlign w:val="bottom"/>
          </w:tcPr>
          <w:p>
            <w:pPr>
              <w:pStyle w:val="TableContents"/>
              <w:bidi w:val="0"/>
              <w:spacing w:before="0" w:after="0"/>
              <w:ind w:left="360" w:right="0" w:hanging="0"/>
              <w:jc w:val="left"/>
              <w:rPr>
                <w:color w:val="000000"/>
              </w:rPr>
            </w:pPr>
            <w:r>
              <w:rPr>
                <w:color w:val="000000"/>
              </w:rPr>
              <w:t>Total current liabilities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0"/>
              <w:jc w:val="right"/>
              <w:rPr>
                <w:color w:val="000000"/>
              </w:rPr>
            </w:pPr>
            <w:r>
              <w:rPr>
                <w:color w:val="000000"/>
              </w:rPr>
              <w:t>256,347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0"/>
              <w:jc w:val="right"/>
              <w:rPr>
                <w:color w:val="000000"/>
              </w:rPr>
            </w:pPr>
            <w:r>
              <w:rPr>
                <w:color w:val="000000"/>
              </w:rPr>
              <w:t>263,734</w:t>
            </w:r>
          </w:p>
        </w:tc>
        <w:tc>
          <w:tcPr>
            <w:tcW w:w="172" w:type="dxa"/>
            <w:tcBorders/>
            <w:vAlign w:val="bottom"/>
          </w:tcPr>
          <w:p>
            <w:pPr>
              <w:pStyle w:val="TableContents"/>
              <w:bidi w:val="0"/>
              <w:spacing w:before="0" w:after="283"/>
              <w:jc w:val="left"/>
              <w:rPr/>
            </w:pPr>
            <w:r>
              <w:rPr/>
              <w:t> </w:t>
            </w:r>
          </w:p>
        </w:tc>
      </w:tr>
      <w:tr>
        <w:trPr/>
        <w:tc>
          <w:tcPr>
            <w:tcW w:w="7093"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 </w:t>
            </w:r>
          </w:p>
        </w:tc>
        <w:tc>
          <w:tcPr>
            <w:tcW w:w="172" w:type="dxa"/>
            <w:tcBorders/>
            <w:shd w:fill="CCEEFF" w:val="clear"/>
            <w:vAlign w:val="bottom"/>
          </w:tcPr>
          <w:p>
            <w:pPr>
              <w:pStyle w:val="TableContents"/>
              <w:bidi w:val="0"/>
              <w:spacing w:before="0" w:after="283"/>
              <w:jc w:val="left"/>
              <w:rPr/>
            </w:pPr>
            <w:r>
              <w:rPr/>
              <w:t> </w:t>
            </w:r>
          </w:p>
        </w:tc>
      </w:tr>
      <w:tr>
        <w:trPr/>
        <w:tc>
          <w:tcPr>
            <w:tcW w:w="7093" w:type="dxa"/>
            <w:tcBorders/>
            <w:vAlign w:val="bottom"/>
          </w:tcPr>
          <w:p>
            <w:pPr>
              <w:pStyle w:val="TableContents"/>
              <w:bidi w:val="0"/>
              <w:spacing w:before="0" w:after="0"/>
              <w:jc w:val="left"/>
              <w:rPr>
                <w:color w:val="000000"/>
              </w:rPr>
            </w:pPr>
            <w:r>
              <w:rPr>
                <w:color w:val="000000"/>
              </w:rPr>
              <w:t>Operating lease liabilities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0"/>
              <w:jc w:val="right"/>
              <w:rPr>
                <w:color w:val="000000"/>
              </w:rPr>
            </w:pPr>
            <w:r>
              <w:rPr>
                <w:color w:val="000000"/>
              </w:rPr>
              <w:t>50,075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0"/>
              <w:jc w:val="right"/>
              <w:rPr>
                <w:color w:val="000000"/>
              </w:rPr>
            </w:pPr>
            <w:r>
              <w:rPr>
                <w:color w:val="000000"/>
              </w:rPr>
              <w:t>57,640</w:t>
            </w:r>
          </w:p>
        </w:tc>
        <w:tc>
          <w:tcPr>
            <w:tcW w:w="172" w:type="dxa"/>
            <w:tcBorders/>
            <w:vAlign w:val="bottom"/>
          </w:tcPr>
          <w:p>
            <w:pPr>
              <w:pStyle w:val="TableContents"/>
              <w:bidi w:val="0"/>
              <w:spacing w:before="0" w:after="283"/>
              <w:jc w:val="left"/>
              <w:rPr/>
            </w:pPr>
            <w:r>
              <w:rPr/>
              <w:t> </w:t>
            </w:r>
          </w:p>
        </w:tc>
      </w:tr>
      <w:tr>
        <w:trPr/>
        <w:tc>
          <w:tcPr>
            <w:tcW w:w="7093" w:type="dxa"/>
            <w:tcBorders/>
            <w:shd w:fill="CCEEFF" w:val="clear"/>
            <w:vAlign w:val="bottom"/>
          </w:tcPr>
          <w:p>
            <w:pPr>
              <w:pStyle w:val="TableContents"/>
              <w:bidi w:val="0"/>
              <w:spacing w:before="0" w:after="0"/>
              <w:jc w:val="left"/>
              <w:rPr>
                <w:color w:val="000000"/>
              </w:rPr>
            </w:pPr>
            <w:r>
              <w:rPr>
                <w:color w:val="000000"/>
              </w:rPr>
              <w:t>Long-term debt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0"/>
              <w:jc w:val="right"/>
              <w:rPr>
                <w:color w:val="000000"/>
              </w:rPr>
            </w:pPr>
            <w:r>
              <w:rPr>
                <w:color w:val="000000"/>
              </w:rPr>
              <w:t>193,664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0"/>
              <w:jc w:val="right"/>
              <w:rPr>
                <w:color w:val="000000"/>
              </w:rPr>
            </w:pPr>
            <w:r>
              <w:rPr>
                <w:color w:val="000000"/>
              </w:rPr>
              <w:t>204,187</w:t>
            </w:r>
          </w:p>
        </w:tc>
        <w:tc>
          <w:tcPr>
            <w:tcW w:w="172" w:type="dxa"/>
            <w:tcBorders/>
            <w:shd w:fill="CCEEFF" w:val="clear"/>
            <w:vAlign w:val="bottom"/>
          </w:tcPr>
          <w:p>
            <w:pPr>
              <w:pStyle w:val="TableContents"/>
              <w:bidi w:val="0"/>
              <w:spacing w:before="0" w:after="283"/>
              <w:jc w:val="left"/>
              <w:rPr/>
            </w:pPr>
            <w:r>
              <w:rPr/>
              <w:t> </w:t>
            </w:r>
          </w:p>
        </w:tc>
      </w:tr>
      <w:tr>
        <w:trPr/>
        <w:tc>
          <w:tcPr>
            <w:tcW w:w="7093" w:type="dxa"/>
            <w:tcBorders/>
            <w:vAlign w:val="bottom"/>
          </w:tcPr>
          <w:p>
            <w:pPr>
              <w:pStyle w:val="TableContents"/>
              <w:bidi w:val="0"/>
              <w:spacing w:before="0" w:after="0"/>
              <w:jc w:val="left"/>
              <w:rPr>
                <w:color w:val="000000"/>
              </w:rPr>
            </w:pPr>
            <w:r>
              <w:rPr>
                <w:color w:val="000000"/>
              </w:rPr>
              <w:t>Other liabilities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8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78,705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6" w:type="dxa"/>
            <w:tcBorders>
              <w:bottom w:val="single" w:sz="12" w:space="0" w:color="000000"/>
            </w:tcBorders>
            <w:tcMar>
              <w:bottom w:w="28" w:type="dxa"/>
            </w:tcMar>
            <w:vAlign w:val="bottom"/>
          </w:tcPr>
          <w:p>
            <w:pPr>
              <w:pStyle w:val="TableContents"/>
              <w:bidi w:val="0"/>
              <w:spacing w:before="0" w:after="283"/>
              <w:jc w:val="left"/>
              <w:rPr/>
            </w:pPr>
            <w:r>
              <w:rPr/>
              <w:t> </w:t>
            </w:r>
          </w:p>
        </w:tc>
        <w:tc>
          <w:tcPr>
            <w:tcW w:w="119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74,512</w:t>
            </w:r>
          </w:p>
        </w:tc>
        <w:tc>
          <w:tcPr>
            <w:tcW w:w="172" w:type="dxa"/>
            <w:tcBorders/>
            <w:vAlign w:val="bottom"/>
          </w:tcPr>
          <w:p>
            <w:pPr>
              <w:pStyle w:val="TableContents"/>
              <w:bidi w:val="0"/>
              <w:spacing w:before="0" w:after="283"/>
              <w:jc w:val="left"/>
              <w:rPr/>
            </w:pPr>
            <w:r>
              <w:rPr/>
              <w:t> </w:t>
            </w:r>
          </w:p>
        </w:tc>
      </w:tr>
      <w:tr>
        <w:trPr/>
        <w:tc>
          <w:tcPr>
            <w:tcW w:w="7093" w:type="dxa"/>
            <w:tcBorders/>
            <w:shd w:fill="CCEEFF" w:val="clear"/>
            <w:vAlign w:val="bottom"/>
          </w:tcPr>
          <w:p>
            <w:pPr>
              <w:pStyle w:val="TableContents"/>
              <w:bidi w:val="0"/>
              <w:spacing w:before="0" w:after="0"/>
              <w:ind w:left="360" w:right="0" w:hanging="0"/>
              <w:jc w:val="left"/>
              <w:rPr>
                <w:color w:val="000000"/>
              </w:rPr>
            </w:pPr>
            <w:r>
              <w:rPr>
                <w:color w:val="000000"/>
              </w:rPr>
              <w:t>Total liabilities</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578,791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600,073</w:t>
            </w:r>
          </w:p>
        </w:tc>
        <w:tc>
          <w:tcPr>
            <w:tcW w:w="172" w:type="dxa"/>
            <w:tcBorders/>
            <w:shd w:fill="CCEEFF" w:val="clear"/>
            <w:vAlign w:val="bottom"/>
          </w:tcPr>
          <w:p>
            <w:pPr>
              <w:pStyle w:val="TableContents"/>
              <w:bidi w:val="0"/>
              <w:spacing w:before="0" w:after="283"/>
              <w:jc w:val="left"/>
              <w:rPr/>
            </w:pPr>
            <w:r>
              <w:rPr/>
              <w:t> </w:t>
            </w:r>
          </w:p>
        </w:tc>
      </w:tr>
      <w:tr>
        <w:trPr/>
        <w:tc>
          <w:tcPr>
            <w:tcW w:w="709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 </w:t>
            </w:r>
          </w:p>
        </w:tc>
        <w:tc>
          <w:tcPr>
            <w:tcW w:w="172" w:type="dxa"/>
            <w:tcBorders/>
            <w:vAlign w:val="bottom"/>
          </w:tcPr>
          <w:p>
            <w:pPr>
              <w:pStyle w:val="TableContents"/>
              <w:bidi w:val="0"/>
              <w:spacing w:before="0" w:after="283"/>
              <w:jc w:val="left"/>
              <w:rPr/>
            </w:pPr>
            <w:r>
              <w:rPr/>
              <w:t> </w:t>
            </w:r>
          </w:p>
        </w:tc>
      </w:tr>
      <w:tr>
        <w:trPr/>
        <w:tc>
          <w:tcPr>
            <w:tcW w:w="7093" w:type="dxa"/>
            <w:tcBorders/>
            <w:shd w:fill="CCEEFF" w:val="clear"/>
            <w:vAlign w:val="bottom"/>
          </w:tcPr>
          <w:p>
            <w:pPr>
              <w:pStyle w:val="TableContents"/>
              <w:bidi w:val="0"/>
              <w:spacing w:before="0" w:after="0"/>
              <w:jc w:val="left"/>
              <w:rPr>
                <w:color w:val="000000"/>
              </w:rPr>
            </w:pPr>
            <w:r>
              <w:rPr>
                <w:color w:val="000000"/>
              </w:rPr>
              <w:t>Commitments and contingencies (Notes 6 and 12)</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0"/>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0"/>
              <w:jc w:val="right"/>
              <w:rPr/>
            </w:pPr>
            <w:r>
              <w:rPr/>
              <w:t> </w:t>
            </w:r>
          </w:p>
        </w:tc>
        <w:tc>
          <w:tcPr>
            <w:tcW w:w="172" w:type="dxa"/>
            <w:tcBorders/>
            <w:shd w:fill="CCEEFF" w:val="clear"/>
            <w:vAlign w:val="bottom"/>
          </w:tcPr>
          <w:p>
            <w:pPr>
              <w:pStyle w:val="TableContents"/>
              <w:bidi w:val="0"/>
              <w:spacing w:before="0" w:after="283"/>
              <w:jc w:val="left"/>
              <w:rPr/>
            </w:pPr>
            <w:r>
              <w:rPr/>
              <w:t> </w:t>
            </w:r>
          </w:p>
        </w:tc>
      </w:tr>
      <w:tr>
        <w:trPr/>
        <w:tc>
          <w:tcPr>
            <w:tcW w:w="709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283"/>
              <w:jc w:val="right"/>
              <w:rPr/>
            </w:pPr>
            <w:r>
              <w:rPr/>
              <w:t> </w:t>
            </w:r>
          </w:p>
        </w:tc>
        <w:tc>
          <w:tcPr>
            <w:tcW w:w="172" w:type="dxa"/>
            <w:tcBorders/>
            <w:vAlign w:val="bottom"/>
          </w:tcPr>
          <w:p>
            <w:pPr>
              <w:pStyle w:val="TableContents"/>
              <w:bidi w:val="0"/>
              <w:spacing w:before="0" w:after="283"/>
              <w:jc w:val="left"/>
              <w:rPr/>
            </w:pPr>
            <w:r>
              <w:rPr/>
              <w:t> </w:t>
            </w:r>
          </w:p>
        </w:tc>
      </w:tr>
      <w:tr>
        <w:trPr/>
        <w:tc>
          <w:tcPr>
            <w:tcW w:w="7093" w:type="dxa"/>
            <w:tcBorders/>
            <w:shd w:fill="CCEEFF" w:val="clear"/>
            <w:vAlign w:val="bottom"/>
          </w:tcPr>
          <w:p>
            <w:pPr>
              <w:pStyle w:val="TableContents"/>
              <w:bidi w:val="0"/>
              <w:spacing w:before="0" w:after="0"/>
              <w:jc w:val="left"/>
              <w:rPr>
                <w:color w:val="000000"/>
              </w:rPr>
            </w:pPr>
            <w:r>
              <w:rPr>
                <w:color w:val="000000"/>
              </w:rPr>
              <w:t>Stockholders’ equity:</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 </w:t>
            </w:r>
          </w:p>
        </w:tc>
        <w:tc>
          <w:tcPr>
            <w:tcW w:w="172" w:type="dxa"/>
            <w:tcBorders/>
            <w:shd w:fill="CCEEFF" w:val="clear"/>
            <w:vAlign w:val="bottom"/>
          </w:tcPr>
          <w:p>
            <w:pPr>
              <w:pStyle w:val="TableContents"/>
              <w:bidi w:val="0"/>
              <w:spacing w:before="0" w:after="283"/>
              <w:jc w:val="left"/>
              <w:rPr/>
            </w:pPr>
            <w:r>
              <w:rPr/>
              <w:t> </w:t>
            </w:r>
          </w:p>
        </w:tc>
      </w:tr>
      <w:tr>
        <w:trPr/>
        <w:tc>
          <w:tcPr>
            <w:tcW w:w="7093" w:type="dxa"/>
            <w:tcBorders/>
            <w:vAlign w:val="bottom"/>
          </w:tcPr>
          <w:p>
            <w:pPr>
              <w:pStyle w:val="TableContents"/>
              <w:bidi w:val="0"/>
              <w:spacing w:before="0" w:after="0"/>
              <w:ind w:left="360" w:right="0" w:hanging="180"/>
              <w:jc w:val="left"/>
              <w:rPr>
                <w:color w:val="000000"/>
              </w:rPr>
            </w:pPr>
            <w:r>
              <w:rPr>
                <w:color w:val="000000"/>
              </w:rPr>
              <w:t>Class A common stock – 500 million shares authorized, $0.001 par value, 90.6 million shares issued</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0"/>
              <w:jc w:val="right"/>
              <w:rPr>
                <w:color w:val="000000"/>
              </w:rPr>
            </w:pPr>
            <w:r>
              <w:rPr>
                <w:color w:val="000000"/>
              </w:rPr>
              <w:t>91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0"/>
              <w:jc w:val="right"/>
              <w:rPr>
                <w:color w:val="000000"/>
              </w:rPr>
            </w:pPr>
            <w:r>
              <w:rPr>
                <w:color w:val="000000"/>
              </w:rPr>
              <w:t>91</w:t>
            </w:r>
          </w:p>
        </w:tc>
        <w:tc>
          <w:tcPr>
            <w:tcW w:w="172" w:type="dxa"/>
            <w:tcBorders/>
            <w:vAlign w:val="bottom"/>
          </w:tcPr>
          <w:p>
            <w:pPr>
              <w:pStyle w:val="TableContents"/>
              <w:bidi w:val="0"/>
              <w:spacing w:before="0" w:after="283"/>
              <w:jc w:val="left"/>
              <w:rPr/>
            </w:pPr>
            <w:r>
              <w:rPr/>
              <w:t> </w:t>
            </w:r>
          </w:p>
        </w:tc>
      </w:tr>
      <w:tr>
        <w:trPr/>
        <w:tc>
          <w:tcPr>
            <w:tcW w:w="7093" w:type="dxa"/>
            <w:tcBorders/>
            <w:shd w:fill="CCEEFF" w:val="clear"/>
            <w:vAlign w:val="bottom"/>
          </w:tcPr>
          <w:p>
            <w:pPr>
              <w:pStyle w:val="TableContents"/>
              <w:bidi w:val="0"/>
              <w:spacing w:before="0" w:after="0"/>
              <w:ind w:left="180" w:right="0" w:hanging="0"/>
              <w:jc w:val="left"/>
              <w:rPr>
                <w:color w:val="000000"/>
              </w:rPr>
            </w:pPr>
            <w:r>
              <w:rPr>
                <w:color w:val="000000"/>
              </w:rPr>
              <w:t>Additional paid-in capital</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0"/>
              <w:jc w:val="right"/>
              <w:rPr>
                <w:color w:val="000000"/>
              </w:rPr>
            </w:pPr>
            <w:r>
              <w:rPr>
                <w:color w:val="000000"/>
              </w:rPr>
              <w:t>612,412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0"/>
              <w:jc w:val="right"/>
              <w:rPr>
                <w:color w:val="000000"/>
              </w:rPr>
            </w:pPr>
            <w:r>
              <w:rPr>
                <w:color w:val="000000"/>
              </w:rPr>
              <w:t>635,994</w:t>
            </w:r>
          </w:p>
        </w:tc>
        <w:tc>
          <w:tcPr>
            <w:tcW w:w="172" w:type="dxa"/>
            <w:tcBorders/>
            <w:shd w:fill="CCEEFF" w:val="clear"/>
            <w:vAlign w:val="bottom"/>
          </w:tcPr>
          <w:p>
            <w:pPr>
              <w:pStyle w:val="TableContents"/>
              <w:bidi w:val="0"/>
              <w:spacing w:before="0" w:after="283"/>
              <w:jc w:val="left"/>
              <w:rPr/>
            </w:pPr>
            <w:r>
              <w:rPr/>
              <w:t> </w:t>
            </w:r>
          </w:p>
        </w:tc>
      </w:tr>
      <w:tr>
        <w:trPr/>
        <w:tc>
          <w:tcPr>
            <w:tcW w:w="7093" w:type="dxa"/>
            <w:tcBorders/>
            <w:vAlign w:val="bottom"/>
          </w:tcPr>
          <w:p>
            <w:pPr>
              <w:pStyle w:val="TableContents"/>
              <w:bidi w:val="0"/>
              <w:spacing w:before="0" w:after="0"/>
              <w:ind w:left="180" w:right="0" w:hanging="0"/>
              <w:jc w:val="left"/>
              <w:rPr>
                <w:color w:val="000000"/>
              </w:rPr>
            </w:pPr>
            <w:r>
              <w:rPr>
                <w:color w:val="000000"/>
              </w:rPr>
              <w:t>Treasury stock, at cost – 41.9 million and 42.4 million shares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0"/>
              <w:jc w:val="right"/>
              <w:rPr>
                <w:color w:val="000000"/>
              </w:rPr>
            </w:pPr>
            <w:r>
              <w:rPr>
                <w:color w:val="000000"/>
              </w:rPr>
              <w:t>(1,558,183</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94" w:type="dxa"/>
            <w:tcBorders/>
            <w:vAlign w:val="bottom"/>
          </w:tcPr>
          <w:p>
            <w:pPr>
              <w:pStyle w:val="TableContents"/>
              <w:bidi w:val="0"/>
              <w:spacing w:before="0" w:after="0"/>
              <w:jc w:val="right"/>
              <w:rPr>
                <w:color w:val="000000"/>
              </w:rPr>
            </w:pPr>
            <w:r>
              <w:rPr>
                <w:color w:val="000000"/>
              </w:rPr>
              <w:t>(1,575,059</w:t>
            </w:r>
          </w:p>
        </w:tc>
        <w:tc>
          <w:tcPr>
            <w:tcW w:w="172" w:type="dxa"/>
            <w:tcBorders/>
            <w:vAlign w:val="bottom"/>
          </w:tcPr>
          <w:p>
            <w:pPr>
              <w:pStyle w:val="TableContents"/>
              <w:bidi w:val="0"/>
              <w:spacing w:before="0" w:after="0"/>
              <w:jc w:val="left"/>
              <w:rPr>
                <w:color w:val="000000"/>
              </w:rPr>
            </w:pPr>
            <w:r>
              <w:rPr>
                <w:color w:val="000000"/>
              </w:rPr>
              <w:t>)</w:t>
            </w:r>
          </w:p>
        </w:tc>
      </w:tr>
      <w:tr>
        <w:trPr/>
        <w:tc>
          <w:tcPr>
            <w:tcW w:w="7093" w:type="dxa"/>
            <w:tcBorders/>
            <w:shd w:fill="CCEEFF" w:val="clear"/>
            <w:vAlign w:val="bottom"/>
          </w:tcPr>
          <w:p>
            <w:pPr>
              <w:pStyle w:val="TableContents"/>
              <w:bidi w:val="0"/>
              <w:spacing w:before="0" w:after="0"/>
              <w:ind w:left="180" w:right="0" w:hanging="0"/>
              <w:jc w:val="left"/>
              <w:rPr>
                <w:color w:val="000000"/>
              </w:rPr>
            </w:pPr>
            <w:r>
              <w:rPr>
                <w:color w:val="000000"/>
              </w:rPr>
              <w:t>Accumulated other comprehensive loss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0"/>
              <w:jc w:val="right"/>
              <w:rPr>
                <w:color w:val="000000"/>
              </w:rPr>
            </w:pPr>
            <w:r>
              <w:rPr>
                <w:color w:val="000000"/>
              </w:rPr>
              <w:t>(118,152</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0"/>
              <w:jc w:val="right"/>
              <w:rPr>
                <w:color w:val="000000"/>
              </w:rPr>
            </w:pPr>
            <w:r>
              <w:rPr>
                <w:color w:val="000000"/>
              </w:rPr>
              <w:t>(116,105</w:t>
            </w:r>
          </w:p>
        </w:tc>
        <w:tc>
          <w:tcPr>
            <w:tcW w:w="172" w:type="dxa"/>
            <w:tcBorders/>
            <w:shd w:fill="CCEEFF" w:val="clear"/>
            <w:vAlign w:val="bottom"/>
          </w:tcPr>
          <w:p>
            <w:pPr>
              <w:pStyle w:val="TableContents"/>
              <w:bidi w:val="0"/>
              <w:spacing w:before="0" w:after="0"/>
              <w:jc w:val="left"/>
              <w:rPr>
                <w:color w:val="000000"/>
              </w:rPr>
            </w:pPr>
            <w:r>
              <w:rPr>
                <w:color w:val="000000"/>
              </w:rPr>
              <w:t>)</w:t>
            </w:r>
          </w:p>
        </w:tc>
      </w:tr>
      <w:tr>
        <w:trPr/>
        <w:tc>
          <w:tcPr>
            <w:tcW w:w="7093" w:type="dxa"/>
            <w:tcBorders/>
            <w:vAlign w:val="bottom"/>
          </w:tcPr>
          <w:p>
            <w:pPr>
              <w:pStyle w:val="TableContents"/>
              <w:bidi w:val="0"/>
              <w:spacing w:before="0" w:after="0"/>
              <w:ind w:left="180" w:right="0" w:hanging="0"/>
              <w:jc w:val="left"/>
              <w:rPr>
                <w:color w:val="000000"/>
              </w:rPr>
            </w:pPr>
            <w:r>
              <w:rPr>
                <w:color w:val="000000"/>
              </w:rPr>
              <w:t>Retained earnings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8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1,606,571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6" w:type="dxa"/>
            <w:tcBorders>
              <w:bottom w:val="single" w:sz="12" w:space="0" w:color="000000"/>
            </w:tcBorders>
            <w:tcMar>
              <w:bottom w:w="28" w:type="dxa"/>
            </w:tcMar>
            <w:vAlign w:val="bottom"/>
          </w:tcPr>
          <w:p>
            <w:pPr>
              <w:pStyle w:val="TableContents"/>
              <w:bidi w:val="0"/>
              <w:spacing w:before="0" w:after="283"/>
              <w:jc w:val="left"/>
              <w:rPr/>
            </w:pPr>
            <w:r>
              <w:rPr/>
              <w:t> </w:t>
            </w:r>
          </w:p>
        </w:tc>
        <w:tc>
          <w:tcPr>
            <w:tcW w:w="1194"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1,860,319</w:t>
            </w:r>
          </w:p>
        </w:tc>
        <w:tc>
          <w:tcPr>
            <w:tcW w:w="172" w:type="dxa"/>
            <w:tcBorders/>
            <w:vAlign w:val="bottom"/>
          </w:tcPr>
          <w:p>
            <w:pPr>
              <w:pStyle w:val="TableContents"/>
              <w:bidi w:val="0"/>
              <w:spacing w:before="0" w:after="283"/>
              <w:jc w:val="left"/>
              <w:rPr/>
            </w:pPr>
            <w:r>
              <w:rPr/>
              <w:t> </w:t>
            </w:r>
          </w:p>
        </w:tc>
      </w:tr>
      <w:tr>
        <w:trPr/>
        <w:tc>
          <w:tcPr>
            <w:tcW w:w="7093" w:type="dxa"/>
            <w:tcBorders/>
            <w:shd w:fill="CCEEFF" w:val="clear"/>
            <w:vAlign w:val="bottom"/>
          </w:tcPr>
          <w:p>
            <w:pPr>
              <w:pStyle w:val="TableContents"/>
              <w:bidi w:val="0"/>
              <w:spacing w:before="0" w:after="0"/>
              <w:ind w:left="360" w:right="0" w:hanging="0"/>
              <w:jc w:val="left"/>
              <w:rPr>
                <w:color w:val="000000"/>
              </w:rPr>
            </w:pPr>
            <w:r>
              <w:rPr>
                <w:color w:val="000000"/>
              </w:rPr>
              <w:t>Total stockholders’ equity</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542,739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9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805,240</w:t>
            </w:r>
          </w:p>
        </w:tc>
        <w:tc>
          <w:tcPr>
            <w:tcW w:w="172" w:type="dxa"/>
            <w:tcBorders/>
            <w:shd w:fill="CCEEFF" w:val="clear"/>
            <w:vAlign w:val="bottom"/>
          </w:tcPr>
          <w:p>
            <w:pPr>
              <w:pStyle w:val="TableContents"/>
              <w:bidi w:val="0"/>
              <w:spacing w:before="0" w:after="283"/>
              <w:jc w:val="left"/>
              <w:rPr/>
            </w:pPr>
            <w:r>
              <w:rPr/>
              <w:t> </w:t>
            </w:r>
          </w:p>
        </w:tc>
      </w:tr>
      <w:tr>
        <w:trPr/>
        <w:tc>
          <w:tcPr>
            <w:tcW w:w="7093" w:type="dxa"/>
            <w:tcBorders/>
            <w:vAlign w:val="bottom"/>
          </w:tcPr>
          <w:p>
            <w:pPr>
              <w:pStyle w:val="TableContents"/>
              <w:bidi w:val="0"/>
              <w:spacing w:before="0" w:after="0"/>
              <w:ind w:left="360" w:right="0" w:hanging="0"/>
              <w:jc w:val="left"/>
              <w:rPr>
                <w:color w:val="000000"/>
              </w:rPr>
            </w:pPr>
            <w:r>
              <w:rPr>
                <w:color w:val="000000"/>
              </w:rPr>
              <w:t>Total liabilities and stockholders’ equity</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08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1,121,530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6"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194"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1,405,313</w:t>
            </w:r>
          </w:p>
        </w:tc>
        <w:tc>
          <w:tcPr>
            <w:tcW w:w="172"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The accompanying notes are an integral part of these consolidated financial statements.</w:t>
      </w:r>
    </w:p>
    <w:p>
      <w:pPr>
        <w:pStyle w:val="TextBody"/>
        <w:bidi w:val="0"/>
        <w:spacing w:before="0" w:after="0"/>
        <w:jc w:val="center"/>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NU SKIN ENTERPRISES, INC.</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 xml:space="preserve">Consolidated </w:t>
      </w:r>
      <w:bookmarkStart w:id="8" w:name="StatementsofIncome"/>
      <w:bookmarkEnd w:id="8"/>
      <w:r>
        <w:rPr>
          <w:rFonts w:ascii="Times New Roman" w:hAnsi="Times New Roman"/>
          <w:b/>
          <w:color w:val="000000"/>
          <w:sz w:val="20"/>
          <w:shd w:fill="FFFFFF" w:val="clear"/>
        </w:rPr>
        <w:t>Statements of Income (Unaudited)</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(U.S. dollars in thousands, except per share amounts)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4980"/>
        <w:gridCol w:w="150"/>
        <w:gridCol w:w="170"/>
        <w:gridCol w:w="905"/>
        <w:gridCol w:w="125"/>
        <w:gridCol w:w="90"/>
        <w:gridCol w:w="170"/>
        <w:gridCol w:w="830"/>
        <w:gridCol w:w="150"/>
        <w:gridCol w:w="150"/>
        <w:gridCol w:w="170"/>
        <w:gridCol w:w="905"/>
        <w:gridCol w:w="125"/>
        <w:gridCol w:w="90"/>
        <w:gridCol w:w="170"/>
        <w:gridCol w:w="830"/>
        <w:gridCol w:w="195"/>
      </w:tblGrid>
      <w:tr>
        <w:trPr/>
        <w:tc>
          <w:tcPr>
            <w:tcW w:w="498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29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w:t>
            </w:r>
          </w:p>
          <w:p>
            <w:pPr>
              <w:pStyle w:val="TableContents"/>
              <w:bidi w:val="0"/>
              <w:spacing w:before="0" w:after="0"/>
              <w:jc w:val="center"/>
              <w:rPr>
                <w:b/>
                <w:color w:val="000000"/>
              </w:rPr>
            </w:pPr>
            <w:r>
              <w:rPr>
                <w:b/>
                <w:color w:val="000000"/>
              </w:rPr>
              <w:t>June 30,</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29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Six Months Ended</w:t>
            </w:r>
          </w:p>
          <w:p>
            <w:pPr>
              <w:pStyle w:val="TableContents"/>
              <w:bidi w:val="0"/>
              <w:spacing w:before="0" w:after="0"/>
              <w:jc w:val="center"/>
              <w:rPr>
                <w:b/>
                <w:color w:val="000000"/>
              </w:rPr>
            </w:pPr>
            <w:r>
              <w:rPr>
                <w:b/>
                <w:color w:val="000000"/>
              </w:rPr>
              <w:t>June 30,</w:t>
            </w:r>
          </w:p>
        </w:tc>
        <w:tc>
          <w:tcPr>
            <w:tcW w:w="195" w:type="dxa"/>
            <w:tcBorders/>
            <w:vAlign w:val="bottom"/>
          </w:tcPr>
          <w:p>
            <w:pPr>
              <w:pStyle w:val="TableContents"/>
              <w:bidi w:val="0"/>
              <w:spacing w:before="0" w:after="283"/>
              <w:jc w:val="left"/>
              <w:rPr/>
            </w:pPr>
            <w:r>
              <w:rPr/>
              <w:t>  </w:t>
            </w:r>
          </w:p>
        </w:tc>
      </w:tr>
      <w:tr>
        <w:trPr/>
        <w:tc>
          <w:tcPr>
            <w:tcW w:w="498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95" w:type="dxa"/>
            <w:tcBorders/>
            <w:vAlign w:val="bottom"/>
          </w:tcPr>
          <w:p>
            <w:pPr>
              <w:pStyle w:val="TableContents"/>
              <w:bidi w:val="0"/>
              <w:spacing w:before="0" w:after="283"/>
              <w:jc w:val="left"/>
              <w:rPr/>
            </w:pPr>
            <w:r>
              <w:rPr/>
              <w:t> </w:t>
            </w:r>
          </w:p>
        </w:tc>
      </w:tr>
      <w:tr>
        <w:trPr/>
        <w:tc>
          <w:tcPr>
            <w:tcW w:w="4980" w:type="dxa"/>
            <w:tcBorders/>
            <w:shd w:fill="CCEEFF" w:val="clear"/>
            <w:vAlign w:val="bottom"/>
          </w:tcPr>
          <w:p>
            <w:pPr>
              <w:pStyle w:val="TableContents"/>
              <w:bidi w:val="0"/>
              <w:spacing w:before="0" w:after="0"/>
              <w:jc w:val="left"/>
              <w:rPr>
                <w:color w:val="000000"/>
              </w:rPr>
            </w:pPr>
            <w:r>
              <w:rPr>
                <w:color w:val="000000"/>
              </w:rPr>
              <w:t>Revenue</w:t>
            </w:r>
          </w:p>
        </w:tc>
        <w:tc>
          <w:tcPr>
            <w:tcW w:w="15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905" w:type="dxa"/>
            <w:tcBorders/>
            <w:shd w:fill="CCEEFF" w:val="clear"/>
            <w:vAlign w:val="bottom"/>
          </w:tcPr>
          <w:p>
            <w:pPr>
              <w:pStyle w:val="TableContents"/>
              <w:bidi w:val="0"/>
              <w:spacing w:before="0" w:after="0"/>
              <w:jc w:val="right"/>
              <w:rPr>
                <w:color w:val="000000"/>
              </w:rPr>
            </w:pPr>
            <w:r>
              <w:rPr>
                <w:color w:val="000000"/>
              </w:rPr>
              <w:t>320,112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386,138</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905" w:type="dxa"/>
            <w:tcBorders/>
            <w:shd w:fill="CCEEFF" w:val="clear"/>
            <w:vAlign w:val="bottom"/>
          </w:tcPr>
          <w:p>
            <w:pPr>
              <w:pStyle w:val="TableContents"/>
              <w:bidi w:val="0"/>
              <w:spacing w:before="0" w:after="0"/>
              <w:jc w:val="right"/>
              <w:rPr>
                <w:color w:val="000000"/>
              </w:rPr>
            </w:pPr>
            <w:r>
              <w:rPr>
                <w:color w:val="000000"/>
              </w:rPr>
              <w:t>640,720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750,628</w:t>
            </w:r>
          </w:p>
        </w:tc>
        <w:tc>
          <w:tcPr>
            <w:tcW w:w="195" w:type="dxa"/>
            <w:tcBorders/>
            <w:shd w:fill="CCEEFF" w:val="clear"/>
            <w:vAlign w:val="bottom"/>
          </w:tcPr>
          <w:p>
            <w:pPr>
              <w:pStyle w:val="TableContents"/>
              <w:bidi w:val="0"/>
              <w:spacing w:before="0" w:after="283"/>
              <w:jc w:val="left"/>
              <w:rPr/>
            </w:pPr>
            <w:r>
              <w:rPr/>
              <w:t> </w:t>
            </w:r>
          </w:p>
        </w:tc>
      </w:tr>
      <w:tr>
        <w:trPr/>
        <w:tc>
          <w:tcPr>
            <w:tcW w:w="4980" w:type="dxa"/>
            <w:tcBorders/>
            <w:vAlign w:val="bottom"/>
          </w:tcPr>
          <w:p>
            <w:pPr>
              <w:pStyle w:val="TableContents"/>
              <w:bidi w:val="0"/>
              <w:spacing w:before="0" w:after="0"/>
              <w:jc w:val="left"/>
              <w:rPr>
                <w:color w:val="000000"/>
              </w:rPr>
            </w:pPr>
            <w:r>
              <w:rPr>
                <w:color w:val="000000"/>
              </w:rPr>
              <w:t>Cost of sales</w:t>
            </w:r>
          </w:p>
        </w:tc>
        <w:tc>
          <w:tcPr>
            <w:tcW w:w="15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101,787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120,405</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207,932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237,934</w:t>
            </w:r>
          </w:p>
        </w:tc>
        <w:tc>
          <w:tcPr>
            <w:tcW w:w="195" w:type="dxa"/>
            <w:tcBorders/>
            <w:vAlign w:val="bottom"/>
          </w:tcPr>
          <w:p>
            <w:pPr>
              <w:pStyle w:val="TableContents"/>
              <w:bidi w:val="0"/>
              <w:spacing w:before="0" w:after="283"/>
              <w:jc w:val="left"/>
              <w:rPr/>
            </w:pPr>
            <w:r>
              <w:rPr/>
              <w:t> </w:t>
            </w:r>
          </w:p>
        </w:tc>
      </w:tr>
      <w:tr>
        <w:trPr/>
        <w:tc>
          <w:tcPr>
            <w:tcW w:w="4980" w:type="dxa"/>
            <w:tcBorders/>
            <w:shd w:fill="CCEEFF" w:val="clear"/>
            <w:vAlign w:val="bottom"/>
          </w:tcPr>
          <w:p>
            <w:pPr>
              <w:pStyle w:val="TableContents"/>
              <w:bidi w:val="0"/>
              <w:spacing w:before="0" w:after="0"/>
              <w:jc w:val="left"/>
              <w:rPr>
                <w:color w:val="000000"/>
              </w:rPr>
            </w:pPr>
            <w:r>
              <w:rPr>
                <w:color w:val="000000"/>
              </w:rPr>
              <w:t>Gross profit</w:t>
            </w:r>
          </w:p>
        </w:tc>
        <w:tc>
          <w:tcPr>
            <w:tcW w:w="15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218,325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265,733</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432,788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512,694</w:t>
            </w:r>
          </w:p>
        </w:tc>
        <w:tc>
          <w:tcPr>
            <w:tcW w:w="195" w:type="dxa"/>
            <w:tcBorders/>
            <w:shd w:fill="CCEEFF" w:val="clear"/>
            <w:vAlign w:val="bottom"/>
          </w:tcPr>
          <w:p>
            <w:pPr>
              <w:pStyle w:val="TableContents"/>
              <w:bidi w:val="0"/>
              <w:spacing w:before="0" w:after="283"/>
              <w:jc w:val="left"/>
              <w:rPr/>
            </w:pPr>
            <w:r>
              <w:rPr/>
              <w:t> </w:t>
            </w:r>
          </w:p>
        </w:tc>
      </w:tr>
      <w:tr>
        <w:trPr/>
        <w:tc>
          <w:tcPr>
            <w:tcW w:w="498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95" w:type="dxa"/>
            <w:tcBorders/>
            <w:vAlign w:val="bottom"/>
          </w:tcPr>
          <w:p>
            <w:pPr>
              <w:pStyle w:val="TableContents"/>
              <w:bidi w:val="0"/>
              <w:spacing w:before="0" w:after="283"/>
              <w:jc w:val="left"/>
              <w:rPr/>
            </w:pPr>
            <w:r>
              <w:rPr/>
              <w:t> </w:t>
            </w:r>
          </w:p>
        </w:tc>
      </w:tr>
      <w:tr>
        <w:trPr/>
        <w:tc>
          <w:tcPr>
            <w:tcW w:w="4980" w:type="dxa"/>
            <w:tcBorders/>
            <w:shd w:fill="CCEEFF" w:val="clear"/>
            <w:vAlign w:val="bottom"/>
          </w:tcPr>
          <w:p>
            <w:pPr>
              <w:pStyle w:val="TableContents"/>
              <w:bidi w:val="0"/>
              <w:spacing w:before="0" w:after="0"/>
              <w:jc w:val="left"/>
              <w:rPr>
                <w:color w:val="000000"/>
              </w:rPr>
            </w:pPr>
            <w:r>
              <w:rPr>
                <w:color w:val="000000"/>
              </w:rPr>
              <w:t>Operating expenses:</w:t>
            </w:r>
          </w:p>
        </w:tc>
        <w:tc>
          <w:tcPr>
            <w:tcW w:w="15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95" w:type="dxa"/>
            <w:tcBorders/>
            <w:shd w:fill="CCEEFF" w:val="clear"/>
            <w:vAlign w:val="bottom"/>
          </w:tcPr>
          <w:p>
            <w:pPr>
              <w:pStyle w:val="TableContents"/>
              <w:bidi w:val="0"/>
              <w:spacing w:before="0" w:after="283"/>
              <w:jc w:val="left"/>
              <w:rPr/>
            </w:pPr>
            <w:r>
              <w:rPr/>
              <w:t> </w:t>
            </w:r>
          </w:p>
        </w:tc>
      </w:tr>
      <w:tr>
        <w:trPr/>
        <w:tc>
          <w:tcPr>
            <w:tcW w:w="4980" w:type="dxa"/>
            <w:tcBorders/>
            <w:vAlign w:val="bottom"/>
          </w:tcPr>
          <w:p>
            <w:pPr>
              <w:pStyle w:val="TableContents"/>
              <w:bidi w:val="0"/>
              <w:spacing w:before="0" w:after="0"/>
              <w:ind w:left="180" w:right="0" w:hanging="0"/>
              <w:jc w:val="left"/>
              <w:rPr>
                <w:color w:val="000000"/>
              </w:rPr>
            </w:pPr>
            <w:r>
              <w:rPr>
                <w:color w:val="000000"/>
              </w:rPr>
              <w:t>Selling expenses</w:t>
            </w:r>
          </w:p>
        </w:tc>
        <w:tc>
          <w:tcPr>
            <w:tcW w:w="15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107,922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128,228</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217,976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246,774</w:t>
            </w:r>
          </w:p>
        </w:tc>
        <w:tc>
          <w:tcPr>
            <w:tcW w:w="195" w:type="dxa"/>
            <w:tcBorders/>
            <w:vAlign w:val="bottom"/>
          </w:tcPr>
          <w:p>
            <w:pPr>
              <w:pStyle w:val="TableContents"/>
              <w:bidi w:val="0"/>
              <w:spacing w:before="0" w:after="283"/>
              <w:jc w:val="left"/>
              <w:rPr/>
            </w:pPr>
            <w:r>
              <w:rPr/>
              <w:t> </w:t>
            </w:r>
          </w:p>
        </w:tc>
      </w:tr>
      <w:tr>
        <w:trPr/>
        <w:tc>
          <w:tcPr>
            <w:tcW w:w="4980" w:type="dxa"/>
            <w:tcBorders/>
            <w:shd w:fill="CCEEFF" w:val="clear"/>
            <w:vAlign w:val="bottom"/>
          </w:tcPr>
          <w:p>
            <w:pPr>
              <w:pStyle w:val="TableContents"/>
              <w:bidi w:val="0"/>
              <w:spacing w:before="0" w:after="0"/>
              <w:ind w:left="180" w:right="0" w:hanging="0"/>
              <w:jc w:val="left"/>
              <w:rPr>
                <w:color w:val="000000"/>
              </w:rPr>
            </w:pPr>
            <w:r>
              <w:rPr>
                <w:color w:val="000000"/>
              </w:rPr>
              <w:t>General and administrative expenses</w:t>
            </w:r>
          </w:p>
        </w:tc>
        <w:tc>
          <w:tcPr>
            <w:tcW w:w="15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90,847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106,725</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189,391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219,929</w:t>
            </w:r>
          </w:p>
        </w:tc>
        <w:tc>
          <w:tcPr>
            <w:tcW w:w="195" w:type="dxa"/>
            <w:tcBorders/>
            <w:shd w:fill="CCEEFF" w:val="clear"/>
            <w:vAlign w:val="bottom"/>
          </w:tcPr>
          <w:p>
            <w:pPr>
              <w:pStyle w:val="TableContents"/>
              <w:bidi w:val="0"/>
              <w:spacing w:before="0" w:after="283"/>
              <w:jc w:val="left"/>
              <w:rPr/>
            </w:pPr>
            <w:r>
              <w:rPr/>
              <w:t> </w:t>
            </w:r>
          </w:p>
        </w:tc>
      </w:tr>
      <w:tr>
        <w:trPr/>
        <w:tc>
          <w:tcPr>
            <w:tcW w:w="4980" w:type="dxa"/>
            <w:tcBorders/>
            <w:vAlign w:val="bottom"/>
          </w:tcPr>
          <w:p>
            <w:pPr>
              <w:pStyle w:val="TableContents"/>
              <w:bidi w:val="0"/>
              <w:spacing w:before="0" w:after="0"/>
              <w:ind w:left="180" w:right="0" w:hanging="0"/>
              <w:jc w:val="left"/>
              <w:rPr>
                <w:color w:val="000000"/>
              </w:rPr>
            </w:pPr>
            <w:r>
              <w:rPr>
                <w:color w:val="000000"/>
              </w:rPr>
              <w:t>Impairment expenses</w:t>
            </w:r>
          </w:p>
        </w:tc>
        <w:tc>
          <w:tcPr>
            <w:tcW w:w="15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78,875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80,714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25,114</w:t>
            </w:r>
          </w:p>
        </w:tc>
        <w:tc>
          <w:tcPr>
            <w:tcW w:w="195" w:type="dxa"/>
            <w:tcBorders/>
            <w:vAlign w:val="bottom"/>
          </w:tcPr>
          <w:p>
            <w:pPr>
              <w:pStyle w:val="TableContents"/>
              <w:bidi w:val="0"/>
              <w:spacing w:before="0" w:after="283"/>
              <w:jc w:val="left"/>
              <w:rPr/>
            </w:pPr>
            <w:r>
              <w:rPr/>
              <w:t> </w:t>
            </w:r>
          </w:p>
        </w:tc>
      </w:tr>
      <w:tr>
        <w:trPr/>
        <w:tc>
          <w:tcPr>
            <w:tcW w:w="4980" w:type="dxa"/>
            <w:tcBorders/>
            <w:shd w:fill="CCEEFF" w:val="clear"/>
            <w:vAlign w:val="bottom"/>
          </w:tcPr>
          <w:p>
            <w:pPr>
              <w:pStyle w:val="TableContents"/>
              <w:bidi w:val="0"/>
              <w:spacing w:before="0" w:after="0"/>
              <w:jc w:val="left"/>
              <w:rPr>
                <w:color w:val="000000"/>
              </w:rPr>
            </w:pPr>
            <w:r>
              <w:rPr>
                <w:color w:val="000000"/>
              </w:rPr>
              <w:t>Total operating expenses</w:t>
            </w:r>
          </w:p>
        </w:tc>
        <w:tc>
          <w:tcPr>
            <w:tcW w:w="15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277,644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234,953</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488,081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491,817</w:t>
            </w:r>
          </w:p>
        </w:tc>
        <w:tc>
          <w:tcPr>
            <w:tcW w:w="195" w:type="dxa"/>
            <w:tcBorders/>
            <w:shd w:fill="CCEEFF" w:val="clear"/>
            <w:vAlign w:val="bottom"/>
          </w:tcPr>
          <w:p>
            <w:pPr>
              <w:pStyle w:val="TableContents"/>
              <w:bidi w:val="0"/>
              <w:spacing w:before="0" w:after="283"/>
              <w:jc w:val="left"/>
              <w:rPr/>
            </w:pPr>
            <w:r>
              <w:rPr/>
              <w:t> </w:t>
            </w:r>
          </w:p>
        </w:tc>
      </w:tr>
      <w:tr>
        <w:trPr/>
        <w:tc>
          <w:tcPr>
            <w:tcW w:w="498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95" w:type="dxa"/>
            <w:tcBorders/>
            <w:vAlign w:val="bottom"/>
          </w:tcPr>
          <w:p>
            <w:pPr>
              <w:pStyle w:val="TableContents"/>
              <w:bidi w:val="0"/>
              <w:spacing w:before="0" w:after="283"/>
              <w:jc w:val="left"/>
              <w:rPr/>
            </w:pPr>
            <w:r>
              <w:rPr/>
              <w:t> </w:t>
            </w:r>
          </w:p>
        </w:tc>
      </w:tr>
      <w:tr>
        <w:trPr/>
        <w:tc>
          <w:tcPr>
            <w:tcW w:w="4980" w:type="dxa"/>
            <w:tcBorders/>
            <w:shd w:fill="CCEEFF" w:val="clear"/>
            <w:vAlign w:val="bottom"/>
          </w:tcPr>
          <w:p>
            <w:pPr>
              <w:pStyle w:val="TableContents"/>
              <w:bidi w:val="0"/>
              <w:spacing w:before="0" w:after="0"/>
              <w:jc w:val="left"/>
              <w:rPr>
                <w:color w:val="000000"/>
              </w:rPr>
            </w:pPr>
            <w:r>
              <w:rPr>
                <w:color w:val="000000"/>
              </w:rPr>
              <w:t>Operating income (loss)</w:t>
            </w:r>
          </w:p>
        </w:tc>
        <w:tc>
          <w:tcPr>
            <w:tcW w:w="15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(59,319</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30,780</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(55,293</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20,877</w:t>
            </w:r>
          </w:p>
        </w:tc>
        <w:tc>
          <w:tcPr>
            <w:tcW w:w="195" w:type="dxa"/>
            <w:tcBorders/>
            <w:shd w:fill="CCEEFF" w:val="clear"/>
            <w:vAlign w:val="bottom"/>
          </w:tcPr>
          <w:p>
            <w:pPr>
              <w:pStyle w:val="TableContents"/>
              <w:bidi w:val="0"/>
              <w:spacing w:before="0" w:after="283"/>
              <w:jc w:val="left"/>
              <w:rPr/>
            </w:pPr>
            <w:r>
              <w:rPr/>
              <w:t> </w:t>
            </w:r>
          </w:p>
        </w:tc>
      </w:tr>
      <w:tr>
        <w:trPr/>
        <w:tc>
          <w:tcPr>
            <w:tcW w:w="4980" w:type="dxa"/>
            <w:tcBorders/>
            <w:vAlign w:val="bottom"/>
          </w:tcPr>
          <w:p>
            <w:pPr>
              <w:pStyle w:val="TableContents"/>
              <w:bidi w:val="0"/>
              <w:spacing w:before="0" w:after="0"/>
              <w:jc w:val="left"/>
              <w:rPr>
                <w:color w:val="000000"/>
              </w:rPr>
            </w:pPr>
            <w:r>
              <w:rPr>
                <w:color w:val="000000"/>
              </w:rPr>
              <w:t>Interest expense</w:t>
            </w:r>
          </w:p>
        </w:tc>
        <w:tc>
          <w:tcPr>
            <w:tcW w:w="15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3,322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2,526</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7,572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5,809</w:t>
            </w:r>
          </w:p>
        </w:tc>
        <w:tc>
          <w:tcPr>
            <w:tcW w:w="195" w:type="dxa"/>
            <w:tcBorders/>
            <w:vAlign w:val="bottom"/>
          </w:tcPr>
          <w:p>
            <w:pPr>
              <w:pStyle w:val="TableContents"/>
              <w:bidi w:val="0"/>
              <w:spacing w:before="0" w:after="283"/>
              <w:jc w:val="left"/>
              <w:rPr/>
            </w:pPr>
            <w:r>
              <w:rPr/>
              <w:t> </w:t>
            </w:r>
          </w:p>
        </w:tc>
      </w:tr>
      <w:tr>
        <w:trPr/>
        <w:tc>
          <w:tcPr>
            <w:tcW w:w="4980" w:type="dxa"/>
            <w:tcBorders/>
            <w:shd w:fill="CCEEFF" w:val="clear"/>
            <w:vAlign w:val="bottom"/>
          </w:tcPr>
          <w:p>
            <w:pPr>
              <w:pStyle w:val="TableContents"/>
              <w:bidi w:val="0"/>
              <w:spacing w:before="0" w:after="0"/>
              <w:jc w:val="left"/>
              <w:rPr>
                <w:color w:val="000000"/>
              </w:rPr>
            </w:pPr>
            <w:r>
              <w:rPr>
                <w:color w:val="000000"/>
              </w:rPr>
              <w:t>Gain on sale of business</w:t>
            </w:r>
          </w:p>
        </w:tc>
        <w:tc>
          <w:tcPr>
            <w:tcW w:w="15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176,162</w:t>
            </w:r>
          </w:p>
        </w:tc>
        <w:tc>
          <w:tcPr>
            <w:tcW w:w="195" w:type="dxa"/>
            <w:tcBorders/>
            <w:shd w:fill="CCEEFF" w:val="clear"/>
            <w:vAlign w:val="bottom"/>
          </w:tcPr>
          <w:p>
            <w:pPr>
              <w:pStyle w:val="TableContents"/>
              <w:bidi w:val="0"/>
              <w:spacing w:before="0" w:after="283"/>
              <w:jc w:val="left"/>
              <w:rPr/>
            </w:pPr>
            <w:r>
              <w:rPr/>
              <w:t> </w:t>
            </w:r>
          </w:p>
        </w:tc>
      </w:tr>
      <w:tr>
        <w:trPr/>
        <w:tc>
          <w:tcPr>
            <w:tcW w:w="4980" w:type="dxa"/>
            <w:tcBorders/>
            <w:vAlign w:val="bottom"/>
          </w:tcPr>
          <w:p>
            <w:pPr>
              <w:pStyle w:val="TableContents"/>
              <w:bidi w:val="0"/>
              <w:spacing w:before="0" w:after="0"/>
              <w:jc w:val="left"/>
              <w:rPr>
                <w:color w:val="000000"/>
              </w:rPr>
            </w:pPr>
            <w:r>
              <w:rPr>
                <w:color w:val="000000"/>
              </w:rPr>
              <w:t>Other income (expense), net</w:t>
            </w:r>
          </w:p>
        </w:tc>
        <w:tc>
          <w:tcPr>
            <w:tcW w:w="15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(534</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(843</w:t>
            </w:r>
          </w:p>
        </w:tc>
        <w:tc>
          <w:tcPr>
            <w:tcW w:w="150" w:type="dxa"/>
            <w:tcBorders/>
            <w:vAlign w:val="bottom"/>
          </w:tcPr>
          <w:p>
            <w:pPr>
              <w:pStyle w:val="TableContents"/>
              <w:bidi w:val="0"/>
              <w:spacing w:before="0" w:after="0"/>
              <w:jc w:val="left"/>
              <w:rPr>
                <w:color w:val="000000"/>
              </w:rPr>
            </w:pPr>
            <w:r>
              <w:rPr>
                <w:color w:val="000000"/>
              </w:rPr>
              <w:t>)</w:t>
            </w:r>
          </w:p>
        </w:tc>
        <w:tc>
          <w:tcPr>
            <w:tcW w:w="15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2,289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(29,218</w:t>
            </w:r>
          </w:p>
        </w:tc>
        <w:tc>
          <w:tcPr>
            <w:tcW w:w="195" w:type="dxa"/>
            <w:tcBorders/>
            <w:vAlign w:val="bottom"/>
          </w:tcPr>
          <w:p>
            <w:pPr>
              <w:pStyle w:val="TableContents"/>
              <w:bidi w:val="0"/>
              <w:spacing w:before="0" w:after="0"/>
              <w:jc w:val="left"/>
              <w:rPr>
                <w:color w:val="000000"/>
              </w:rPr>
            </w:pPr>
            <w:r>
              <w:rPr>
                <w:color w:val="000000"/>
              </w:rPr>
              <w:t>)</w:t>
            </w:r>
          </w:p>
        </w:tc>
      </w:tr>
      <w:tr>
        <w:trPr/>
        <w:tc>
          <w:tcPr>
            <w:tcW w:w="498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95" w:type="dxa"/>
            <w:tcBorders/>
            <w:shd w:fill="CCEEFF" w:val="clear"/>
            <w:vAlign w:val="bottom"/>
          </w:tcPr>
          <w:p>
            <w:pPr>
              <w:pStyle w:val="TableContents"/>
              <w:bidi w:val="0"/>
              <w:spacing w:before="0" w:after="283"/>
              <w:jc w:val="left"/>
              <w:rPr/>
            </w:pPr>
            <w:r>
              <w:rPr/>
              <w:t> </w:t>
            </w:r>
          </w:p>
        </w:tc>
      </w:tr>
      <w:tr>
        <w:trPr/>
        <w:tc>
          <w:tcPr>
            <w:tcW w:w="4980" w:type="dxa"/>
            <w:tcBorders/>
            <w:vAlign w:val="bottom"/>
          </w:tcPr>
          <w:p>
            <w:pPr>
              <w:pStyle w:val="TableContents"/>
              <w:bidi w:val="0"/>
              <w:spacing w:before="0" w:after="0"/>
              <w:jc w:val="left"/>
              <w:rPr>
                <w:color w:val="000000"/>
              </w:rPr>
            </w:pPr>
            <w:r>
              <w:rPr>
                <w:color w:val="000000"/>
              </w:rPr>
              <w:t>Income (loss) before provision for income taxes</w:t>
            </w:r>
          </w:p>
        </w:tc>
        <w:tc>
          <w:tcPr>
            <w:tcW w:w="15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(63,175</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27,411</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(60,576</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162,012</w:t>
            </w:r>
          </w:p>
        </w:tc>
        <w:tc>
          <w:tcPr>
            <w:tcW w:w="195" w:type="dxa"/>
            <w:tcBorders/>
            <w:vAlign w:val="bottom"/>
          </w:tcPr>
          <w:p>
            <w:pPr>
              <w:pStyle w:val="TableContents"/>
              <w:bidi w:val="0"/>
              <w:spacing w:before="0" w:after="283"/>
              <w:jc w:val="left"/>
              <w:rPr/>
            </w:pPr>
            <w:r>
              <w:rPr/>
              <w:t> </w:t>
            </w:r>
          </w:p>
        </w:tc>
      </w:tr>
      <w:tr>
        <w:trPr/>
        <w:tc>
          <w:tcPr>
            <w:tcW w:w="4980" w:type="dxa"/>
            <w:tcBorders/>
            <w:shd w:fill="CCEEFF" w:val="clear"/>
            <w:vAlign w:val="bottom"/>
          </w:tcPr>
          <w:p>
            <w:pPr>
              <w:pStyle w:val="TableContents"/>
              <w:bidi w:val="0"/>
              <w:spacing w:before="0" w:after="0"/>
              <w:jc w:val="left"/>
              <w:rPr>
                <w:color w:val="000000"/>
              </w:rPr>
            </w:pPr>
            <w:r>
              <w:rPr>
                <w:color w:val="000000"/>
              </w:rPr>
              <w:t>Provision for income taxes</w:t>
            </w:r>
          </w:p>
        </w:tc>
        <w:tc>
          <w:tcPr>
            <w:tcW w:w="15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186,623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6,292</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187,386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33,378</w:t>
            </w:r>
          </w:p>
        </w:tc>
        <w:tc>
          <w:tcPr>
            <w:tcW w:w="195" w:type="dxa"/>
            <w:tcBorders/>
            <w:shd w:fill="CCEEFF" w:val="clear"/>
            <w:vAlign w:val="bottom"/>
          </w:tcPr>
          <w:p>
            <w:pPr>
              <w:pStyle w:val="TableContents"/>
              <w:bidi w:val="0"/>
              <w:spacing w:before="0" w:after="283"/>
              <w:jc w:val="left"/>
              <w:rPr/>
            </w:pPr>
            <w:r>
              <w:rPr/>
              <w:t> </w:t>
            </w:r>
          </w:p>
        </w:tc>
      </w:tr>
      <w:tr>
        <w:trPr/>
        <w:tc>
          <w:tcPr>
            <w:tcW w:w="498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95" w:type="dxa"/>
            <w:tcBorders/>
            <w:vAlign w:val="bottom"/>
          </w:tcPr>
          <w:p>
            <w:pPr>
              <w:pStyle w:val="TableContents"/>
              <w:bidi w:val="0"/>
              <w:spacing w:before="0" w:after="283"/>
              <w:jc w:val="left"/>
              <w:rPr/>
            </w:pPr>
            <w:r>
              <w:rPr/>
              <w:t> </w:t>
            </w:r>
          </w:p>
        </w:tc>
      </w:tr>
      <w:tr>
        <w:trPr/>
        <w:tc>
          <w:tcPr>
            <w:tcW w:w="4980" w:type="dxa"/>
            <w:tcBorders/>
            <w:shd w:fill="CCEEFF" w:val="clear"/>
            <w:vAlign w:val="bottom"/>
          </w:tcPr>
          <w:p>
            <w:pPr>
              <w:pStyle w:val="TableContents"/>
              <w:bidi w:val="0"/>
              <w:spacing w:before="0" w:after="0"/>
              <w:jc w:val="left"/>
              <w:rPr>
                <w:color w:val="000000"/>
              </w:rPr>
            </w:pPr>
            <w:r>
              <w:rPr>
                <w:color w:val="000000"/>
              </w:rPr>
              <w:t>Net income (loss)</w:t>
            </w:r>
          </w:p>
        </w:tc>
        <w:tc>
          <w:tcPr>
            <w:tcW w:w="15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0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(249,798</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21,119</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0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(247,962</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128,634</w:t>
            </w:r>
          </w:p>
        </w:tc>
        <w:tc>
          <w:tcPr>
            <w:tcW w:w="195" w:type="dxa"/>
            <w:tcBorders/>
            <w:shd w:fill="CCEEFF" w:val="clear"/>
            <w:vAlign w:val="bottom"/>
          </w:tcPr>
          <w:p>
            <w:pPr>
              <w:pStyle w:val="TableContents"/>
              <w:bidi w:val="0"/>
              <w:spacing w:before="0" w:after="283"/>
              <w:jc w:val="left"/>
              <w:rPr/>
            </w:pPr>
            <w:r>
              <w:rPr/>
              <w:t> </w:t>
            </w:r>
          </w:p>
        </w:tc>
      </w:tr>
      <w:tr>
        <w:trPr/>
        <w:tc>
          <w:tcPr>
            <w:tcW w:w="498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95" w:type="dxa"/>
            <w:tcBorders/>
            <w:vAlign w:val="bottom"/>
          </w:tcPr>
          <w:p>
            <w:pPr>
              <w:pStyle w:val="TableContents"/>
              <w:bidi w:val="0"/>
              <w:spacing w:before="0" w:after="283"/>
              <w:jc w:val="left"/>
              <w:rPr/>
            </w:pPr>
            <w:r>
              <w:rPr/>
              <w:t> </w:t>
            </w:r>
          </w:p>
        </w:tc>
      </w:tr>
      <w:tr>
        <w:trPr/>
        <w:tc>
          <w:tcPr>
            <w:tcW w:w="4980" w:type="dxa"/>
            <w:tcBorders/>
            <w:shd w:fill="CCEEFF" w:val="clear"/>
            <w:vAlign w:val="bottom"/>
          </w:tcPr>
          <w:p>
            <w:pPr>
              <w:pStyle w:val="TableContents"/>
              <w:bidi w:val="0"/>
              <w:spacing w:before="0" w:after="0"/>
              <w:jc w:val="left"/>
              <w:rPr>
                <w:color w:val="000000"/>
              </w:rPr>
            </w:pPr>
            <w:r>
              <w:rPr>
                <w:color w:val="000000"/>
              </w:rPr>
              <w:t>Net income (loss) per share (Note 7):</w:t>
            </w:r>
          </w:p>
        </w:tc>
        <w:tc>
          <w:tcPr>
            <w:tcW w:w="15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95" w:type="dxa"/>
            <w:tcBorders/>
            <w:shd w:fill="CCEEFF" w:val="clear"/>
            <w:vAlign w:val="bottom"/>
          </w:tcPr>
          <w:p>
            <w:pPr>
              <w:pStyle w:val="TableContents"/>
              <w:bidi w:val="0"/>
              <w:spacing w:before="0" w:after="283"/>
              <w:jc w:val="left"/>
              <w:rPr/>
            </w:pPr>
            <w:r>
              <w:rPr/>
              <w:t> </w:t>
            </w:r>
          </w:p>
        </w:tc>
      </w:tr>
      <w:tr>
        <w:trPr/>
        <w:tc>
          <w:tcPr>
            <w:tcW w:w="4980" w:type="dxa"/>
            <w:tcBorders/>
            <w:vAlign w:val="bottom"/>
          </w:tcPr>
          <w:p>
            <w:pPr>
              <w:pStyle w:val="TableContents"/>
              <w:bidi w:val="0"/>
              <w:spacing w:before="0" w:after="0"/>
              <w:ind w:left="180" w:right="0" w:hanging="0"/>
              <w:jc w:val="left"/>
              <w:rPr>
                <w:color w:val="000000"/>
              </w:rPr>
            </w:pPr>
            <w:r>
              <w:rPr>
                <w:color w:val="000000"/>
              </w:rPr>
              <w:t>Basic</w:t>
            </w:r>
          </w:p>
        </w:tc>
        <w:tc>
          <w:tcPr>
            <w:tcW w:w="15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905" w:type="dxa"/>
            <w:tcBorders/>
            <w:vAlign w:val="bottom"/>
          </w:tcPr>
          <w:p>
            <w:pPr>
              <w:pStyle w:val="TableContents"/>
              <w:bidi w:val="0"/>
              <w:spacing w:before="0" w:after="0"/>
              <w:jc w:val="right"/>
              <w:rPr>
                <w:color w:val="000000"/>
              </w:rPr>
            </w:pPr>
            <w:r>
              <w:rPr>
                <w:color w:val="000000"/>
              </w:rPr>
              <w:t>(5.14</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0.43</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905" w:type="dxa"/>
            <w:tcBorders/>
            <w:vAlign w:val="bottom"/>
          </w:tcPr>
          <w:p>
            <w:pPr>
              <w:pStyle w:val="TableContents"/>
              <w:bidi w:val="0"/>
              <w:spacing w:before="0" w:after="0"/>
              <w:jc w:val="right"/>
              <w:rPr>
                <w:color w:val="000000"/>
              </w:rPr>
            </w:pPr>
            <w:r>
              <w:rPr>
                <w:color w:val="000000"/>
              </w:rPr>
              <w:t>(5.12</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830" w:type="dxa"/>
            <w:tcBorders/>
            <w:vAlign w:val="bottom"/>
          </w:tcPr>
          <w:p>
            <w:pPr>
              <w:pStyle w:val="TableContents"/>
              <w:bidi w:val="0"/>
              <w:spacing w:before="0" w:after="0"/>
              <w:jc w:val="right"/>
              <w:rPr>
                <w:color w:val="000000"/>
              </w:rPr>
            </w:pPr>
            <w:r>
              <w:rPr>
                <w:color w:val="000000"/>
              </w:rPr>
              <w:t>2.59</w:t>
            </w:r>
          </w:p>
        </w:tc>
        <w:tc>
          <w:tcPr>
            <w:tcW w:w="195" w:type="dxa"/>
            <w:tcBorders/>
            <w:vAlign w:val="bottom"/>
          </w:tcPr>
          <w:p>
            <w:pPr>
              <w:pStyle w:val="TableContents"/>
              <w:bidi w:val="0"/>
              <w:spacing w:before="0" w:after="283"/>
              <w:jc w:val="left"/>
              <w:rPr/>
            </w:pPr>
            <w:r>
              <w:rPr/>
              <w:t> </w:t>
            </w:r>
          </w:p>
        </w:tc>
      </w:tr>
      <w:tr>
        <w:trPr/>
        <w:tc>
          <w:tcPr>
            <w:tcW w:w="4980" w:type="dxa"/>
            <w:tcBorders/>
            <w:shd w:fill="CCEEFF" w:val="clear"/>
            <w:vAlign w:val="bottom"/>
          </w:tcPr>
          <w:p>
            <w:pPr>
              <w:pStyle w:val="TableContents"/>
              <w:bidi w:val="0"/>
              <w:spacing w:before="0" w:after="0"/>
              <w:ind w:left="180" w:right="0" w:hanging="0"/>
              <w:jc w:val="left"/>
              <w:rPr>
                <w:color w:val="000000"/>
              </w:rPr>
            </w:pPr>
            <w:r>
              <w:rPr>
                <w:color w:val="000000"/>
              </w:rPr>
              <w:t>Diluted</w:t>
            </w:r>
          </w:p>
        </w:tc>
        <w:tc>
          <w:tcPr>
            <w:tcW w:w="15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905" w:type="dxa"/>
            <w:tcBorders/>
            <w:shd w:fill="CCEEFF" w:val="clear"/>
            <w:vAlign w:val="bottom"/>
          </w:tcPr>
          <w:p>
            <w:pPr>
              <w:pStyle w:val="TableContents"/>
              <w:bidi w:val="0"/>
              <w:spacing w:before="0" w:after="0"/>
              <w:jc w:val="right"/>
              <w:rPr>
                <w:color w:val="000000"/>
              </w:rPr>
            </w:pPr>
            <w:r>
              <w:rPr>
                <w:color w:val="000000"/>
              </w:rPr>
              <w:t>(5.14</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0.43</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905" w:type="dxa"/>
            <w:tcBorders/>
            <w:shd w:fill="CCEEFF" w:val="clear"/>
            <w:vAlign w:val="bottom"/>
          </w:tcPr>
          <w:p>
            <w:pPr>
              <w:pStyle w:val="TableContents"/>
              <w:bidi w:val="0"/>
              <w:spacing w:before="0" w:after="0"/>
              <w:jc w:val="right"/>
              <w:rPr>
                <w:color w:val="000000"/>
              </w:rPr>
            </w:pPr>
            <w:r>
              <w:rPr>
                <w:color w:val="000000"/>
              </w:rPr>
              <w:t>(5.12</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2.59</w:t>
            </w:r>
          </w:p>
        </w:tc>
        <w:tc>
          <w:tcPr>
            <w:tcW w:w="195" w:type="dxa"/>
            <w:tcBorders/>
            <w:shd w:fill="CCEEFF" w:val="clear"/>
            <w:vAlign w:val="bottom"/>
          </w:tcPr>
          <w:p>
            <w:pPr>
              <w:pStyle w:val="TableContents"/>
              <w:bidi w:val="0"/>
              <w:spacing w:before="0" w:after="283"/>
              <w:jc w:val="left"/>
              <w:rPr/>
            </w:pPr>
            <w:r>
              <w:rPr/>
              <w:t> </w:t>
            </w:r>
          </w:p>
        </w:tc>
      </w:tr>
      <w:tr>
        <w:trPr/>
        <w:tc>
          <w:tcPr>
            <w:tcW w:w="498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95" w:type="dxa"/>
            <w:tcBorders/>
            <w:vAlign w:val="bottom"/>
          </w:tcPr>
          <w:p>
            <w:pPr>
              <w:pStyle w:val="TableContents"/>
              <w:bidi w:val="0"/>
              <w:spacing w:before="0" w:after="283"/>
              <w:jc w:val="left"/>
              <w:rPr/>
            </w:pPr>
            <w:r>
              <w:rPr/>
              <w:t> </w:t>
            </w:r>
          </w:p>
        </w:tc>
      </w:tr>
      <w:tr>
        <w:trPr/>
        <w:tc>
          <w:tcPr>
            <w:tcW w:w="4980" w:type="dxa"/>
            <w:tcBorders/>
            <w:shd w:fill="CCEEFF" w:val="clear"/>
            <w:vAlign w:val="bottom"/>
          </w:tcPr>
          <w:p>
            <w:pPr>
              <w:pStyle w:val="TableContents"/>
              <w:bidi w:val="0"/>
              <w:spacing w:before="0" w:after="0"/>
              <w:jc w:val="left"/>
              <w:rPr>
                <w:color w:val="000000"/>
              </w:rPr>
            </w:pPr>
            <w:r>
              <w:rPr>
                <w:color w:val="000000"/>
              </w:rPr>
              <w:t>Weighted-average common shares outstanding (000s):</w:t>
            </w:r>
          </w:p>
        </w:tc>
        <w:tc>
          <w:tcPr>
            <w:tcW w:w="15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95" w:type="dxa"/>
            <w:tcBorders/>
            <w:shd w:fill="CCEEFF" w:val="clear"/>
            <w:vAlign w:val="bottom"/>
          </w:tcPr>
          <w:p>
            <w:pPr>
              <w:pStyle w:val="TableContents"/>
              <w:bidi w:val="0"/>
              <w:spacing w:before="0" w:after="283"/>
              <w:jc w:val="left"/>
              <w:rPr/>
            </w:pPr>
            <w:r>
              <w:rPr/>
              <w:t> </w:t>
            </w:r>
          </w:p>
        </w:tc>
      </w:tr>
      <w:tr>
        <w:trPr/>
        <w:tc>
          <w:tcPr>
            <w:tcW w:w="4980" w:type="dxa"/>
            <w:tcBorders/>
            <w:vAlign w:val="bottom"/>
          </w:tcPr>
          <w:p>
            <w:pPr>
              <w:pStyle w:val="TableContents"/>
              <w:bidi w:val="0"/>
              <w:spacing w:before="0" w:after="0"/>
              <w:ind w:left="180" w:right="0" w:hanging="0"/>
              <w:jc w:val="left"/>
              <w:rPr>
                <w:color w:val="000000"/>
              </w:rPr>
            </w:pPr>
            <w:r>
              <w:rPr>
                <w:color w:val="000000"/>
              </w:rPr>
              <w:t>Basic</w:t>
            </w:r>
          </w:p>
        </w:tc>
        <w:tc>
          <w:tcPr>
            <w:tcW w:w="15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48,596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49,441</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48,400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49,601</w:t>
            </w:r>
          </w:p>
        </w:tc>
        <w:tc>
          <w:tcPr>
            <w:tcW w:w="195" w:type="dxa"/>
            <w:tcBorders/>
            <w:vAlign w:val="bottom"/>
          </w:tcPr>
          <w:p>
            <w:pPr>
              <w:pStyle w:val="TableContents"/>
              <w:bidi w:val="0"/>
              <w:spacing w:before="0" w:after="283"/>
              <w:jc w:val="left"/>
              <w:rPr/>
            </w:pPr>
            <w:r>
              <w:rPr/>
              <w:t> </w:t>
            </w:r>
          </w:p>
        </w:tc>
      </w:tr>
      <w:tr>
        <w:trPr/>
        <w:tc>
          <w:tcPr>
            <w:tcW w:w="4980" w:type="dxa"/>
            <w:tcBorders/>
            <w:shd w:fill="CCEEFF" w:val="clear"/>
            <w:vAlign w:val="bottom"/>
          </w:tcPr>
          <w:p>
            <w:pPr>
              <w:pStyle w:val="TableContents"/>
              <w:bidi w:val="0"/>
              <w:spacing w:before="0" w:after="0"/>
              <w:ind w:left="180" w:right="0" w:hanging="0"/>
              <w:jc w:val="left"/>
              <w:rPr>
                <w:color w:val="000000"/>
              </w:rPr>
            </w:pPr>
            <w:r>
              <w:rPr>
                <w:color w:val="000000"/>
              </w:rPr>
              <w:t>Diluted</w:t>
            </w:r>
          </w:p>
        </w:tc>
        <w:tc>
          <w:tcPr>
            <w:tcW w:w="15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48,596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49,499</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48,400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49,748</w:t>
            </w:r>
          </w:p>
        </w:tc>
        <w:tc>
          <w:tcPr>
            <w:tcW w:w="1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center"/>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The accompanying notes are an integral part of these consolidated financial statements.</w:t>
      </w:r>
    </w:p>
    <w:p>
      <w:pPr>
        <w:pStyle w:val="TextBody"/>
        <w:bidi w:val="0"/>
        <w:spacing w:before="0" w:after="0"/>
        <w:jc w:val="center"/>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NU SKIN ENTERPRISES, INC.</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 xml:space="preserve">Consolidated Statements of </w:t>
      </w:r>
      <w:bookmarkStart w:id="9" w:name="ComprehensiveIncome"/>
      <w:bookmarkEnd w:id="9"/>
      <w:r>
        <w:rPr>
          <w:rFonts w:ascii="Times New Roman" w:hAnsi="Times New Roman"/>
          <w:b/>
          <w:color w:val="000000"/>
          <w:sz w:val="20"/>
          <w:shd w:fill="FFFFFF" w:val="clear"/>
        </w:rPr>
        <w:t>Comprehensive Income (Unaudited)</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(U.S. dollars in thousands)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5089"/>
        <w:gridCol w:w="150"/>
        <w:gridCol w:w="170"/>
        <w:gridCol w:w="909"/>
        <w:gridCol w:w="125"/>
        <w:gridCol w:w="90"/>
        <w:gridCol w:w="170"/>
        <w:gridCol w:w="713"/>
        <w:gridCol w:w="150"/>
        <w:gridCol w:w="150"/>
        <w:gridCol w:w="170"/>
        <w:gridCol w:w="905"/>
        <w:gridCol w:w="125"/>
        <w:gridCol w:w="90"/>
        <w:gridCol w:w="170"/>
        <w:gridCol w:w="830"/>
        <w:gridCol w:w="199"/>
      </w:tblGrid>
      <w:tr>
        <w:trPr/>
        <w:tc>
          <w:tcPr>
            <w:tcW w:w="5089"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177"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w:t>
            </w:r>
          </w:p>
          <w:p>
            <w:pPr>
              <w:pStyle w:val="TableContents"/>
              <w:bidi w:val="0"/>
              <w:spacing w:before="0" w:after="0"/>
              <w:jc w:val="center"/>
              <w:rPr>
                <w:b/>
                <w:color w:val="000000"/>
              </w:rPr>
            </w:pPr>
            <w:r>
              <w:rPr>
                <w:b/>
                <w:color w:val="000000"/>
              </w:rPr>
              <w:t>June 30,</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29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Six Months Ended</w:t>
            </w:r>
          </w:p>
          <w:p>
            <w:pPr>
              <w:pStyle w:val="TableContents"/>
              <w:bidi w:val="0"/>
              <w:spacing w:before="0" w:after="0"/>
              <w:jc w:val="center"/>
              <w:rPr>
                <w:b/>
                <w:color w:val="000000"/>
              </w:rPr>
            </w:pPr>
            <w:r>
              <w:rPr>
                <w:b/>
                <w:color w:val="000000"/>
              </w:rPr>
              <w:t>June 30,</w:t>
            </w:r>
          </w:p>
        </w:tc>
        <w:tc>
          <w:tcPr>
            <w:tcW w:w="199" w:type="dxa"/>
            <w:tcBorders/>
            <w:vAlign w:val="bottom"/>
          </w:tcPr>
          <w:p>
            <w:pPr>
              <w:pStyle w:val="TableContents"/>
              <w:bidi w:val="0"/>
              <w:spacing w:before="0" w:after="283"/>
              <w:jc w:val="left"/>
              <w:rPr/>
            </w:pPr>
            <w:r>
              <w:rPr/>
              <w:t>  </w:t>
            </w:r>
          </w:p>
        </w:tc>
      </w:tr>
      <w:tr>
        <w:trPr/>
        <w:tc>
          <w:tcPr>
            <w:tcW w:w="5089"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07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3"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99" w:type="dxa"/>
            <w:tcBorders/>
            <w:vAlign w:val="bottom"/>
          </w:tcPr>
          <w:p>
            <w:pPr>
              <w:pStyle w:val="TableContents"/>
              <w:bidi w:val="0"/>
              <w:spacing w:before="0" w:after="283"/>
              <w:jc w:val="left"/>
              <w:rPr/>
            </w:pPr>
            <w:r>
              <w:rPr/>
              <w:t> </w:t>
            </w:r>
          </w:p>
        </w:tc>
      </w:tr>
      <w:tr>
        <w:trPr/>
        <w:tc>
          <w:tcPr>
            <w:tcW w:w="5089" w:type="dxa"/>
            <w:tcBorders/>
            <w:shd w:fill="CCEEFF" w:val="clear"/>
            <w:vAlign w:val="bottom"/>
          </w:tcPr>
          <w:p>
            <w:pPr>
              <w:pStyle w:val="TableContents"/>
              <w:bidi w:val="0"/>
              <w:spacing w:before="0" w:after="0"/>
              <w:jc w:val="left"/>
              <w:rPr>
                <w:color w:val="000000"/>
              </w:rPr>
            </w:pPr>
            <w:r>
              <w:rPr>
                <w:color w:val="000000"/>
              </w:rPr>
              <w:t>Net income (loss)</w:t>
            </w:r>
          </w:p>
        </w:tc>
        <w:tc>
          <w:tcPr>
            <w:tcW w:w="15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0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(249,798</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1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21,119</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(247,962</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128,634</w:t>
            </w:r>
          </w:p>
        </w:tc>
        <w:tc>
          <w:tcPr>
            <w:tcW w:w="199" w:type="dxa"/>
            <w:tcBorders/>
            <w:shd w:fill="CCEEFF" w:val="clear"/>
            <w:vAlign w:val="bottom"/>
          </w:tcPr>
          <w:p>
            <w:pPr>
              <w:pStyle w:val="TableContents"/>
              <w:bidi w:val="0"/>
              <w:spacing w:before="0" w:after="283"/>
              <w:jc w:val="left"/>
              <w:rPr/>
            </w:pPr>
            <w:r>
              <w:rPr/>
              <w:t> </w:t>
            </w:r>
          </w:p>
        </w:tc>
      </w:tr>
      <w:tr>
        <w:trPr/>
        <w:tc>
          <w:tcPr>
            <w:tcW w:w="5089"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9"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99" w:type="dxa"/>
            <w:tcBorders/>
            <w:vAlign w:val="bottom"/>
          </w:tcPr>
          <w:p>
            <w:pPr>
              <w:pStyle w:val="TableContents"/>
              <w:bidi w:val="0"/>
              <w:spacing w:before="0" w:after="283"/>
              <w:jc w:val="left"/>
              <w:rPr/>
            </w:pPr>
            <w:r>
              <w:rPr/>
              <w:t> </w:t>
            </w:r>
          </w:p>
        </w:tc>
      </w:tr>
      <w:tr>
        <w:trPr/>
        <w:tc>
          <w:tcPr>
            <w:tcW w:w="5089" w:type="dxa"/>
            <w:tcBorders/>
            <w:shd w:fill="CCEEFF" w:val="clear"/>
            <w:vAlign w:val="bottom"/>
          </w:tcPr>
          <w:p>
            <w:pPr>
              <w:pStyle w:val="TableContents"/>
              <w:bidi w:val="0"/>
              <w:spacing w:before="0" w:after="0"/>
              <w:jc w:val="left"/>
              <w:rPr>
                <w:color w:val="000000"/>
              </w:rPr>
            </w:pPr>
            <w:r>
              <w:rPr>
                <w:color w:val="000000"/>
              </w:rPr>
              <w:t>Other comprehensive income (loss), net of tax:</w:t>
            </w:r>
          </w:p>
        </w:tc>
        <w:tc>
          <w:tcPr>
            <w:tcW w:w="15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9"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283"/>
              <w:jc w:val="right"/>
              <w:rPr/>
            </w:pPr>
            <w:r>
              <w:rPr/>
              <w:t> </w:t>
            </w:r>
          </w:p>
        </w:tc>
        <w:tc>
          <w:tcPr>
            <w:tcW w:w="199" w:type="dxa"/>
            <w:tcBorders/>
            <w:shd w:fill="CCEEFF" w:val="clear"/>
            <w:vAlign w:val="bottom"/>
          </w:tcPr>
          <w:p>
            <w:pPr>
              <w:pStyle w:val="TableContents"/>
              <w:bidi w:val="0"/>
              <w:spacing w:before="0" w:after="283"/>
              <w:jc w:val="left"/>
              <w:rPr/>
            </w:pPr>
            <w:r>
              <w:rPr/>
              <w:t> </w:t>
            </w:r>
          </w:p>
        </w:tc>
      </w:tr>
      <w:tr>
        <w:trPr/>
        <w:tc>
          <w:tcPr>
            <w:tcW w:w="5089" w:type="dxa"/>
            <w:tcBorders/>
            <w:vAlign w:val="bottom"/>
          </w:tcPr>
          <w:p>
            <w:pPr>
              <w:pStyle w:val="TableContents"/>
              <w:bidi w:val="0"/>
              <w:spacing w:before="0" w:after="0"/>
              <w:jc w:val="left"/>
              <w:rPr>
                <w:color w:val="000000"/>
              </w:rPr>
            </w:pPr>
            <w:r>
              <w:rPr>
                <w:color w:val="000000"/>
              </w:rPr>
              <w:t>Foreign currency translation adjustments</w:t>
            </w:r>
          </w:p>
        </w:tc>
        <w:tc>
          <w:tcPr>
            <w:tcW w:w="15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9" w:type="dxa"/>
            <w:tcBorders/>
            <w:vAlign w:val="bottom"/>
          </w:tcPr>
          <w:p>
            <w:pPr>
              <w:pStyle w:val="TableContents"/>
              <w:bidi w:val="0"/>
              <w:spacing w:before="0" w:after="0"/>
              <w:jc w:val="right"/>
              <w:rPr>
                <w:color w:val="000000"/>
              </w:rPr>
            </w:pPr>
            <w:r>
              <w:rPr>
                <w:color w:val="000000"/>
              </w:rPr>
              <w:t>225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0"/>
              <w:jc w:val="right"/>
              <w:rPr>
                <w:color w:val="000000"/>
              </w:rPr>
            </w:pPr>
            <w:r>
              <w:rPr>
                <w:color w:val="000000"/>
              </w:rPr>
              <w:t>11,398</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(2,047</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13,841</w:t>
            </w:r>
          </w:p>
        </w:tc>
        <w:tc>
          <w:tcPr>
            <w:tcW w:w="199" w:type="dxa"/>
            <w:tcBorders/>
            <w:vAlign w:val="bottom"/>
          </w:tcPr>
          <w:p>
            <w:pPr>
              <w:pStyle w:val="TableContents"/>
              <w:bidi w:val="0"/>
              <w:spacing w:before="0" w:after="283"/>
              <w:jc w:val="left"/>
              <w:rPr/>
            </w:pPr>
            <w:r>
              <w:rPr/>
              <w:t> </w:t>
            </w:r>
          </w:p>
        </w:tc>
      </w:tr>
      <w:tr>
        <w:trPr/>
        <w:tc>
          <w:tcPr>
            <w:tcW w:w="5089" w:type="dxa"/>
            <w:tcBorders/>
            <w:shd w:fill="CCEEFF" w:val="clear"/>
            <w:vAlign w:val="bottom"/>
          </w:tcPr>
          <w:p>
            <w:pPr>
              <w:pStyle w:val="TableContents"/>
              <w:bidi w:val="0"/>
              <w:spacing w:before="0" w:after="0"/>
              <w:ind w:left="180" w:right="0" w:hanging="180"/>
              <w:jc w:val="left"/>
              <w:rPr>
                <w:color w:val="000000"/>
              </w:rPr>
            </w:pPr>
            <w:r>
              <w:rPr>
                <w:color w:val="000000"/>
              </w:rPr>
              <w:t>Net unrealized gains/(losses) on cash flow hedges, net of taxes of $0 and $(18) for the three months ended June 30, 2026 and 2025, respectively and $0 and $(50) for the six months ended June 30, 2026 and 2025, respectively</w:t>
            </w:r>
          </w:p>
        </w:tc>
        <w:tc>
          <w:tcPr>
            <w:tcW w:w="15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9"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0"/>
              <w:jc w:val="right"/>
              <w:rPr>
                <w:color w:val="000000"/>
              </w:rPr>
            </w:pPr>
            <w:r>
              <w:rPr>
                <w:color w:val="000000"/>
              </w:rPr>
              <w:t>64</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183</w:t>
            </w:r>
          </w:p>
        </w:tc>
        <w:tc>
          <w:tcPr>
            <w:tcW w:w="199" w:type="dxa"/>
            <w:tcBorders/>
            <w:shd w:fill="CCEEFF" w:val="clear"/>
            <w:vAlign w:val="bottom"/>
          </w:tcPr>
          <w:p>
            <w:pPr>
              <w:pStyle w:val="TableContents"/>
              <w:bidi w:val="0"/>
              <w:spacing w:before="0" w:after="283"/>
              <w:jc w:val="left"/>
              <w:rPr/>
            </w:pPr>
            <w:r>
              <w:rPr/>
              <w:t> </w:t>
            </w:r>
          </w:p>
        </w:tc>
      </w:tr>
      <w:tr>
        <w:trPr/>
        <w:tc>
          <w:tcPr>
            <w:tcW w:w="5089" w:type="dxa"/>
            <w:tcBorders/>
            <w:vAlign w:val="bottom"/>
          </w:tcPr>
          <w:p>
            <w:pPr>
              <w:pStyle w:val="TableContents"/>
              <w:bidi w:val="0"/>
              <w:spacing w:before="0" w:after="0"/>
              <w:ind w:left="180" w:right="0" w:hanging="180"/>
              <w:jc w:val="left"/>
              <w:rPr>
                <w:color w:val="000000"/>
              </w:rPr>
            </w:pPr>
            <w:r>
              <w:rPr>
                <w:color w:val="000000"/>
              </w:rPr>
              <w:t>Reclassification adjustment for realized losses/(gains) in current earnings, net of taxes of $0 and $461 for the three months ended June 30, 2026 and 2025, respectively and $0 and $917 for the six months ended June 30, 2026 and 2025, respectively</w:t>
            </w:r>
          </w:p>
        </w:tc>
        <w:tc>
          <w:tcPr>
            <w:tcW w:w="15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(1,670</w:t>
            </w:r>
          </w:p>
        </w:tc>
        <w:tc>
          <w:tcPr>
            <w:tcW w:w="150" w:type="dxa"/>
            <w:tcBorders/>
            <w:vAlign w:val="bottom"/>
          </w:tcPr>
          <w:p>
            <w:pPr>
              <w:pStyle w:val="TableContents"/>
              <w:bidi w:val="0"/>
              <w:spacing w:before="0" w:after="0"/>
              <w:jc w:val="left"/>
              <w:rPr>
                <w:color w:val="000000"/>
              </w:rPr>
            </w:pPr>
            <w:r>
              <w:rPr>
                <w:color w:val="000000"/>
              </w:rPr>
              <w:t>)</w:t>
            </w:r>
          </w:p>
        </w:tc>
        <w:tc>
          <w:tcPr>
            <w:tcW w:w="15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(3,324</w:t>
            </w:r>
          </w:p>
        </w:tc>
        <w:tc>
          <w:tcPr>
            <w:tcW w:w="199" w:type="dxa"/>
            <w:tcBorders/>
            <w:vAlign w:val="bottom"/>
          </w:tcPr>
          <w:p>
            <w:pPr>
              <w:pStyle w:val="TableContents"/>
              <w:bidi w:val="0"/>
              <w:spacing w:before="0" w:after="0"/>
              <w:jc w:val="left"/>
              <w:rPr>
                <w:color w:val="000000"/>
              </w:rPr>
            </w:pPr>
            <w:r>
              <w:rPr>
                <w:color w:val="000000"/>
              </w:rPr>
              <w:t>)</w:t>
            </w:r>
          </w:p>
        </w:tc>
      </w:tr>
      <w:tr>
        <w:trPr/>
        <w:tc>
          <w:tcPr>
            <w:tcW w:w="5089"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225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3"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9,792</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(2,047</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10,700</w:t>
            </w:r>
          </w:p>
        </w:tc>
        <w:tc>
          <w:tcPr>
            <w:tcW w:w="199" w:type="dxa"/>
            <w:tcBorders/>
            <w:shd w:fill="CCEEFF" w:val="clear"/>
            <w:vAlign w:val="bottom"/>
          </w:tcPr>
          <w:p>
            <w:pPr>
              <w:pStyle w:val="TableContents"/>
              <w:bidi w:val="0"/>
              <w:spacing w:before="0" w:after="283"/>
              <w:jc w:val="left"/>
              <w:rPr/>
            </w:pPr>
            <w:r>
              <w:rPr/>
              <w:t> </w:t>
            </w:r>
          </w:p>
        </w:tc>
      </w:tr>
      <w:tr>
        <w:trPr/>
        <w:tc>
          <w:tcPr>
            <w:tcW w:w="5089" w:type="dxa"/>
            <w:tcBorders/>
            <w:vAlign w:val="bottom"/>
          </w:tcPr>
          <w:p>
            <w:pPr>
              <w:pStyle w:val="TableContents"/>
              <w:bidi w:val="0"/>
              <w:spacing w:before="0" w:after="0"/>
              <w:ind w:left="180" w:right="0" w:hanging="0"/>
              <w:jc w:val="left"/>
              <w:rPr>
                <w:color w:val="000000"/>
              </w:rPr>
            </w:pPr>
            <w:r>
              <w:rPr>
                <w:color w:val="000000"/>
              </w:rPr>
              <w:t>Comprehensive income (loss)</w:t>
            </w:r>
          </w:p>
        </w:tc>
        <w:tc>
          <w:tcPr>
            <w:tcW w:w="15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0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(249,573</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3"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30,911</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0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(250,009</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139,334</w:t>
            </w:r>
          </w:p>
        </w:tc>
        <w:tc>
          <w:tcPr>
            <w:tcW w:w="199"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The accompanying notes are an integral part of these consolidated financial statements.</w:t>
      </w:r>
    </w:p>
    <w:p>
      <w:pPr>
        <w:pStyle w:val="TextBody"/>
        <w:bidi w:val="0"/>
        <w:spacing w:before="0" w:after="0"/>
        <w:jc w:val="center"/>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NU SKIN ENTERPRISES, INC.</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 xml:space="preserve">Consolidated Statements of </w:t>
      </w:r>
      <w:bookmarkStart w:id="10" w:name="StockholdersEquity"/>
      <w:bookmarkEnd w:id="10"/>
      <w:r>
        <w:rPr>
          <w:rFonts w:ascii="Times New Roman" w:hAnsi="Times New Roman"/>
          <w:b/>
          <w:color w:val="000000"/>
          <w:sz w:val="20"/>
          <w:shd w:fill="FFFFFF" w:val="clear"/>
        </w:rPr>
        <w:t>Stockholders’ Equity (Unaudited)</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(U.S. dollars in thousands)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870"/>
        <w:gridCol w:w="90"/>
        <w:gridCol w:w="367"/>
        <w:gridCol w:w="628"/>
        <w:gridCol w:w="90"/>
        <w:gridCol w:w="90"/>
        <w:gridCol w:w="110"/>
        <w:gridCol w:w="1020"/>
        <w:gridCol w:w="125"/>
        <w:gridCol w:w="90"/>
        <w:gridCol w:w="90"/>
        <w:gridCol w:w="1085"/>
        <w:gridCol w:w="125"/>
        <w:gridCol w:w="90"/>
        <w:gridCol w:w="148"/>
        <w:gridCol w:w="1492"/>
        <w:gridCol w:w="125"/>
        <w:gridCol w:w="90"/>
        <w:gridCol w:w="90"/>
        <w:gridCol w:w="1010"/>
        <w:gridCol w:w="125"/>
        <w:gridCol w:w="90"/>
        <w:gridCol w:w="90"/>
        <w:gridCol w:w="905"/>
        <w:gridCol w:w="170"/>
      </w:tblGrid>
      <w:tr>
        <w:trPr/>
        <w:tc>
          <w:tcPr>
            <w:tcW w:w="18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075" w:type="dxa"/>
            <w:gridSpan w:val="2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For the Three Months Ended June 30, 2026</w:t>
            </w:r>
          </w:p>
        </w:tc>
        <w:tc>
          <w:tcPr>
            <w:tcW w:w="170" w:type="dxa"/>
            <w:tcBorders/>
            <w:vAlign w:val="bottom"/>
          </w:tcPr>
          <w:p>
            <w:pPr>
              <w:pStyle w:val="TableContents"/>
              <w:bidi w:val="0"/>
              <w:spacing w:before="0" w:after="283"/>
              <w:jc w:val="left"/>
              <w:rPr/>
            </w:pPr>
            <w:r>
              <w:rPr/>
            </w:r>
          </w:p>
        </w:tc>
      </w:tr>
      <w:tr>
        <w:trPr/>
        <w:tc>
          <w:tcPr>
            <w:tcW w:w="1870"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r>
          </w:p>
        </w:tc>
        <w:tc>
          <w:tcPr>
            <w:tcW w:w="995"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Class A</w:t>
            </w:r>
          </w:p>
          <w:p>
            <w:pPr>
              <w:pStyle w:val="TableContents"/>
              <w:bidi w:val="0"/>
              <w:spacing w:before="0" w:after="0"/>
              <w:jc w:val="center"/>
              <w:rPr>
                <w:b/>
                <w:color w:val="000000"/>
              </w:rPr>
            </w:pPr>
            <w:r>
              <w:rPr>
                <w:b/>
                <w:color w:val="000000"/>
              </w:rPr>
              <w:t>Common</w:t>
            </w:r>
          </w:p>
          <w:p>
            <w:pPr>
              <w:pStyle w:val="TableContents"/>
              <w:bidi w:val="0"/>
              <w:spacing w:before="0" w:after="0"/>
              <w:jc w:val="center"/>
              <w:rPr>
                <w:b/>
                <w:color w:val="000000"/>
              </w:rPr>
            </w:pPr>
            <w:r>
              <w:rPr>
                <w:b/>
                <w:color w:val="000000"/>
              </w:rPr>
              <w:t>Stock</w:t>
            </w:r>
          </w:p>
        </w:tc>
        <w:tc>
          <w:tcPr>
            <w:tcW w:w="90"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r>
          </w:p>
        </w:tc>
        <w:tc>
          <w:tcPr>
            <w:tcW w:w="113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Additional</w:t>
            </w:r>
          </w:p>
          <w:p>
            <w:pPr>
              <w:pStyle w:val="TableContents"/>
              <w:bidi w:val="0"/>
              <w:spacing w:before="0" w:after="0"/>
              <w:jc w:val="center"/>
              <w:rPr>
                <w:b/>
                <w:color w:val="000000"/>
              </w:rPr>
            </w:pPr>
            <w:r>
              <w:rPr>
                <w:b/>
                <w:color w:val="000000"/>
              </w:rPr>
              <w:t>Paid-in</w:t>
            </w:r>
          </w:p>
          <w:p>
            <w:pPr>
              <w:pStyle w:val="TableContents"/>
              <w:bidi w:val="0"/>
              <w:spacing w:before="0" w:after="0"/>
              <w:jc w:val="center"/>
              <w:rPr>
                <w:b/>
                <w:color w:val="000000"/>
              </w:rPr>
            </w:pPr>
            <w:r>
              <w:rPr>
                <w:b/>
                <w:color w:val="000000"/>
              </w:rPr>
              <w:t>Capital</w:t>
            </w:r>
          </w:p>
        </w:tc>
        <w:tc>
          <w:tcPr>
            <w:tcW w:w="125"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r>
          </w:p>
        </w:tc>
        <w:tc>
          <w:tcPr>
            <w:tcW w:w="1175"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Treasury</w:t>
            </w:r>
          </w:p>
          <w:p>
            <w:pPr>
              <w:pStyle w:val="TableContents"/>
              <w:bidi w:val="0"/>
              <w:spacing w:before="0" w:after="0"/>
              <w:jc w:val="center"/>
              <w:rPr>
                <w:b/>
                <w:color w:val="000000"/>
              </w:rPr>
            </w:pPr>
            <w:r>
              <w:rPr>
                <w:b/>
                <w:color w:val="000000"/>
              </w:rPr>
              <w:t>Stock</w:t>
            </w:r>
          </w:p>
        </w:tc>
        <w:tc>
          <w:tcPr>
            <w:tcW w:w="125"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r>
          </w:p>
        </w:tc>
        <w:tc>
          <w:tcPr>
            <w:tcW w:w="16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Accumulated</w:t>
            </w:r>
          </w:p>
          <w:p>
            <w:pPr>
              <w:pStyle w:val="TableContents"/>
              <w:bidi w:val="0"/>
              <w:spacing w:before="0" w:after="0"/>
              <w:jc w:val="center"/>
              <w:rPr>
                <w:b/>
                <w:color w:val="000000"/>
              </w:rPr>
            </w:pPr>
            <w:r>
              <w:rPr>
                <w:b/>
                <w:color w:val="000000"/>
              </w:rPr>
              <w:t>Other</w:t>
            </w:r>
          </w:p>
          <w:p>
            <w:pPr>
              <w:pStyle w:val="TableContents"/>
              <w:bidi w:val="0"/>
              <w:spacing w:before="0" w:after="0"/>
              <w:jc w:val="center"/>
              <w:rPr>
                <w:b/>
                <w:color w:val="000000"/>
              </w:rPr>
            </w:pPr>
            <w:r>
              <w:rPr>
                <w:b/>
                <w:color w:val="000000"/>
              </w:rPr>
              <w:t>Comprehensive</w:t>
            </w:r>
          </w:p>
          <w:p>
            <w:pPr>
              <w:pStyle w:val="TableContents"/>
              <w:bidi w:val="0"/>
              <w:spacing w:before="0" w:after="0"/>
              <w:jc w:val="center"/>
              <w:rPr>
                <w:b/>
                <w:color w:val="000000"/>
              </w:rPr>
            </w:pPr>
            <w:r>
              <w:rPr>
                <w:b/>
                <w:color w:val="000000"/>
              </w:rPr>
              <w:t>Loss</w:t>
            </w:r>
          </w:p>
        </w:tc>
        <w:tc>
          <w:tcPr>
            <w:tcW w:w="125"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r>
          </w:p>
        </w:tc>
        <w:tc>
          <w:tcPr>
            <w:tcW w:w="110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Retained</w:t>
            </w:r>
          </w:p>
          <w:p>
            <w:pPr>
              <w:pStyle w:val="TableContents"/>
              <w:bidi w:val="0"/>
              <w:spacing w:before="0" w:after="0"/>
              <w:jc w:val="center"/>
              <w:rPr>
                <w:b/>
                <w:color w:val="000000"/>
              </w:rPr>
            </w:pPr>
            <w:r>
              <w:rPr>
                <w:b/>
                <w:color w:val="000000"/>
              </w:rPr>
              <w:t>Earnings</w:t>
            </w:r>
          </w:p>
        </w:tc>
        <w:tc>
          <w:tcPr>
            <w:tcW w:w="125"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r>
          </w:p>
        </w:tc>
        <w:tc>
          <w:tcPr>
            <w:tcW w:w="995" w:type="dxa"/>
            <w:gridSpan w:val="2"/>
            <w:tcBorders>
              <w:bottom w:val="single" w:sz="12" w:space="0" w:color="000000"/>
            </w:tcBorders>
            <w:tcMar>
              <w:bottom w:w="28" w:type="dxa"/>
            </w:tcMar>
            <w:vAlign w:val="center"/>
          </w:tcPr>
          <w:p>
            <w:pPr>
              <w:pStyle w:val="TableContents"/>
              <w:bidi w:val="0"/>
              <w:spacing w:before="0" w:after="0"/>
              <w:jc w:val="center"/>
              <w:rPr/>
            </w:pPr>
            <w:r>
              <w:rPr/>
            </w:r>
          </w:p>
          <w:p>
            <w:pPr>
              <w:pStyle w:val="TableContents"/>
              <w:bidi w:val="0"/>
              <w:spacing w:before="0" w:after="0"/>
              <w:jc w:val="center"/>
              <w:rPr>
                <w:b/>
                <w:color w:val="000000"/>
              </w:rPr>
            </w:pPr>
            <w:r>
              <w:rPr>
                <w:b/>
                <w:color w:val="000000"/>
              </w:rPr>
              <w:t>Total</w:t>
            </w:r>
          </w:p>
        </w:tc>
        <w:tc>
          <w:tcPr>
            <w:tcW w:w="170" w:type="dxa"/>
            <w:tcBorders/>
            <w:vAlign w:val="bottom"/>
          </w:tcPr>
          <w:p>
            <w:pPr>
              <w:pStyle w:val="TableContents"/>
              <w:bidi w:val="0"/>
              <w:spacing w:before="0" w:after="283"/>
              <w:jc w:val="left"/>
              <w:rPr/>
            </w:pPr>
            <w:r>
              <w:rPr/>
            </w:r>
          </w:p>
        </w:tc>
      </w:tr>
      <w:tr>
        <w:trPr/>
        <w:tc>
          <w:tcPr>
            <w:tcW w:w="1870" w:type="dxa"/>
            <w:tcBorders/>
            <w:shd w:fill="CCEEFF" w:val="clear"/>
            <w:vAlign w:val="bottom"/>
          </w:tcPr>
          <w:p>
            <w:pPr>
              <w:pStyle w:val="TableContents"/>
              <w:bidi w:val="0"/>
              <w:spacing w:before="0" w:after="0"/>
              <w:ind w:left="180" w:right="0" w:hanging="180"/>
              <w:jc w:val="left"/>
              <w:rPr>
                <w:color w:val="000000"/>
              </w:rPr>
            </w:pPr>
            <w:r>
              <w:rPr>
                <w:color w:val="000000"/>
              </w:rPr>
              <w:t>Balance at April 1, 2026</w:t>
            </w:r>
          </w:p>
        </w:tc>
        <w:tc>
          <w:tcPr>
            <w:tcW w:w="90"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0"/>
              <w:jc w:val="left"/>
              <w:rPr>
                <w:color w:val="000000"/>
              </w:rPr>
            </w:pPr>
            <w:r>
              <w:rPr>
                <w:color w:val="000000"/>
              </w:rPr>
              <w:t>$</w:t>
            </w:r>
          </w:p>
        </w:tc>
        <w:tc>
          <w:tcPr>
            <w:tcW w:w="628" w:type="dxa"/>
            <w:tcBorders/>
            <w:shd w:fill="CCEEFF" w:val="clear"/>
            <w:vAlign w:val="bottom"/>
          </w:tcPr>
          <w:p>
            <w:pPr>
              <w:pStyle w:val="TableContents"/>
              <w:bidi w:val="0"/>
              <w:spacing w:before="0" w:after="0"/>
              <w:jc w:val="right"/>
              <w:rPr>
                <w:color w:val="000000"/>
              </w:rPr>
            </w:pPr>
            <w:r>
              <w:rPr>
                <w:color w:val="000000"/>
              </w:rPr>
              <w:t>91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0"/>
              <w:jc w:val="right"/>
              <w:rPr>
                <w:color w:val="000000"/>
              </w:rPr>
            </w:pPr>
            <w:r>
              <w:rPr>
                <w:color w:val="000000"/>
              </w:rPr>
              <w:t>613,890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0"/>
              <w:jc w:val="right"/>
              <w:rPr>
                <w:color w:val="000000"/>
              </w:rPr>
            </w:pPr>
            <w:r>
              <w:rPr>
                <w:color w:val="000000"/>
              </w:rPr>
              <w:t>(1,560,799</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92" w:type="dxa"/>
            <w:tcBorders/>
            <w:shd w:fill="CCEEFF" w:val="clear"/>
            <w:vAlign w:val="bottom"/>
          </w:tcPr>
          <w:p>
            <w:pPr>
              <w:pStyle w:val="TableContents"/>
              <w:bidi w:val="0"/>
              <w:spacing w:before="0" w:after="0"/>
              <w:jc w:val="right"/>
              <w:rPr>
                <w:color w:val="000000"/>
              </w:rPr>
            </w:pPr>
            <w:r>
              <w:rPr>
                <w:color w:val="000000"/>
              </w:rPr>
              <w:t>(118,377</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1,859,282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794,087</w:t>
            </w:r>
          </w:p>
        </w:tc>
        <w:tc>
          <w:tcPr>
            <w:tcW w:w="170" w:type="dxa"/>
            <w:tcBorders/>
            <w:shd w:fill="CCEEFF" w:val="clear"/>
            <w:vAlign w:val="bottom"/>
          </w:tcPr>
          <w:p>
            <w:pPr>
              <w:pStyle w:val="TableContents"/>
              <w:bidi w:val="0"/>
              <w:spacing w:before="0" w:after="283"/>
              <w:jc w:val="left"/>
              <w:rPr/>
            </w:pPr>
            <w:r>
              <w:rPr/>
              <w:t> </w:t>
            </w:r>
          </w:p>
        </w:tc>
      </w:tr>
      <w:tr>
        <w:trPr/>
        <w:tc>
          <w:tcPr>
            <w:tcW w:w="1870"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628"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r>
      <w:tr>
        <w:trPr/>
        <w:tc>
          <w:tcPr>
            <w:tcW w:w="1870" w:type="dxa"/>
            <w:tcBorders/>
            <w:shd w:fill="CCEEFF" w:val="clear"/>
            <w:vAlign w:val="bottom"/>
          </w:tcPr>
          <w:p>
            <w:pPr>
              <w:pStyle w:val="TableContents"/>
              <w:bidi w:val="0"/>
              <w:spacing w:before="0" w:after="0"/>
              <w:ind w:left="180" w:right="0" w:hanging="180"/>
              <w:jc w:val="left"/>
              <w:rPr>
                <w:color w:val="000000"/>
              </w:rPr>
            </w:pPr>
            <w:r>
              <w:rPr>
                <w:color w:val="000000"/>
              </w:rPr>
              <w:t>Net loss</w:t>
            </w:r>
          </w:p>
        </w:tc>
        <w:tc>
          <w:tcPr>
            <w:tcW w:w="90"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628"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92"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(249,798</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(249,798</w:t>
            </w:r>
          </w:p>
        </w:tc>
        <w:tc>
          <w:tcPr>
            <w:tcW w:w="170" w:type="dxa"/>
            <w:tcBorders/>
            <w:shd w:fill="CCEEFF" w:val="clear"/>
            <w:vAlign w:val="bottom"/>
          </w:tcPr>
          <w:p>
            <w:pPr>
              <w:pStyle w:val="TableContents"/>
              <w:bidi w:val="0"/>
              <w:spacing w:before="0" w:after="0"/>
              <w:jc w:val="left"/>
              <w:rPr>
                <w:color w:val="000000"/>
              </w:rPr>
            </w:pPr>
            <w:r>
              <w:rPr>
                <w:color w:val="000000"/>
              </w:rPr>
              <w:t>)</w:t>
            </w:r>
          </w:p>
        </w:tc>
      </w:tr>
      <w:tr>
        <w:trPr/>
        <w:tc>
          <w:tcPr>
            <w:tcW w:w="1870" w:type="dxa"/>
            <w:tcBorders/>
            <w:vAlign w:val="bottom"/>
          </w:tcPr>
          <w:p>
            <w:pPr>
              <w:pStyle w:val="TableContents"/>
              <w:bidi w:val="0"/>
              <w:spacing w:before="0" w:after="0"/>
              <w:ind w:left="180" w:right="0" w:hanging="180"/>
              <w:jc w:val="left"/>
              <w:rPr>
                <w:color w:val="000000"/>
              </w:rPr>
            </w:pPr>
            <w:r>
              <w:rPr>
                <w:color w:val="000000"/>
              </w:rPr>
              <w:t>Other comprehensive income, net of tax</w:t>
            </w:r>
          </w:p>
        </w:tc>
        <w:tc>
          <w:tcPr>
            <w:tcW w:w="9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628"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0"/>
              <w:jc w:val="right"/>
              <w:rPr>
                <w:color w:val="000000"/>
              </w:rPr>
            </w:pPr>
            <w:r>
              <w:rPr>
                <w:color w:val="000000"/>
              </w:rPr>
              <w:t>225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225</w:t>
            </w:r>
          </w:p>
        </w:tc>
        <w:tc>
          <w:tcPr>
            <w:tcW w:w="170" w:type="dxa"/>
            <w:tcBorders/>
            <w:vAlign w:val="bottom"/>
          </w:tcPr>
          <w:p>
            <w:pPr>
              <w:pStyle w:val="TableContents"/>
              <w:bidi w:val="0"/>
              <w:spacing w:before="0" w:after="283"/>
              <w:jc w:val="left"/>
              <w:rPr/>
            </w:pPr>
            <w:r>
              <w:rPr/>
              <w:t> </w:t>
            </w:r>
          </w:p>
        </w:tc>
      </w:tr>
      <w:tr>
        <w:trPr/>
        <w:tc>
          <w:tcPr>
            <w:tcW w:w="1870" w:type="dxa"/>
            <w:tcBorders/>
            <w:shd w:fill="CCEEFF" w:val="clear"/>
            <w:vAlign w:val="bottom"/>
          </w:tcPr>
          <w:p>
            <w:pPr>
              <w:pStyle w:val="TableContents"/>
              <w:bidi w:val="0"/>
              <w:spacing w:before="0" w:after="0"/>
              <w:ind w:left="180" w:right="0" w:hanging="180"/>
              <w:jc w:val="left"/>
              <w:rPr>
                <w:color w:val="000000"/>
              </w:rPr>
            </w:pPr>
            <w:r>
              <w:rPr>
                <w:color w:val="000000"/>
              </w:rPr>
              <w:t>Repurchase of Class A common stock (Note 7)</w:t>
            </w:r>
          </w:p>
        </w:tc>
        <w:tc>
          <w:tcPr>
            <w:tcW w:w="90"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628"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92"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w:t>
            </w:r>
          </w:p>
        </w:tc>
        <w:tc>
          <w:tcPr>
            <w:tcW w:w="170" w:type="dxa"/>
            <w:tcBorders/>
            <w:shd w:fill="CCEEFF" w:val="clear"/>
            <w:vAlign w:val="bottom"/>
          </w:tcPr>
          <w:p>
            <w:pPr>
              <w:pStyle w:val="TableContents"/>
              <w:bidi w:val="0"/>
              <w:spacing w:before="0" w:after="283"/>
              <w:jc w:val="left"/>
              <w:rPr/>
            </w:pPr>
            <w:r>
              <w:rPr/>
              <w:t> </w:t>
            </w:r>
          </w:p>
        </w:tc>
      </w:tr>
      <w:tr>
        <w:trPr/>
        <w:tc>
          <w:tcPr>
            <w:tcW w:w="1870" w:type="dxa"/>
            <w:tcBorders/>
            <w:vAlign w:val="bottom"/>
          </w:tcPr>
          <w:p>
            <w:pPr>
              <w:pStyle w:val="TableContents"/>
              <w:bidi w:val="0"/>
              <w:spacing w:before="0" w:after="0"/>
              <w:ind w:left="180" w:right="0" w:hanging="180"/>
              <w:jc w:val="left"/>
              <w:rPr>
                <w:color w:val="000000"/>
              </w:rPr>
            </w:pPr>
            <w:r>
              <w:rPr>
                <w:color w:val="000000"/>
              </w:rPr>
              <w:t>Exercise of employee stock options (0.2 million shares)/vesting of stock awards</w:t>
            </w:r>
          </w:p>
        </w:tc>
        <w:tc>
          <w:tcPr>
            <w:tcW w:w="9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628"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0"/>
              <w:jc w:val="right"/>
              <w:rPr>
                <w:color w:val="000000"/>
              </w:rPr>
            </w:pPr>
            <w:r>
              <w:rPr>
                <w:color w:val="000000"/>
              </w:rPr>
              <w:t>(2,595</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0"/>
              <w:jc w:val="right"/>
              <w:rPr>
                <w:color w:val="000000"/>
              </w:rPr>
            </w:pPr>
            <w:r>
              <w:rPr>
                <w:color w:val="000000"/>
              </w:rPr>
              <w:t>2,616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21</w:t>
            </w:r>
          </w:p>
        </w:tc>
        <w:tc>
          <w:tcPr>
            <w:tcW w:w="170" w:type="dxa"/>
            <w:tcBorders/>
            <w:vAlign w:val="bottom"/>
          </w:tcPr>
          <w:p>
            <w:pPr>
              <w:pStyle w:val="TableContents"/>
              <w:bidi w:val="0"/>
              <w:spacing w:before="0" w:after="283"/>
              <w:jc w:val="left"/>
              <w:rPr/>
            </w:pPr>
            <w:r>
              <w:rPr/>
              <w:t> </w:t>
            </w:r>
          </w:p>
        </w:tc>
      </w:tr>
      <w:tr>
        <w:trPr/>
        <w:tc>
          <w:tcPr>
            <w:tcW w:w="1870" w:type="dxa"/>
            <w:tcBorders/>
            <w:shd w:fill="CCEEFF" w:val="clear"/>
            <w:vAlign w:val="bottom"/>
          </w:tcPr>
          <w:p>
            <w:pPr>
              <w:pStyle w:val="TableContents"/>
              <w:bidi w:val="0"/>
              <w:spacing w:before="0" w:after="0"/>
              <w:ind w:left="180" w:right="0" w:hanging="180"/>
              <w:jc w:val="left"/>
              <w:rPr>
                <w:color w:val="000000"/>
              </w:rPr>
            </w:pPr>
            <w:r>
              <w:rPr>
                <w:color w:val="000000"/>
              </w:rPr>
              <w:t>Stock-based compensation</w:t>
            </w:r>
          </w:p>
        </w:tc>
        <w:tc>
          <w:tcPr>
            <w:tcW w:w="90"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628"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0"/>
              <w:jc w:val="right"/>
              <w:rPr>
                <w:color w:val="000000"/>
              </w:rPr>
            </w:pPr>
            <w:r>
              <w:rPr>
                <w:color w:val="000000"/>
              </w:rPr>
              <w:t>1,117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92"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1,117</w:t>
            </w:r>
          </w:p>
        </w:tc>
        <w:tc>
          <w:tcPr>
            <w:tcW w:w="170" w:type="dxa"/>
            <w:tcBorders/>
            <w:shd w:fill="CCEEFF" w:val="clear"/>
            <w:vAlign w:val="bottom"/>
          </w:tcPr>
          <w:p>
            <w:pPr>
              <w:pStyle w:val="TableContents"/>
              <w:bidi w:val="0"/>
              <w:spacing w:before="0" w:after="283"/>
              <w:jc w:val="left"/>
              <w:rPr/>
            </w:pPr>
            <w:r>
              <w:rPr/>
              <w:t> </w:t>
            </w:r>
          </w:p>
        </w:tc>
      </w:tr>
      <w:tr>
        <w:trPr/>
        <w:tc>
          <w:tcPr>
            <w:tcW w:w="1870" w:type="dxa"/>
            <w:tcBorders/>
            <w:vAlign w:val="bottom"/>
          </w:tcPr>
          <w:p>
            <w:pPr>
              <w:pStyle w:val="TableContents"/>
              <w:bidi w:val="0"/>
              <w:spacing w:before="0" w:after="0"/>
              <w:ind w:left="180" w:right="0" w:hanging="180"/>
              <w:jc w:val="left"/>
              <w:rPr>
                <w:color w:val="000000"/>
              </w:rPr>
            </w:pPr>
            <w:r>
              <w:rPr>
                <w:color w:val="000000"/>
              </w:rPr>
              <w:t>Cash dividends</w:t>
            </w:r>
          </w:p>
        </w:tc>
        <w:tc>
          <w:tcPr>
            <w:tcW w:w="90" w:type="dxa"/>
            <w:tcBorders/>
            <w:vAlign w:val="bottom"/>
          </w:tcPr>
          <w:p>
            <w:pPr>
              <w:pStyle w:val="TableContents"/>
              <w:bidi w:val="0"/>
              <w:spacing w:before="0" w:after="283"/>
              <w:jc w:val="left"/>
              <w:rPr/>
            </w:pPr>
            <w:r>
              <w:rPr/>
              <w:t> </w:t>
            </w:r>
          </w:p>
        </w:tc>
        <w:tc>
          <w:tcPr>
            <w:tcW w:w="367" w:type="dxa"/>
            <w:tcBorders>
              <w:bottom w:val="single" w:sz="12" w:space="0" w:color="000000"/>
            </w:tcBorders>
            <w:tcMar>
              <w:bottom w:w="28" w:type="dxa"/>
            </w:tcMar>
            <w:vAlign w:val="bottom"/>
          </w:tcPr>
          <w:p>
            <w:pPr>
              <w:pStyle w:val="TableContents"/>
              <w:bidi w:val="0"/>
              <w:spacing w:before="0" w:after="283"/>
              <w:jc w:val="left"/>
              <w:rPr/>
            </w:pPr>
            <w:r>
              <w:rPr/>
              <w:t> </w:t>
            </w:r>
          </w:p>
        </w:tc>
        <w:tc>
          <w:tcPr>
            <w:tcW w:w="62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8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8" w:type="dxa"/>
            <w:tcBorders>
              <w:bottom w:val="single" w:sz="12" w:space="0" w:color="000000"/>
            </w:tcBorders>
            <w:tcMar>
              <w:bottom w:w="28" w:type="dxa"/>
            </w:tcMar>
            <w:vAlign w:val="bottom"/>
          </w:tcPr>
          <w:p>
            <w:pPr>
              <w:pStyle w:val="TableContents"/>
              <w:bidi w:val="0"/>
              <w:spacing w:before="0" w:after="283"/>
              <w:jc w:val="left"/>
              <w:rPr/>
            </w:pPr>
            <w:r>
              <w:rPr/>
              <w:t> </w:t>
            </w:r>
          </w:p>
        </w:tc>
        <w:tc>
          <w:tcPr>
            <w:tcW w:w="149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(2,913</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(2,913</w:t>
            </w:r>
          </w:p>
        </w:tc>
        <w:tc>
          <w:tcPr>
            <w:tcW w:w="170" w:type="dxa"/>
            <w:tcBorders/>
            <w:vAlign w:val="bottom"/>
          </w:tcPr>
          <w:p>
            <w:pPr>
              <w:pStyle w:val="TableContents"/>
              <w:bidi w:val="0"/>
              <w:spacing w:before="0" w:after="0"/>
              <w:jc w:val="left"/>
              <w:rPr>
                <w:color w:val="000000"/>
              </w:rPr>
            </w:pPr>
            <w:r>
              <w:rPr>
                <w:color w:val="000000"/>
              </w:rPr>
              <w:t>)</w:t>
            </w:r>
          </w:p>
        </w:tc>
      </w:tr>
      <w:tr>
        <w:trPr/>
        <w:tc>
          <w:tcPr>
            <w:tcW w:w="1870" w:type="dxa"/>
            <w:tcBorders/>
            <w:shd w:fill="CCEEFF" w:val="clear"/>
            <w:vAlign w:val="bottom"/>
          </w:tcPr>
          <w:p>
            <w:pPr>
              <w:pStyle w:val="TableContents"/>
              <w:bidi w:val="0"/>
              <w:spacing w:before="0" w:after="0"/>
              <w:ind w:left="180" w:right="0" w:hanging="180"/>
              <w:jc w:val="left"/>
              <w:rPr>
                <w:color w:val="000000"/>
              </w:rPr>
            </w:pPr>
            <w:r>
              <w:rPr>
                <w:color w:val="000000"/>
              </w:rPr>
              <w:t>Balance at June 30, 2026</w:t>
            </w:r>
          </w:p>
        </w:tc>
        <w:tc>
          <w:tcPr>
            <w:tcW w:w="90" w:type="dxa"/>
            <w:tcBorders/>
            <w:shd w:fill="CCEEFF" w:val="clear"/>
            <w:vAlign w:val="bottom"/>
          </w:tcPr>
          <w:p>
            <w:pPr>
              <w:pStyle w:val="TableContents"/>
              <w:bidi w:val="0"/>
              <w:spacing w:before="0" w:after="283"/>
              <w:jc w:val="left"/>
              <w:rPr/>
            </w:pPr>
            <w:r>
              <w:rPr/>
              <w:t> </w:t>
            </w:r>
          </w:p>
        </w:tc>
        <w:tc>
          <w:tcPr>
            <w:tcW w:w="367"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2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91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02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612,412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08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(1,558,183</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48"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492"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(118,152</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1,606,571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542,739</w:t>
            </w:r>
          </w:p>
        </w:tc>
        <w:tc>
          <w:tcPr>
            <w:tcW w:w="17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945"/>
        <w:gridCol w:w="90"/>
        <w:gridCol w:w="367"/>
        <w:gridCol w:w="628"/>
        <w:gridCol w:w="90"/>
        <w:gridCol w:w="90"/>
        <w:gridCol w:w="110"/>
        <w:gridCol w:w="1020"/>
        <w:gridCol w:w="125"/>
        <w:gridCol w:w="90"/>
        <w:gridCol w:w="90"/>
        <w:gridCol w:w="1085"/>
        <w:gridCol w:w="125"/>
        <w:gridCol w:w="90"/>
        <w:gridCol w:w="148"/>
        <w:gridCol w:w="1492"/>
        <w:gridCol w:w="125"/>
        <w:gridCol w:w="90"/>
        <w:gridCol w:w="90"/>
        <w:gridCol w:w="1010"/>
        <w:gridCol w:w="125"/>
        <w:gridCol w:w="90"/>
        <w:gridCol w:w="90"/>
        <w:gridCol w:w="830"/>
        <w:gridCol w:w="170"/>
      </w:tblGrid>
      <w:tr>
        <w:trPr/>
        <w:tc>
          <w:tcPr>
            <w:tcW w:w="1945"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8000" w:type="dxa"/>
            <w:gridSpan w:val="2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For the Three Months Ended June 30, 2025</w:t>
            </w:r>
          </w:p>
        </w:tc>
        <w:tc>
          <w:tcPr>
            <w:tcW w:w="170" w:type="dxa"/>
            <w:tcBorders/>
            <w:vAlign w:val="bottom"/>
          </w:tcPr>
          <w:p>
            <w:pPr>
              <w:pStyle w:val="TableContents"/>
              <w:bidi w:val="0"/>
              <w:spacing w:before="0" w:after="283"/>
              <w:jc w:val="left"/>
              <w:rPr/>
            </w:pPr>
            <w:r>
              <w:rPr/>
            </w:r>
          </w:p>
        </w:tc>
      </w:tr>
      <w:tr>
        <w:trPr/>
        <w:tc>
          <w:tcPr>
            <w:tcW w:w="1945"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r>
          </w:p>
        </w:tc>
        <w:tc>
          <w:tcPr>
            <w:tcW w:w="995"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Class A</w:t>
            </w:r>
          </w:p>
          <w:p>
            <w:pPr>
              <w:pStyle w:val="TableContents"/>
              <w:bidi w:val="0"/>
              <w:spacing w:before="0" w:after="0"/>
              <w:jc w:val="center"/>
              <w:rPr>
                <w:b/>
                <w:color w:val="000000"/>
              </w:rPr>
            </w:pPr>
            <w:r>
              <w:rPr>
                <w:b/>
                <w:color w:val="000000"/>
              </w:rPr>
              <w:t>Common</w:t>
            </w:r>
          </w:p>
          <w:p>
            <w:pPr>
              <w:pStyle w:val="TableContents"/>
              <w:bidi w:val="0"/>
              <w:spacing w:before="0" w:after="0"/>
              <w:jc w:val="center"/>
              <w:rPr>
                <w:b/>
                <w:color w:val="000000"/>
              </w:rPr>
            </w:pPr>
            <w:r>
              <w:rPr>
                <w:b/>
                <w:color w:val="000000"/>
              </w:rPr>
              <w:t>Stock</w:t>
            </w:r>
          </w:p>
        </w:tc>
        <w:tc>
          <w:tcPr>
            <w:tcW w:w="90" w:type="dxa"/>
            <w:tcBorders/>
            <w:vAlign w:val="center"/>
          </w:tcPr>
          <w:p>
            <w:pPr>
              <w:pStyle w:val="TableContents"/>
              <w:bidi w:val="0"/>
              <w:spacing w:before="0" w:after="283"/>
              <w:jc w:val="left"/>
              <w:rPr/>
            </w:pPr>
            <w:r>
              <w:rPr/>
            </w:r>
          </w:p>
        </w:tc>
        <w:tc>
          <w:tcPr>
            <w:tcW w:w="90" w:type="dxa"/>
            <w:tcBorders/>
            <w:vAlign w:val="center"/>
          </w:tcPr>
          <w:p>
            <w:pPr>
              <w:pStyle w:val="TableContents"/>
              <w:bidi w:val="0"/>
              <w:spacing w:before="0" w:after="283"/>
              <w:jc w:val="left"/>
              <w:rPr/>
            </w:pPr>
            <w:r>
              <w:rPr/>
            </w:r>
          </w:p>
        </w:tc>
        <w:tc>
          <w:tcPr>
            <w:tcW w:w="113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Additional</w:t>
            </w:r>
          </w:p>
          <w:p>
            <w:pPr>
              <w:pStyle w:val="TableContents"/>
              <w:bidi w:val="0"/>
              <w:spacing w:before="0" w:after="0"/>
              <w:jc w:val="center"/>
              <w:rPr>
                <w:b/>
                <w:color w:val="000000"/>
              </w:rPr>
            </w:pPr>
            <w:r>
              <w:rPr>
                <w:b/>
                <w:color w:val="000000"/>
              </w:rPr>
              <w:t>Paid-in</w:t>
            </w:r>
          </w:p>
          <w:p>
            <w:pPr>
              <w:pStyle w:val="TableContents"/>
              <w:bidi w:val="0"/>
              <w:spacing w:before="0" w:after="0"/>
              <w:jc w:val="center"/>
              <w:rPr>
                <w:b/>
                <w:color w:val="000000"/>
              </w:rPr>
            </w:pPr>
            <w:r>
              <w:rPr>
                <w:b/>
                <w:color w:val="000000"/>
              </w:rPr>
              <w:t>Capital</w:t>
            </w:r>
          </w:p>
        </w:tc>
        <w:tc>
          <w:tcPr>
            <w:tcW w:w="125" w:type="dxa"/>
            <w:tcBorders/>
            <w:vAlign w:val="center"/>
          </w:tcPr>
          <w:p>
            <w:pPr>
              <w:pStyle w:val="TableContents"/>
              <w:bidi w:val="0"/>
              <w:spacing w:before="0" w:after="283"/>
              <w:jc w:val="left"/>
              <w:rPr/>
            </w:pPr>
            <w:r>
              <w:rPr/>
            </w:r>
          </w:p>
        </w:tc>
        <w:tc>
          <w:tcPr>
            <w:tcW w:w="90" w:type="dxa"/>
            <w:tcBorders/>
            <w:vAlign w:val="center"/>
          </w:tcPr>
          <w:p>
            <w:pPr>
              <w:pStyle w:val="TableContents"/>
              <w:bidi w:val="0"/>
              <w:spacing w:before="0" w:after="283"/>
              <w:jc w:val="left"/>
              <w:rPr/>
            </w:pPr>
            <w:r>
              <w:rPr/>
            </w:r>
          </w:p>
        </w:tc>
        <w:tc>
          <w:tcPr>
            <w:tcW w:w="1175"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Treasury</w:t>
            </w:r>
          </w:p>
          <w:p>
            <w:pPr>
              <w:pStyle w:val="TableContents"/>
              <w:bidi w:val="0"/>
              <w:spacing w:before="0" w:after="0"/>
              <w:jc w:val="center"/>
              <w:rPr>
                <w:b/>
                <w:color w:val="000000"/>
              </w:rPr>
            </w:pPr>
            <w:r>
              <w:rPr>
                <w:b/>
                <w:color w:val="000000"/>
              </w:rPr>
              <w:t>Stock</w:t>
            </w:r>
          </w:p>
        </w:tc>
        <w:tc>
          <w:tcPr>
            <w:tcW w:w="125" w:type="dxa"/>
            <w:tcBorders/>
            <w:vAlign w:val="center"/>
          </w:tcPr>
          <w:p>
            <w:pPr>
              <w:pStyle w:val="TableContents"/>
              <w:bidi w:val="0"/>
              <w:spacing w:before="0" w:after="283"/>
              <w:jc w:val="left"/>
              <w:rPr/>
            </w:pPr>
            <w:r>
              <w:rPr/>
            </w:r>
          </w:p>
        </w:tc>
        <w:tc>
          <w:tcPr>
            <w:tcW w:w="90" w:type="dxa"/>
            <w:tcBorders/>
            <w:vAlign w:val="center"/>
          </w:tcPr>
          <w:p>
            <w:pPr>
              <w:pStyle w:val="TableContents"/>
              <w:bidi w:val="0"/>
              <w:spacing w:before="0" w:after="283"/>
              <w:jc w:val="left"/>
              <w:rPr/>
            </w:pPr>
            <w:r>
              <w:rPr/>
            </w:r>
          </w:p>
        </w:tc>
        <w:tc>
          <w:tcPr>
            <w:tcW w:w="164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Accumulated</w:t>
            </w:r>
          </w:p>
          <w:p>
            <w:pPr>
              <w:pStyle w:val="TableContents"/>
              <w:bidi w:val="0"/>
              <w:spacing w:before="0" w:after="0"/>
              <w:jc w:val="center"/>
              <w:rPr>
                <w:b/>
                <w:color w:val="000000"/>
              </w:rPr>
            </w:pPr>
            <w:r>
              <w:rPr>
                <w:b/>
                <w:color w:val="000000"/>
              </w:rPr>
              <w:t>Other</w:t>
            </w:r>
          </w:p>
          <w:p>
            <w:pPr>
              <w:pStyle w:val="TableContents"/>
              <w:bidi w:val="0"/>
              <w:spacing w:before="0" w:after="0"/>
              <w:jc w:val="center"/>
              <w:rPr>
                <w:b/>
                <w:color w:val="000000"/>
              </w:rPr>
            </w:pPr>
            <w:r>
              <w:rPr>
                <w:b/>
                <w:color w:val="000000"/>
              </w:rPr>
              <w:t>Comprehensive</w:t>
            </w:r>
          </w:p>
          <w:p>
            <w:pPr>
              <w:pStyle w:val="TableContents"/>
              <w:bidi w:val="0"/>
              <w:spacing w:before="0" w:after="0"/>
              <w:jc w:val="center"/>
              <w:rPr>
                <w:b/>
                <w:color w:val="000000"/>
              </w:rPr>
            </w:pPr>
            <w:r>
              <w:rPr>
                <w:b/>
                <w:color w:val="000000"/>
              </w:rPr>
              <w:t>Loss</w:t>
            </w:r>
          </w:p>
        </w:tc>
        <w:tc>
          <w:tcPr>
            <w:tcW w:w="125" w:type="dxa"/>
            <w:tcBorders/>
            <w:vAlign w:val="center"/>
          </w:tcPr>
          <w:p>
            <w:pPr>
              <w:pStyle w:val="TableContents"/>
              <w:bidi w:val="0"/>
              <w:spacing w:before="0" w:after="283"/>
              <w:jc w:val="left"/>
              <w:rPr/>
            </w:pPr>
            <w:r>
              <w:rPr/>
            </w:r>
          </w:p>
        </w:tc>
        <w:tc>
          <w:tcPr>
            <w:tcW w:w="90" w:type="dxa"/>
            <w:tcBorders/>
            <w:vAlign w:val="center"/>
          </w:tcPr>
          <w:p>
            <w:pPr>
              <w:pStyle w:val="TableContents"/>
              <w:bidi w:val="0"/>
              <w:spacing w:before="0" w:after="283"/>
              <w:jc w:val="left"/>
              <w:rPr/>
            </w:pPr>
            <w:r>
              <w:rPr/>
            </w:r>
          </w:p>
        </w:tc>
        <w:tc>
          <w:tcPr>
            <w:tcW w:w="110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Retained</w:t>
            </w:r>
          </w:p>
          <w:p>
            <w:pPr>
              <w:pStyle w:val="TableContents"/>
              <w:bidi w:val="0"/>
              <w:spacing w:before="0" w:after="0"/>
              <w:jc w:val="center"/>
              <w:rPr>
                <w:b/>
                <w:color w:val="000000"/>
              </w:rPr>
            </w:pPr>
            <w:r>
              <w:rPr>
                <w:b/>
                <w:color w:val="000000"/>
              </w:rPr>
              <w:t>Earnings</w:t>
            </w:r>
          </w:p>
        </w:tc>
        <w:tc>
          <w:tcPr>
            <w:tcW w:w="125" w:type="dxa"/>
            <w:tcBorders/>
            <w:vAlign w:val="center"/>
          </w:tcPr>
          <w:p>
            <w:pPr>
              <w:pStyle w:val="TableContents"/>
              <w:bidi w:val="0"/>
              <w:spacing w:before="0" w:after="283"/>
              <w:jc w:val="left"/>
              <w:rPr/>
            </w:pPr>
            <w:r>
              <w:rPr/>
            </w:r>
          </w:p>
        </w:tc>
        <w:tc>
          <w:tcPr>
            <w:tcW w:w="90" w:type="dxa"/>
            <w:tcBorders/>
            <w:vAlign w:val="center"/>
          </w:tcPr>
          <w:p>
            <w:pPr>
              <w:pStyle w:val="TableContents"/>
              <w:bidi w:val="0"/>
              <w:spacing w:before="0" w:after="283"/>
              <w:jc w:val="left"/>
              <w:rPr/>
            </w:pPr>
            <w:r>
              <w:rPr/>
            </w:r>
          </w:p>
        </w:tc>
        <w:tc>
          <w:tcPr>
            <w:tcW w:w="920" w:type="dxa"/>
            <w:gridSpan w:val="2"/>
            <w:tcBorders>
              <w:bottom w:val="single" w:sz="12" w:space="0" w:color="000000"/>
            </w:tcBorders>
            <w:tcMar>
              <w:bottom w:w="28" w:type="dxa"/>
            </w:tcMar>
            <w:vAlign w:val="center"/>
          </w:tcPr>
          <w:p>
            <w:pPr>
              <w:pStyle w:val="TableContents"/>
              <w:bidi w:val="0"/>
              <w:spacing w:before="0" w:after="0"/>
              <w:jc w:val="center"/>
              <w:rPr/>
            </w:pPr>
            <w:r>
              <w:rPr/>
            </w:r>
          </w:p>
          <w:p>
            <w:pPr>
              <w:pStyle w:val="TableContents"/>
              <w:bidi w:val="0"/>
              <w:spacing w:before="0" w:after="0"/>
              <w:jc w:val="center"/>
              <w:rPr>
                <w:b/>
                <w:color w:val="000000"/>
              </w:rPr>
            </w:pPr>
            <w:r>
              <w:rPr>
                <w:b/>
                <w:color w:val="000000"/>
              </w:rPr>
              <w:t>Total</w:t>
            </w:r>
          </w:p>
        </w:tc>
        <w:tc>
          <w:tcPr>
            <w:tcW w:w="170" w:type="dxa"/>
            <w:tcBorders/>
            <w:vAlign w:val="bottom"/>
          </w:tcPr>
          <w:p>
            <w:pPr>
              <w:pStyle w:val="TableContents"/>
              <w:bidi w:val="0"/>
              <w:spacing w:before="0" w:after="283"/>
              <w:jc w:val="left"/>
              <w:rPr/>
            </w:pPr>
            <w:r>
              <w:rPr/>
            </w:r>
          </w:p>
        </w:tc>
      </w:tr>
      <w:tr>
        <w:trPr/>
        <w:tc>
          <w:tcPr>
            <w:tcW w:w="1945" w:type="dxa"/>
            <w:tcBorders/>
            <w:shd w:fill="CCEEFF" w:val="clear"/>
            <w:vAlign w:val="bottom"/>
          </w:tcPr>
          <w:p>
            <w:pPr>
              <w:pStyle w:val="TableContents"/>
              <w:bidi w:val="0"/>
              <w:spacing w:before="0" w:after="0"/>
              <w:ind w:left="180" w:right="0" w:hanging="180"/>
              <w:jc w:val="left"/>
              <w:rPr>
                <w:color w:val="000000"/>
              </w:rPr>
            </w:pPr>
            <w:r>
              <w:rPr>
                <w:color w:val="000000"/>
              </w:rPr>
              <w:t>Balance at April 1, 2025</w:t>
            </w:r>
          </w:p>
        </w:tc>
        <w:tc>
          <w:tcPr>
            <w:tcW w:w="90"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0"/>
              <w:jc w:val="left"/>
              <w:rPr>
                <w:color w:val="000000"/>
              </w:rPr>
            </w:pPr>
            <w:r>
              <w:rPr>
                <w:color w:val="000000"/>
              </w:rPr>
              <w:t>$</w:t>
            </w:r>
          </w:p>
        </w:tc>
        <w:tc>
          <w:tcPr>
            <w:tcW w:w="628" w:type="dxa"/>
            <w:tcBorders/>
            <w:shd w:fill="CCEEFF" w:val="clear"/>
            <w:vAlign w:val="bottom"/>
          </w:tcPr>
          <w:p>
            <w:pPr>
              <w:pStyle w:val="TableContents"/>
              <w:bidi w:val="0"/>
              <w:spacing w:before="0" w:after="0"/>
              <w:jc w:val="right"/>
              <w:rPr>
                <w:color w:val="000000"/>
              </w:rPr>
            </w:pPr>
            <w:r>
              <w:rPr>
                <w:color w:val="000000"/>
              </w:rPr>
              <w:t>91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0"/>
              <w:jc w:val="right"/>
              <w:rPr>
                <w:color w:val="000000"/>
              </w:rPr>
            </w:pPr>
            <w:r>
              <w:rPr>
                <w:color w:val="000000"/>
              </w:rPr>
              <w:t>623,477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0"/>
              <w:jc w:val="right"/>
              <w:rPr>
                <w:color w:val="000000"/>
              </w:rPr>
            </w:pPr>
            <w:r>
              <w:rPr>
                <w:color w:val="000000"/>
              </w:rPr>
              <w:t>(1,562,211</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92" w:type="dxa"/>
            <w:tcBorders/>
            <w:shd w:fill="CCEEFF" w:val="clear"/>
            <w:vAlign w:val="bottom"/>
          </w:tcPr>
          <w:p>
            <w:pPr>
              <w:pStyle w:val="TableContents"/>
              <w:bidi w:val="0"/>
              <w:spacing w:before="0" w:after="0"/>
              <w:jc w:val="right"/>
              <w:rPr>
                <w:color w:val="000000"/>
              </w:rPr>
            </w:pPr>
            <w:r>
              <w:rPr>
                <w:color w:val="000000"/>
              </w:rPr>
              <w:t>(123,850</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1,816,462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753,969</w:t>
            </w:r>
          </w:p>
        </w:tc>
        <w:tc>
          <w:tcPr>
            <w:tcW w:w="170" w:type="dxa"/>
            <w:tcBorders/>
            <w:shd w:fill="CCEEFF" w:val="clear"/>
            <w:vAlign w:val="bottom"/>
          </w:tcPr>
          <w:p>
            <w:pPr>
              <w:pStyle w:val="TableContents"/>
              <w:bidi w:val="0"/>
              <w:spacing w:before="0" w:after="283"/>
              <w:jc w:val="left"/>
              <w:rPr/>
            </w:pPr>
            <w:r>
              <w:rPr/>
              <w:t> </w:t>
            </w:r>
          </w:p>
        </w:tc>
      </w:tr>
      <w:tr>
        <w:trPr/>
        <w:tc>
          <w:tcPr>
            <w:tcW w:w="1945"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628"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r>
      <w:tr>
        <w:trPr/>
        <w:tc>
          <w:tcPr>
            <w:tcW w:w="1945" w:type="dxa"/>
            <w:tcBorders/>
            <w:shd w:fill="CCEEFF" w:val="clear"/>
            <w:vAlign w:val="bottom"/>
          </w:tcPr>
          <w:p>
            <w:pPr>
              <w:pStyle w:val="TableContents"/>
              <w:bidi w:val="0"/>
              <w:spacing w:before="0" w:after="0"/>
              <w:ind w:left="180" w:right="0" w:hanging="180"/>
              <w:jc w:val="left"/>
              <w:rPr>
                <w:color w:val="000000"/>
              </w:rPr>
            </w:pPr>
            <w:r>
              <w:rPr>
                <w:color w:val="000000"/>
              </w:rPr>
              <w:t>Net income</w:t>
            </w:r>
          </w:p>
        </w:tc>
        <w:tc>
          <w:tcPr>
            <w:tcW w:w="90"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628"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92"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21,119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21,119</w:t>
            </w:r>
          </w:p>
        </w:tc>
        <w:tc>
          <w:tcPr>
            <w:tcW w:w="170" w:type="dxa"/>
            <w:tcBorders/>
            <w:shd w:fill="CCEEFF" w:val="clear"/>
            <w:vAlign w:val="bottom"/>
          </w:tcPr>
          <w:p>
            <w:pPr>
              <w:pStyle w:val="TableContents"/>
              <w:bidi w:val="0"/>
              <w:spacing w:before="0" w:after="283"/>
              <w:jc w:val="left"/>
              <w:rPr/>
            </w:pPr>
            <w:r>
              <w:rPr/>
              <w:t> </w:t>
            </w:r>
          </w:p>
        </w:tc>
      </w:tr>
      <w:tr>
        <w:trPr/>
        <w:tc>
          <w:tcPr>
            <w:tcW w:w="1945" w:type="dxa"/>
            <w:tcBorders/>
            <w:vAlign w:val="bottom"/>
          </w:tcPr>
          <w:p>
            <w:pPr>
              <w:pStyle w:val="TableContents"/>
              <w:bidi w:val="0"/>
              <w:spacing w:before="0" w:after="0"/>
              <w:ind w:left="180" w:right="0" w:hanging="180"/>
              <w:jc w:val="left"/>
              <w:rPr>
                <w:color w:val="000000"/>
              </w:rPr>
            </w:pPr>
            <w:r>
              <w:rPr>
                <w:color w:val="000000"/>
              </w:rPr>
              <w:t>Other comprehensive income, net of tax</w:t>
            </w:r>
          </w:p>
        </w:tc>
        <w:tc>
          <w:tcPr>
            <w:tcW w:w="9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628"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0"/>
              <w:jc w:val="right"/>
              <w:rPr>
                <w:color w:val="000000"/>
              </w:rPr>
            </w:pPr>
            <w:r>
              <w:rPr>
                <w:color w:val="000000"/>
              </w:rPr>
              <w:t>9,792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9,792</w:t>
            </w:r>
          </w:p>
        </w:tc>
        <w:tc>
          <w:tcPr>
            <w:tcW w:w="170" w:type="dxa"/>
            <w:tcBorders/>
            <w:vAlign w:val="bottom"/>
          </w:tcPr>
          <w:p>
            <w:pPr>
              <w:pStyle w:val="TableContents"/>
              <w:bidi w:val="0"/>
              <w:spacing w:before="0" w:after="283"/>
              <w:jc w:val="left"/>
              <w:rPr/>
            </w:pPr>
            <w:r>
              <w:rPr/>
              <w:t> </w:t>
            </w:r>
          </w:p>
        </w:tc>
      </w:tr>
      <w:tr>
        <w:trPr/>
        <w:tc>
          <w:tcPr>
            <w:tcW w:w="1945" w:type="dxa"/>
            <w:tcBorders/>
            <w:shd w:fill="CCEEFF" w:val="clear"/>
            <w:vAlign w:val="bottom"/>
          </w:tcPr>
          <w:p>
            <w:pPr>
              <w:pStyle w:val="TableContents"/>
              <w:bidi w:val="0"/>
              <w:spacing w:before="0" w:after="0"/>
              <w:ind w:left="180" w:right="0" w:hanging="180"/>
              <w:jc w:val="left"/>
              <w:rPr>
                <w:color w:val="000000"/>
              </w:rPr>
            </w:pPr>
            <w:r>
              <w:rPr>
                <w:color w:val="000000"/>
              </w:rPr>
              <w:t>Repurchase of Class A common stock (Note 7)</w:t>
            </w:r>
          </w:p>
        </w:tc>
        <w:tc>
          <w:tcPr>
            <w:tcW w:w="90"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628"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92"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w:t>
            </w:r>
          </w:p>
        </w:tc>
        <w:tc>
          <w:tcPr>
            <w:tcW w:w="170" w:type="dxa"/>
            <w:tcBorders/>
            <w:shd w:fill="CCEEFF" w:val="clear"/>
            <w:vAlign w:val="bottom"/>
          </w:tcPr>
          <w:p>
            <w:pPr>
              <w:pStyle w:val="TableContents"/>
              <w:bidi w:val="0"/>
              <w:spacing w:before="0" w:after="283"/>
              <w:jc w:val="left"/>
              <w:rPr/>
            </w:pPr>
            <w:r>
              <w:rPr/>
              <w:t> </w:t>
            </w:r>
          </w:p>
        </w:tc>
      </w:tr>
      <w:tr>
        <w:trPr/>
        <w:tc>
          <w:tcPr>
            <w:tcW w:w="1945" w:type="dxa"/>
            <w:tcBorders/>
            <w:vAlign w:val="bottom"/>
          </w:tcPr>
          <w:p>
            <w:pPr>
              <w:pStyle w:val="TableContents"/>
              <w:bidi w:val="0"/>
              <w:spacing w:before="0" w:after="0"/>
              <w:ind w:left="180" w:right="0" w:hanging="180"/>
              <w:jc w:val="left"/>
              <w:rPr>
                <w:color w:val="000000"/>
              </w:rPr>
            </w:pPr>
            <w:r>
              <w:rPr>
                <w:color w:val="000000"/>
              </w:rPr>
              <w:t>Exercise of employee stock options (0.1 million shares)/vesting of stock awards</w:t>
            </w:r>
          </w:p>
        </w:tc>
        <w:tc>
          <w:tcPr>
            <w:tcW w:w="90" w:type="dxa"/>
            <w:tcBorders/>
            <w:vAlign w:val="bottom"/>
          </w:tcPr>
          <w:p>
            <w:pPr>
              <w:pStyle w:val="TableContents"/>
              <w:bidi w:val="0"/>
              <w:spacing w:before="0" w:after="283"/>
              <w:jc w:val="left"/>
              <w:rPr/>
            </w:pPr>
            <w:r>
              <w:rPr/>
              <w:t> </w:t>
            </w:r>
          </w:p>
        </w:tc>
        <w:tc>
          <w:tcPr>
            <w:tcW w:w="367" w:type="dxa"/>
            <w:tcBorders/>
            <w:vAlign w:val="bottom"/>
          </w:tcPr>
          <w:p>
            <w:pPr>
              <w:pStyle w:val="TableContents"/>
              <w:bidi w:val="0"/>
              <w:spacing w:before="0" w:after="283"/>
              <w:jc w:val="left"/>
              <w:rPr/>
            </w:pPr>
            <w:r>
              <w:rPr/>
              <w:t> </w:t>
            </w:r>
          </w:p>
        </w:tc>
        <w:tc>
          <w:tcPr>
            <w:tcW w:w="628"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0"/>
              <w:jc w:val="right"/>
              <w:rPr>
                <w:color w:val="000000"/>
              </w:rPr>
            </w:pPr>
            <w:r>
              <w:rPr>
                <w:color w:val="000000"/>
              </w:rPr>
              <w:t>(1,780</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0"/>
              <w:jc w:val="right"/>
              <w:rPr>
                <w:color w:val="000000"/>
              </w:rPr>
            </w:pPr>
            <w:r>
              <w:rPr>
                <w:color w:val="000000"/>
              </w:rPr>
              <w:t>1,800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20</w:t>
            </w:r>
          </w:p>
        </w:tc>
        <w:tc>
          <w:tcPr>
            <w:tcW w:w="170" w:type="dxa"/>
            <w:tcBorders/>
            <w:vAlign w:val="bottom"/>
          </w:tcPr>
          <w:p>
            <w:pPr>
              <w:pStyle w:val="TableContents"/>
              <w:bidi w:val="0"/>
              <w:spacing w:before="0" w:after="283"/>
              <w:jc w:val="left"/>
              <w:rPr/>
            </w:pPr>
            <w:r>
              <w:rPr/>
              <w:t> </w:t>
            </w:r>
          </w:p>
        </w:tc>
      </w:tr>
      <w:tr>
        <w:trPr/>
        <w:tc>
          <w:tcPr>
            <w:tcW w:w="1945" w:type="dxa"/>
            <w:tcBorders/>
            <w:shd w:fill="CCEEFF" w:val="clear"/>
            <w:vAlign w:val="bottom"/>
          </w:tcPr>
          <w:p>
            <w:pPr>
              <w:pStyle w:val="TableContents"/>
              <w:bidi w:val="0"/>
              <w:spacing w:before="0" w:after="0"/>
              <w:ind w:left="180" w:right="0" w:hanging="180"/>
              <w:jc w:val="left"/>
              <w:rPr>
                <w:color w:val="000000"/>
              </w:rPr>
            </w:pPr>
            <w:r>
              <w:rPr>
                <w:color w:val="000000"/>
              </w:rPr>
              <w:t>Stock-based compensation</w:t>
            </w:r>
          </w:p>
        </w:tc>
        <w:tc>
          <w:tcPr>
            <w:tcW w:w="90" w:type="dxa"/>
            <w:tcBorders/>
            <w:shd w:fill="CCEEFF" w:val="clear"/>
            <w:vAlign w:val="bottom"/>
          </w:tcPr>
          <w:p>
            <w:pPr>
              <w:pStyle w:val="TableContents"/>
              <w:bidi w:val="0"/>
              <w:spacing w:before="0" w:after="283"/>
              <w:jc w:val="left"/>
              <w:rPr/>
            </w:pPr>
            <w:r>
              <w:rPr/>
              <w:t> </w:t>
            </w:r>
          </w:p>
        </w:tc>
        <w:tc>
          <w:tcPr>
            <w:tcW w:w="367" w:type="dxa"/>
            <w:tcBorders/>
            <w:shd w:fill="CCEEFF" w:val="clear"/>
            <w:vAlign w:val="bottom"/>
          </w:tcPr>
          <w:p>
            <w:pPr>
              <w:pStyle w:val="TableContents"/>
              <w:bidi w:val="0"/>
              <w:spacing w:before="0" w:after="283"/>
              <w:jc w:val="left"/>
              <w:rPr/>
            </w:pPr>
            <w:r>
              <w:rPr/>
              <w:t> </w:t>
            </w:r>
          </w:p>
        </w:tc>
        <w:tc>
          <w:tcPr>
            <w:tcW w:w="628"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0"/>
              <w:jc w:val="right"/>
              <w:rPr>
                <w:color w:val="000000"/>
              </w:rPr>
            </w:pPr>
            <w:r>
              <w:rPr>
                <w:color w:val="000000"/>
              </w:rPr>
              <w:t>5,818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1492"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5,818</w:t>
            </w:r>
          </w:p>
        </w:tc>
        <w:tc>
          <w:tcPr>
            <w:tcW w:w="170" w:type="dxa"/>
            <w:tcBorders/>
            <w:shd w:fill="CCEEFF" w:val="clear"/>
            <w:vAlign w:val="bottom"/>
          </w:tcPr>
          <w:p>
            <w:pPr>
              <w:pStyle w:val="TableContents"/>
              <w:bidi w:val="0"/>
              <w:spacing w:before="0" w:after="283"/>
              <w:jc w:val="left"/>
              <w:rPr/>
            </w:pPr>
            <w:r>
              <w:rPr/>
              <w:t> </w:t>
            </w:r>
          </w:p>
        </w:tc>
      </w:tr>
      <w:tr>
        <w:trPr/>
        <w:tc>
          <w:tcPr>
            <w:tcW w:w="1945" w:type="dxa"/>
            <w:tcBorders/>
            <w:vAlign w:val="bottom"/>
          </w:tcPr>
          <w:p>
            <w:pPr>
              <w:pStyle w:val="TableContents"/>
              <w:bidi w:val="0"/>
              <w:spacing w:before="0" w:after="0"/>
              <w:ind w:left="180" w:right="0" w:hanging="180"/>
              <w:jc w:val="left"/>
              <w:rPr>
                <w:color w:val="000000"/>
              </w:rPr>
            </w:pPr>
            <w:r>
              <w:rPr>
                <w:color w:val="000000"/>
              </w:rPr>
              <w:t>Cash dividends</w:t>
            </w:r>
          </w:p>
        </w:tc>
        <w:tc>
          <w:tcPr>
            <w:tcW w:w="90" w:type="dxa"/>
            <w:tcBorders/>
            <w:vAlign w:val="bottom"/>
          </w:tcPr>
          <w:p>
            <w:pPr>
              <w:pStyle w:val="TableContents"/>
              <w:bidi w:val="0"/>
              <w:spacing w:before="0" w:after="283"/>
              <w:jc w:val="left"/>
              <w:rPr/>
            </w:pPr>
            <w:r>
              <w:rPr/>
              <w:t> </w:t>
            </w:r>
          </w:p>
        </w:tc>
        <w:tc>
          <w:tcPr>
            <w:tcW w:w="367" w:type="dxa"/>
            <w:tcBorders>
              <w:bottom w:val="single" w:sz="12" w:space="0" w:color="000000"/>
            </w:tcBorders>
            <w:tcMar>
              <w:bottom w:w="28" w:type="dxa"/>
            </w:tcMar>
            <w:vAlign w:val="bottom"/>
          </w:tcPr>
          <w:p>
            <w:pPr>
              <w:pStyle w:val="TableContents"/>
              <w:bidi w:val="0"/>
              <w:spacing w:before="0" w:after="283"/>
              <w:jc w:val="left"/>
              <w:rPr/>
            </w:pPr>
            <w:r>
              <w:rPr/>
              <w:t> </w:t>
            </w:r>
          </w:p>
        </w:tc>
        <w:tc>
          <w:tcPr>
            <w:tcW w:w="62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8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8" w:type="dxa"/>
            <w:tcBorders>
              <w:bottom w:val="single" w:sz="12" w:space="0" w:color="000000"/>
            </w:tcBorders>
            <w:tcMar>
              <w:bottom w:w="28" w:type="dxa"/>
            </w:tcMar>
            <w:vAlign w:val="bottom"/>
          </w:tcPr>
          <w:p>
            <w:pPr>
              <w:pStyle w:val="TableContents"/>
              <w:bidi w:val="0"/>
              <w:spacing w:before="0" w:after="283"/>
              <w:jc w:val="left"/>
              <w:rPr/>
            </w:pPr>
            <w:r>
              <w:rPr/>
              <w:t> </w:t>
            </w:r>
          </w:p>
        </w:tc>
        <w:tc>
          <w:tcPr>
            <w:tcW w:w="149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(2,964</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(2,964</w:t>
            </w:r>
          </w:p>
        </w:tc>
        <w:tc>
          <w:tcPr>
            <w:tcW w:w="170" w:type="dxa"/>
            <w:tcBorders/>
            <w:vAlign w:val="bottom"/>
          </w:tcPr>
          <w:p>
            <w:pPr>
              <w:pStyle w:val="TableContents"/>
              <w:bidi w:val="0"/>
              <w:spacing w:before="0" w:after="0"/>
              <w:jc w:val="left"/>
              <w:rPr>
                <w:color w:val="000000"/>
              </w:rPr>
            </w:pPr>
            <w:r>
              <w:rPr>
                <w:color w:val="000000"/>
              </w:rPr>
              <w:t>)</w:t>
            </w:r>
          </w:p>
        </w:tc>
      </w:tr>
      <w:tr>
        <w:trPr/>
        <w:tc>
          <w:tcPr>
            <w:tcW w:w="1945" w:type="dxa"/>
            <w:tcBorders/>
            <w:shd w:fill="CCEEFF" w:val="clear"/>
            <w:vAlign w:val="bottom"/>
          </w:tcPr>
          <w:p>
            <w:pPr>
              <w:pStyle w:val="TableContents"/>
              <w:bidi w:val="0"/>
              <w:spacing w:before="0" w:after="0"/>
              <w:ind w:left="180" w:right="0" w:hanging="180"/>
              <w:jc w:val="left"/>
              <w:rPr>
                <w:color w:val="000000"/>
              </w:rPr>
            </w:pPr>
            <w:r>
              <w:rPr>
                <w:color w:val="000000"/>
              </w:rPr>
              <w:t>Balance at June 30, 2025</w:t>
            </w:r>
          </w:p>
        </w:tc>
        <w:tc>
          <w:tcPr>
            <w:tcW w:w="90" w:type="dxa"/>
            <w:tcBorders/>
            <w:shd w:fill="CCEEFF" w:val="clear"/>
            <w:vAlign w:val="bottom"/>
          </w:tcPr>
          <w:p>
            <w:pPr>
              <w:pStyle w:val="TableContents"/>
              <w:bidi w:val="0"/>
              <w:spacing w:before="0" w:after="283"/>
              <w:jc w:val="left"/>
              <w:rPr/>
            </w:pPr>
            <w:r>
              <w:rPr/>
              <w:t> </w:t>
            </w:r>
          </w:p>
        </w:tc>
        <w:tc>
          <w:tcPr>
            <w:tcW w:w="367"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2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91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02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627,515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08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(1,560,411</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148"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492"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(114,058</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1,834,617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787,754</w:t>
            </w:r>
          </w:p>
        </w:tc>
        <w:tc>
          <w:tcPr>
            <w:tcW w:w="17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The accompanying notes are an integral part of these consolidated financial statements.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NU SKIN ENTERPRISES, INC.</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Consolidated Statements of Stockholders’ Equity (Unaudited)</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(U.S. dollars in thousands)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870"/>
        <w:gridCol w:w="90"/>
        <w:gridCol w:w="367"/>
        <w:gridCol w:w="628"/>
        <w:gridCol w:w="90"/>
        <w:gridCol w:w="90"/>
        <w:gridCol w:w="110"/>
        <w:gridCol w:w="1020"/>
        <w:gridCol w:w="125"/>
        <w:gridCol w:w="90"/>
        <w:gridCol w:w="90"/>
        <w:gridCol w:w="1085"/>
        <w:gridCol w:w="125"/>
        <w:gridCol w:w="90"/>
        <w:gridCol w:w="148"/>
        <w:gridCol w:w="1492"/>
        <w:gridCol w:w="125"/>
        <w:gridCol w:w="90"/>
        <w:gridCol w:w="90"/>
        <w:gridCol w:w="1010"/>
        <w:gridCol w:w="125"/>
        <w:gridCol w:w="90"/>
        <w:gridCol w:w="90"/>
        <w:gridCol w:w="905"/>
        <w:gridCol w:w="170"/>
      </w:tblGrid>
      <w:tr>
        <w:trPr/>
        <w:tc>
          <w:tcPr>
            <w:tcW w:w="187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075" w:type="dxa"/>
            <w:gridSpan w:val="2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For the Six Months Ended June 30, 2026</w:t>
            </w:r>
          </w:p>
        </w:tc>
        <w:tc>
          <w:tcPr>
            <w:tcW w:w="170" w:type="dxa"/>
            <w:tcBorders/>
            <w:vAlign w:val="bottom"/>
          </w:tcPr>
          <w:p>
            <w:pPr>
              <w:pStyle w:val="TableContents"/>
              <w:bidi w:val="0"/>
              <w:spacing w:before="0" w:after="283"/>
              <w:jc w:val="left"/>
              <w:rPr/>
            </w:pPr>
            <w:r>
              <w:rPr/>
              <w:t> </w:t>
            </w:r>
          </w:p>
        </w:tc>
      </w:tr>
      <w:tr>
        <w:trPr/>
        <w:tc>
          <w:tcPr>
            <w:tcW w:w="1870"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center"/>
              <w:rPr/>
            </w:pPr>
            <w:r>
              <w:rPr/>
              <w:t> </w:t>
            </w:r>
          </w:p>
        </w:tc>
        <w:tc>
          <w:tcPr>
            <w:tcW w:w="99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Class A</w:t>
            </w:r>
          </w:p>
          <w:p>
            <w:pPr>
              <w:pStyle w:val="TableContents"/>
              <w:bidi w:val="0"/>
              <w:spacing w:before="0" w:after="0"/>
              <w:jc w:val="center"/>
              <w:rPr>
                <w:b/>
                <w:color w:val="000000"/>
              </w:rPr>
            </w:pPr>
            <w:r>
              <w:rPr>
                <w:b/>
                <w:color w:val="000000"/>
              </w:rPr>
              <w:t>Common</w:t>
            </w:r>
          </w:p>
          <w:p>
            <w:pPr>
              <w:pStyle w:val="TableContents"/>
              <w:bidi w:val="0"/>
              <w:spacing w:before="0" w:after="0"/>
              <w:jc w:val="center"/>
              <w:rPr>
                <w:b/>
                <w:color w:val="000000"/>
              </w:rPr>
            </w:pPr>
            <w:r>
              <w:rPr>
                <w:b/>
                <w:color w:val="000000"/>
              </w:rPr>
              <w:t>Stock</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center"/>
              <w:rPr/>
            </w:pPr>
            <w:r>
              <w:rPr/>
              <w:t> </w:t>
            </w:r>
          </w:p>
        </w:tc>
        <w:tc>
          <w:tcPr>
            <w:tcW w:w="113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Additional</w:t>
            </w:r>
          </w:p>
          <w:p>
            <w:pPr>
              <w:pStyle w:val="TableContents"/>
              <w:bidi w:val="0"/>
              <w:spacing w:before="0" w:after="0"/>
              <w:jc w:val="center"/>
              <w:rPr>
                <w:b/>
                <w:color w:val="000000"/>
              </w:rPr>
            </w:pPr>
            <w:r>
              <w:rPr>
                <w:b/>
                <w:color w:val="000000"/>
              </w:rPr>
              <w:t>Paid-in</w:t>
            </w:r>
          </w:p>
          <w:p>
            <w:pPr>
              <w:pStyle w:val="TableContents"/>
              <w:bidi w:val="0"/>
              <w:spacing w:before="0" w:after="0"/>
              <w:jc w:val="center"/>
              <w:rPr>
                <w:b/>
                <w:color w:val="000000"/>
              </w:rPr>
            </w:pPr>
            <w:r>
              <w:rPr>
                <w:b/>
                <w:color w:val="000000"/>
              </w:rPr>
              <w:t>Capital</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center"/>
              <w:rPr/>
            </w:pPr>
            <w:r>
              <w:rPr/>
              <w:t> </w:t>
            </w:r>
          </w:p>
        </w:tc>
        <w:tc>
          <w:tcPr>
            <w:tcW w:w="117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Treasury</w:t>
            </w:r>
          </w:p>
          <w:p>
            <w:pPr>
              <w:pStyle w:val="TableContents"/>
              <w:bidi w:val="0"/>
              <w:spacing w:before="0" w:after="0"/>
              <w:jc w:val="center"/>
              <w:rPr>
                <w:b/>
                <w:color w:val="000000"/>
              </w:rPr>
            </w:pPr>
            <w:r>
              <w:rPr>
                <w:b/>
                <w:color w:val="000000"/>
              </w:rPr>
              <w:t>Stock</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center"/>
              <w:rPr/>
            </w:pPr>
            <w:r>
              <w:rPr/>
              <w:t> </w:t>
            </w:r>
          </w:p>
        </w:tc>
        <w:tc>
          <w:tcPr>
            <w:tcW w:w="16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Accumulated</w:t>
            </w:r>
          </w:p>
          <w:p>
            <w:pPr>
              <w:pStyle w:val="TableContents"/>
              <w:bidi w:val="0"/>
              <w:spacing w:before="0" w:after="0"/>
              <w:jc w:val="center"/>
              <w:rPr>
                <w:b/>
                <w:color w:val="000000"/>
              </w:rPr>
            </w:pPr>
            <w:r>
              <w:rPr>
                <w:b/>
                <w:color w:val="000000"/>
              </w:rPr>
              <w:t>Other</w:t>
            </w:r>
          </w:p>
          <w:p>
            <w:pPr>
              <w:pStyle w:val="TableContents"/>
              <w:bidi w:val="0"/>
              <w:spacing w:before="0" w:after="0"/>
              <w:jc w:val="center"/>
              <w:rPr>
                <w:b/>
                <w:color w:val="000000"/>
              </w:rPr>
            </w:pPr>
            <w:r>
              <w:rPr>
                <w:b/>
                <w:color w:val="000000"/>
              </w:rPr>
              <w:t>Comprehensive</w:t>
            </w:r>
          </w:p>
          <w:p>
            <w:pPr>
              <w:pStyle w:val="TableContents"/>
              <w:bidi w:val="0"/>
              <w:spacing w:before="0" w:after="0"/>
              <w:jc w:val="center"/>
              <w:rPr>
                <w:b/>
                <w:color w:val="000000"/>
              </w:rPr>
            </w:pPr>
            <w:r>
              <w:rPr>
                <w:b/>
                <w:color w:val="000000"/>
              </w:rPr>
              <w:t>Loss</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center"/>
              <w:rPr/>
            </w:pPr>
            <w:r>
              <w:rPr/>
              <w:t> </w:t>
            </w:r>
          </w:p>
        </w:tc>
        <w:tc>
          <w:tcPr>
            <w:tcW w:w="11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Retained</w:t>
            </w:r>
          </w:p>
          <w:p>
            <w:pPr>
              <w:pStyle w:val="TableContents"/>
              <w:bidi w:val="0"/>
              <w:spacing w:before="0" w:after="0"/>
              <w:jc w:val="center"/>
              <w:rPr>
                <w:b/>
                <w:color w:val="000000"/>
              </w:rPr>
            </w:pPr>
            <w:r>
              <w:rPr>
                <w:b/>
                <w:color w:val="000000"/>
              </w:rPr>
              <w:t>Earnings</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center"/>
              <w:rPr/>
            </w:pPr>
            <w:r>
              <w:rPr/>
              <w:t> </w:t>
            </w:r>
          </w:p>
        </w:tc>
        <w:tc>
          <w:tcPr>
            <w:tcW w:w="995" w:type="dxa"/>
            <w:gridSpan w:val="2"/>
            <w:tcBorders>
              <w:bottom w:val="single" w:sz="12" w:space="0" w:color="000000"/>
            </w:tcBorders>
            <w:tcMar>
              <w:bottom w:w="28" w:type="dxa"/>
            </w:tcMar>
            <w:vAlign w:val="bottom"/>
          </w:tcPr>
          <w:p>
            <w:pPr>
              <w:pStyle w:val="TableContents"/>
              <w:bidi w:val="0"/>
              <w:spacing w:before="0" w:after="0"/>
              <w:jc w:val="center"/>
              <w:rPr/>
            </w:pPr>
            <w:r>
              <w:rPr/>
            </w:r>
          </w:p>
          <w:p>
            <w:pPr>
              <w:pStyle w:val="TableContents"/>
              <w:bidi w:val="0"/>
              <w:spacing w:before="0" w:after="0"/>
              <w:jc w:val="center"/>
              <w:rPr>
                <w:b/>
                <w:color w:val="000000"/>
              </w:rPr>
            </w:pPr>
            <w:r>
              <w:rPr>
                <w:b/>
                <w:color w:val="000000"/>
              </w:rPr>
              <w:t>Total</w:t>
            </w:r>
          </w:p>
        </w:tc>
        <w:tc>
          <w:tcPr>
            <w:tcW w:w="170" w:type="dxa"/>
            <w:tcBorders/>
            <w:vAlign w:val="bottom"/>
          </w:tcPr>
          <w:p>
            <w:pPr>
              <w:pStyle w:val="TableContents"/>
              <w:bidi w:val="0"/>
              <w:spacing w:before="0" w:after="283"/>
              <w:jc w:val="left"/>
              <w:rPr/>
            </w:pPr>
            <w:r>
              <w:rPr/>
              <w:t> </w:t>
            </w:r>
          </w:p>
        </w:tc>
      </w:tr>
      <w:tr>
        <w:trPr/>
        <w:tc>
          <w:tcPr>
            <w:tcW w:w="1870" w:type="dxa"/>
            <w:tcBorders/>
            <w:shd w:fill="CCEEFF" w:val="clear"/>
            <w:vAlign w:val="bottom"/>
          </w:tcPr>
          <w:p>
            <w:pPr>
              <w:pStyle w:val="TableContents"/>
              <w:bidi w:val="0"/>
              <w:spacing w:before="0" w:after="0"/>
              <w:ind w:left="180" w:right="0" w:hanging="180"/>
              <w:jc w:val="left"/>
              <w:rPr>
                <w:color w:val="000000"/>
              </w:rPr>
            </w:pPr>
            <w:r>
              <w:rPr>
                <w:color w:val="000000"/>
              </w:rPr>
              <w:t>Balance at January 1, 2026</w:t>
            </w:r>
          </w:p>
        </w:tc>
        <w:tc>
          <w:tcPr>
            <w:tcW w:w="90" w:type="dxa"/>
            <w:tcBorders/>
            <w:shd w:fill="CCEEFF" w:val="clear"/>
            <w:vAlign w:val="bottom"/>
          </w:tcPr>
          <w:p>
            <w:pPr>
              <w:pStyle w:val="TableContents"/>
              <w:bidi w:val="0"/>
              <w:spacing w:before="0" w:after="283"/>
              <w:jc w:val="right"/>
              <w:rPr/>
            </w:pPr>
            <w:r>
              <w:rPr/>
              <w:t> </w:t>
            </w:r>
          </w:p>
        </w:tc>
        <w:tc>
          <w:tcPr>
            <w:tcW w:w="367" w:type="dxa"/>
            <w:tcBorders/>
            <w:shd w:fill="CCEEFF" w:val="clear"/>
            <w:vAlign w:val="bottom"/>
          </w:tcPr>
          <w:p>
            <w:pPr>
              <w:pStyle w:val="TableContents"/>
              <w:bidi w:val="0"/>
              <w:spacing w:before="0" w:after="0"/>
              <w:jc w:val="left"/>
              <w:rPr>
                <w:color w:val="000000"/>
              </w:rPr>
            </w:pPr>
            <w:r>
              <w:rPr>
                <w:color w:val="000000"/>
              </w:rPr>
              <w:t>$</w:t>
            </w:r>
          </w:p>
        </w:tc>
        <w:tc>
          <w:tcPr>
            <w:tcW w:w="628" w:type="dxa"/>
            <w:tcBorders/>
            <w:shd w:fill="CCEEFF" w:val="clear"/>
            <w:vAlign w:val="bottom"/>
          </w:tcPr>
          <w:p>
            <w:pPr>
              <w:pStyle w:val="TableContents"/>
              <w:bidi w:val="0"/>
              <w:spacing w:before="0" w:after="0"/>
              <w:jc w:val="right"/>
              <w:rPr>
                <w:color w:val="000000"/>
              </w:rPr>
            </w:pPr>
            <w:r>
              <w:rPr>
                <w:color w:val="000000"/>
              </w:rPr>
              <w:t>91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0"/>
              <w:jc w:val="right"/>
              <w:rPr>
                <w:color w:val="000000"/>
              </w:rPr>
            </w:pPr>
            <w:r>
              <w:rPr>
                <w:color w:val="000000"/>
              </w:rPr>
              <w:t>635,994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0"/>
              <w:jc w:val="right"/>
              <w:rPr>
                <w:color w:val="000000"/>
              </w:rPr>
            </w:pPr>
            <w:r>
              <w:rPr>
                <w:color w:val="000000"/>
              </w:rPr>
              <w:t>(1,575,059</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148" w:type="dxa"/>
            <w:tcBorders/>
            <w:shd w:fill="CCEEFF" w:val="clear"/>
            <w:vAlign w:val="bottom"/>
          </w:tcPr>
          <w:p>
            <w:pPr>
              <w:pStyle w:val="TableContents"/>
              <w:bidi w:val="0"/>
              <w:spacing w:before="0" w:after="283"/>
              <w:jc w:val="left"/>
              <w:rPr/>
            </w:pPr>
            <w:r>
              <w:rPr/>
              <w:t> </w:t>
            </w:r>
          </w:p>
        </w:tc>
        <w:tc>
          <w:tcPr>
            <w:tcW w:w="1492" w:type="dxa"/>
            <w:tcBorders/>
            <w:shd w:fill="CCEEFF" w:val="clear"/>
            <w:vAlign w:val="bottom"/>
          </w:tcPr>
          <w:p>
            <w:pPr>
              <w:pStyle w:val="TableContents"/>
              <w:bidi w:val="0"/>
              <w:spacing w:before="0" w:after="0"/>
              <w:jc w:val="right"/>
              <w:rPr>
                <w:color w:val="000000"/>
              </w:rPr>
            </w:pPr>
            <w:r>
              <w:rPr>
                <w:color w:val="000000"/>
              </w:rPr>
              <w:t>(116,105</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1,860,319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805,240</w:t>
            </w:r>
          </w:p>
        </w:tc>
        <w:tc>
          <w:tcPr>
            <w:tcW w:w="170" w:type="dxa"/>
            <w:tcBorders/>
            <w:shd w:fill="CCEEFF" w:val="clear"/>
            <w:vAlign w:val="bottom"/>
          </w:tcPr>
          <w:p>
            <w:pPr>
              <w:pStyle w:val="TableContents"/>
              <w:bidi w:val="0"/>
              <w:spacing w:before="0" w:after="283"/>
              <w:jc w:val="left"/>
              <w:rPr/>
            </w:pPr>
            <w:r>
              <w:rPr/>
              <w:t> </w:t>
            </w:r>
          </w:p>
        </w:tc>
      </w:tr>
      <w:tr>
        <w:trPr/>
        <w:tc>
          <w:tcPr>
            <w:tcW w:w="1870"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right"/>
              <w:rPr/>
            </w:pPr>
            <w:r>
              <w:rPr/>
              <w:t> </w:t>
            </w:r>
          </w:p>
        </w:tc>
        <w:tc>
          <w:tcPr>
            <w:tcW w:w="367" w:type="dxa"/>
            <w:tcBorders/>
            <w:vAlign w:val="bottom"/>
          </w:tcPr>
          <w:p>
            <w:pPr>
              <w:pStyle w:val="TableContents"/>
              <w:bidi w:val="0"/>
              <w:spacing w:before="0" w:after="283"/>
              <w:jc w:val="left"/>
              <w:rPr/>
            </w:pPr>
            <w:r>
              <w:rPr/>
              <w:t> </w:t>
            </w:r>
          </w:p>
        </w:tc>
        <w:tc>
          <w:tcPr>
            <w:tcW w:w="628"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48"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r>
      <w:tr>
        <w:trPr/>
        <w:tc>
          <w:tcPr>
            <w:tcW w:w="1870" w:type="dxa"/>
            <w:tcBorders/>
            <w:shd w:fill="CCEEFF" w:val="clear"/>
            <w:vAlign w:val="bottom"/>
          </w:tcPr>
          <w:p>
            <w:pPr>
              <w:pStyle w:val="TableContents"/>
              <w:bidi w:val="0"/>
              <w:spacing w:before="0" w:after="0"/>
              <w:ind w:left="180" w:right="0" w:hanging="180"/>
              <w:jc w:val="left"/>
              <w:rPr>
                <w:color w:val="000000"/>
              </w:rPr>
            </w:pPr>
            <w:r>
              <w:rPr>
                <w:color w:val="000000"/>
              </w:rPr>
              <w:t>Net loss</w:t>
            </w:r>
          </w:p>
        </w:tc>
        <w:tc>
          <w:tcPr>
            <w:tcW w:w="90" w:type="dxa"/>
            <w:tcBorders/>
            <w:shd w:fill="CCEEFF" w:val="clear"/>
            <w:vAlign w:val="bottom"/>
          </w:tcPr>
          <w:p>
            <w:pPr>
              <w:pStyle w:val="TableContents"/>
              <w:bidi w:val="0"/>
              <w:spacing w:before="0" w:after="283"/>
              <w:jc w:val="right"/>
              <w:rPr/>
            </w:pPr>
            <w:r>
              <w:rPr/>
              <w:t> </w:t>
            </w:r>
          </w:p>
        </w:tc>
        <w:tc>
          <w:tcPr>
            <w:tcW w:w="367" w:type="dxa"/>
            <w:tcBorders/>
            <w:shd w:fill="CCEEFF" w:val="clear"/>
            <w:vAlign w:val="bottom"/>
          </w:tcPr>
          <w:p>
            <w:pPr>
              <w:pStyle w:val="TableContents"/>
              <w:bidi w:val="0"/>
              <w:spacing w:before="0" w:after="283"/>
              <w:jc w:val="left"/>
              <w:rPr/>
            </w:pPr>
            <w:r>
              <w:rPr/>
              <w:t> </w:t>
            </w:r>
          </w:p>
        </w:tc>
        <w:tc>
          <w:tcPr>
            <w:tcW w:w="628"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48" w:type="dxa"/>
            <w:tcBorders/>
            <w:shd w:fill="CCEEFF" w:val="clear"/>
            <w:vAlign w:val="bottom"/>
          </w:tcPr>
          <w:p>
            <w:pPr>
              <w:pStyle w:val="TableContents"/>
              <w:bidi w:val="0"/>
              <w:spacing w:before="0" w:after="283"/>
              <w:jc w:val="left"/>
              <w:rPr/>
            </w:pPr>
            <w:r>
              <w:rPr/>
              <w:t> </w:t>
            </w:r>
          </w:p>
        </w:tc>
        <w:tc>
          <w:tcPr>
            <w:tcW w:w="1492"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(247,962</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(247,962</w:t>
            </w:r>
          </w:p>
        </w:tc>
        <w:tc>
          <w:tcPr>
            <w:tcW w:w="170" w:type="dxa"/>
            <w:tcBorders/>
            <w:shd w:fill="CCEEFF" w:val="clear"/>
            <w:vAlign w:val="bottom"/>
          </w:tcPr>
          <w:p>
            <w:pPr>
              <w:pStyle w:val="TableContents"/>
              <w:bidi w:val="0"/>
              <w:spacing w:before="0" w:after="0"/>
              <w:jc w:val="left"/>
              <w:rPr>
                <w:color w:val="000000"/>
              </w:rPr>
            </w:pPr>
            <w:r>
              <w:rPr>
                <w:color w:val="000000"/>
              </w:rPr>
              <w:t>)</w:t>
            </w:r>
          </w:p>
        </w:tc>
      </w:tr>
      <w:tr>
        <w:trPr/>
        <w:tc>
          <w:tcPr>
            <w:tcW w:w="1870" w:type="dxa"/>
            <w:tcBorders/>
            <w:vAlign w:val="bottom"/>
          </w:tcPr>
          <w:p>
            <w:pPr>
              <w:pStyle w:val="TableContents"/>
              <w:bidi w:val="0"/>
              <w:spacing w:before="0" w:after="0"/>
              <w:ind w:left="180" w:right="0" w:hanging="180"/>
              <w:jc w:val="left"/>
              <w:rPr>
                <w:color w:val="000000"/>
              </w:rPr>
            </w:pPr>
            <w:r>
              <w:rPr>
                <w:color w:val="000000"/>
              </w:rPr>
              <w:t>Other comprehensive loss, net of tax</w:t>
            </w:r>
          </w:p>
        </w:tc>
        <w:tc>
          <w:tcPr>
            <w:tcW w:w="90" w:type="dxa"/>
            <w:tcBorders/>
            <w:vAlign w:val="bottom"/>
          </w:tcPr>
          <w:p>
            <w:pPr>
              <w:pStyle w:val="TableContents"/>
              <w:bidi w:val="0"/>
              <w:spacing w:before="0" w:after="283"/>
              <w:jc w:val="right"/>
              <w:rPr/>
            </w:pPr>
            <w:r>
              <w:rPr/>
              <w:t> </w:t>
            </w:r>
          </w:p>
        </w:tc>
        <w:tc>
          <w:tcPr>
            <w:tcW w:w="367" w:type="dxa"/>
            <w:tcBorders/>
            <w:vAlign w:val="bottom"/>
          </w:tcPr>
          <w:p>
            <w:pPr>
              <w:pStyle w:val="TableContents"/>
              <w:bidi w:val="0"/>
              <w:spacing w:before="0" w:after="283"/>
              <w:jc w:val="left"/>
              <w:rPr/>
            </w:pPr>
            <w:r>
              <w:rPr/>
              <w:t> </w:t>
            </w:r>
          </w:p>
        </w:tc>
        <w:tc>
          <w:tcPr>
            <w:tcW w:w="628"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48"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0"/>
              <w:jc w:val="right"/>
              <w:rPr>
                <w:color w:val="000000"/>
              </w:rPr>
            </w:pPr>
            <w:r>
              <w:rPr>
                <w:color w:val="000000"/>
              </w:rPr>
              <w:t>(2,047</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(2,047</w:t>
            </w:r>
          </w:p>
        </w:tc>
        <w:tc>
          <w:tcPr>
            <w:tcW w:w="170" w:type="dxa"/>
            <w:tcBorders/>
            <w:vAlign w:val="bottom"/>
          </w:tcPr>
          <w:p>
            <w:pPr>
              <w:pStyle w:val="TableContents"/>
              <w:bidi w:val="0"/>
              <w:spacing w:before="0" w:after="0"/>
              <w:jc w:val="left"/>
              <w:rPr>
                <w:color w:val="000000"/>
              </w:rPr>
            </w:pPr>
            <w:r>
              <w:rPr>
                <w:color w:val="000000"/>
              </w:rPr>
              <w:t>)</w:t>
            </w:r>
          </w:p>
        </w:tc>
      </w:tr>
      <w:tr>
        <w:trPr/>
        <w:tc>
          <w:tcPr>
            <w:tcW w:w="1870" w:type="dxa"/>
            <w:tcBorders/>
            <w:shd w:fill="CCEEFF" w:val="clear"/>
            <w:vAlign w:val="bottom"/>
          </w:tcPr>
          <w:p>
            <w:pPr>
              <w:pStyle w:val="TableContents"/>
              <w:bidi w:val="0"/>
              <w:spacing w:before="0" w:after="0"/>
              <w:ind w:left="180" w:right="0" w:hanging="180"/>
              <w:jc w:val="left"/>
              <w:rPr>
                <w:color w:val="000000"/>
              </w:rPr>
            </w:pPr>
            <w:r>
              <w:rPr>
                <w:color w:val="000000"/>
              </w:rPr>
              <w:t>Repurchase of Class A common stock (Note 7)</w:t>
            </w:r>
          </w:p>
        </w:tc>
        <w:tc>
          <w:tcPr>
            <w:tcW w:w="90" w:type="dxa"/>
            <w:tcBorders/>
            <w:shd w:fill="CCEEFF" w:val="clear"/>
            <w:vAlign w:val="bottom"/>
          </w:tcPr>
          <w:p>
            <w:pPr>
              <w:pStyle w:val="TableContents"/>
              <w:bidi w:val="0"/>
              <w:spacing w:before="0" w:after="283"/>
              <w:jc w:val="right"/>
              <w:rPr/>
            </w:pPr>
            <w:r>
              <w:rPr/>
              <w:t> </w:t>
            </w:r>
          </w:p>
        </w:tc>
        <w:tc>
          <w:tcPr>
            <w:tcW w:w="367" w:type="dxa"/>
            <w:tcBorders/>
            <w:shd w:fill="CCEEFF" w:val="clear"/>
            <w:vAlign w:val="bottom"/>
          </w:tcPr>
          <w:p>
            <w:pPr>
              <w:pStyle w:val="TableContents"/>
              <w:bidi w:val="0"/>
              <w:spacing w:before="0" w:after="283"/>
              <w:jc w:val="left"/>
              <w:rPr/>
            </w:pPr>
            <w:r>
              <w:rPr/>
              <w:t> </w:t>
            </w:r>
          </w:p>
        </w:tc>
        <w:tc>
          <w:tcPr>
            <w:tcW w:w="628"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0"/>
              <w:jc w:val="right"/>
              <w:rPr>
                <w:color w:val="000000"/>
              </w:rPr>
            </w:pPr>
            <w:r>
              <w:rPr>
                <w:color w:val="000000"/>
              </w:rPr>
              <w:t>(5,011</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148" w:type="dxa"/>
            <w:tcBorders/>
            <w:shd w:fill="CCEEFF" w:val="clear"/>
            <w:vAlign w:val="bottom"/>
          </w:tcPr>
          <w:p>
            <w:pPr>
              <w:pStyle w:val="TableContents"/>
              <w:bidi w:val="0"/>
              <w:spacing w:before="0" w:after="283"/>
              <w:jc w:val="left"/>
              <w:rPr/>
            </w:pPr>
            <w:r>
              <w:rPr/>
              <w:t> </w:t>
            </w:r>
          </w:p>
        </w:tc>
        <w:tc>
          <w:tcPr>
            <w:tcW w:w="1492"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(5,011</w:t>
            </w:r>
          </w:p>
        </w:tc>
        <w:tc>
          <w:tcPr>
            <w:tcW w:w="170" w:type="dxa"/>
            <w:tcBorders/>
            <w:shd w:fill="CCEEFF" w:val="clear"/>
            <w:vAlign w:val="bottom"/>
          </w:tcPr>
          <w:p>
            <w:pPr>
              <w:pStyle w:val="TableContents"/>
              <w:bidi w:val="0"/>
              <w:spacing w:before="0" w:after="0"/>
              <w:jc w:val="left"/>
              <w:rPr>
                <w:color w:val="000000"/>
              </w:rPr>
            </w:pPr>
            <w:r>
              <w:rPr>
                <w:color w:val="000000"/>
              </w:rPr>
              <w:t>)</w:t>
            </w:r>
          </w:p>
        </w:tc>
      </w:tr>
      <w:tr>
        <w:trPr/>
        <w:tc>
          <w:tcPr>
            <w:tcW w:w="1870" w:type="dxa"/>
            <w:tcBorders/>
            <w:vAlign w:val="bottom"/>
          </w:tcPr>
          <w:p>
            <w:pPr>
              <w:pStyle w:val="TableContents"/>
              <w:bidi w:val="0"/>
              <w:spacing w:before="0" w:after="0"/>
              <w:ind w:left="180" w:right="0" w:hanging="180"/>
              <w:jc w:val="left"/>
              <w:rPr>
                <w:color w:val="000000"/>
              </w:rPr>
            </w:pPr>
            <w:r>
              <w:rPr>
                <w:color w:val="000000"/>
              </w:rPr>
              <w:t>Exercise of employee stock options (1.1 million shares)/vesting of stock awards</w:t>
            </w:r>
          </w:p>
        </w:tc>
        <w:tc>
          <w:tcPr>
            <w:tcW w:w="90" w:type="dxa"/>
            <w:tcBorders/>
            <w:vAlign w:val="bottom"/>
          </w:tcPr>
          <w:p>
            <w:pPr>
              <w:pStyle w:val="TableContents"/>
              <w:bidi w:val="0"/>
              <w:spacing w:before="0" w:after="283"/>
              <w:jc w:val="right"/>
              <w:rPr/>
            </w:pPr>
            <w:r>
              <w:rPr/>
              <w:t> </w:t>
            </w:r>
          </w:p>
        </w:tc>
        <w:tc>
          <w:tcPr>
            <w:tcW w:w="367" w:type="dxa"/>
            <w:tcBorders/>
            <w:vAlign w:val="bottom"/>
          </w:tcPr>
          <w:p>
            <w:pPr>
              <w:pStyle w:val="TableContents"/>
              <w:bidi w:val="0"/>
              <w:spacing w:before="0" w:after="283"/>
              <w:jc w:val="left"/>
              <w:rPr/>
            </w:pPr>
            <w:r>
              <w:rPr/>
              <w:t> </w:t>
            </w:r>
          </w:p>
        </w:tc>
        <w:tc>
          <w:tcPr>
            <w:tcW w:w="628"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0"/>
              <w:jc w:val="right"/>
              <w:rPr>
                <w:color w:val="000000"/>
              </w:rPr>
            </w:pPr>
            <w:r>
              <w:rPr>
                <w:color w:val="000000"/>
              </w:rPr>
              <w:t>(26,023</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0"/>
              <w:jc w:val="right"/>
              <w:rPr>
                <w:color w:val="000000"/>
              </w:rPr>
            </w:pPr>
            <w:r>
              <w:rPr>
                <w:color w:val="000000"/>
              </w:rPr>
              <w:t>21,887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48"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(4,136</w:t>
            </w:r>
          </w:p>
        </w:tc>
        <w:tc>
          <w:tcPr>
            <w:tcW w:w="170" w:type="dxa"/>
            <w:tcBorders/>
            <w:vAlign w:val="bottom"/>
          </w:tcPr>
          <w:p>
            <w:pPr>
              <w:pStyle w:val="TableContents"/>
              <w:bidi w:val="0"/>
              <w:spacing w:before="0" w:after="0"/>
              <w:jc w:val="left"/>
              <w:rPr>
                <w:color w:val="000000"/>
              </w:rPr>
            </w:pPr>
            <w:r>
              <w:rPr>
                <w:color w:val="000000"/>
              </w:rPr>
              <w:t>)</w:t>
            </w:r>
          </w:p>
        </w:tc>
      </w:tr>
      <w:tr>
        <w:trPr/>
        <w:tc>
          <w:tcPr>
            <w:tcW w:w="1870" w:type="dxa"/>
            <w:tcBorders/>
            <w:shd w:fill="CCEEFF" w:val="clear"/>
            <w:vAlign w:val="bottom"/>
          </w:tcPr>
          <w:p>
            <w:pPr>
              <w:pStyle w:val="TableContents"/>
              <w:bidi w:val="0"/>
              <w:spacing w:before="0" w:after="0"/>
              <w:ind w:left="180" w:right="0" w:hanging="180"/>
              <w:jc w:val="left"/>
              <w:rPr>
                <w:color w:val="000000"/>
              </w:rPr>
            </w:pPr>
            <w:r>
              <w:rPr>
                <w:color w:val="000000"/>
              </w:rPr>
              <w:t>Stock-based compensation</w:t>
            </w:r>
          </w:p>
        </w:tc>
        <w:tc>
          <w:tcPr>
            <w:tcW w:w="90" w:type="dxa"/>
            <w:tcBorders/>
            <w:shd w:fill="CCEEFF" w:val="clear"/>
            <w:vAlign w:val="bottom"/>
          </w:tcPr>
          <w:p>
            <w:pPr>
              <w:pStyle w:val="TableContents"/>
              <w:bidi w:val="0"/>
              <w:spacing w:before="0" w:after="283"/>
              <w:jc w:val="right"/>
              <w:rPr/>
            </w:pPr>
            <w:r>
              <w:rPr/>
              <w:t> </w:t>
            </w:r>
          </w:p>
        </w:tc>
        <w:tc>
          <w:tcPr>
            <w:tcW w:w="367" w:type="dxa"/>
            <w:tcBorders/>
            <w:shd w:fill="CCEEFF" w:val="clear"/>
            <w:vAlign w:val="bottom"/>
          </w:tcPr>
          <w:p>
            <w:pPr>
              <w:pStyle w:val="TableContents"/>
              <w:bidi w:val="0"/>
              <w:spacing w:before="0" w:after="283"/>
              <w:jc w:val="left"/>
              <w:rPr/>
            </w:pPr>
            <w:r>
              <w:rPr/>
              <w:t> </w:t>
            </w:r>
          </w:p>
        </w:tc>
        <w:tc>
          <w:tcPr>
            <w:tcW w:w="628"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0"/>
              <w:jc w:val="right"/>
              <w:rPr>
                <w:color w:val="000000"/>
              </w:rPr>
            </w:pPr>
            <w:r>
              <w:rPr>
                <w:color w:val="000000"/>
              </w:rPr>
              <w:t>4,812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48" w:type="dxa"/>
            <w:tcBorders/>
            <w:shd w:fill="CCEEFF" w:val="clear"/>
            <w:vAlign w:val="bottom"/>
          </w:tcPr>
          <w:p>
            <w:pPr>
              <w:pStyle w:val="TableContents"/>
              <w:bidi w:val="0"/>
              <w:spacing w:before="0" w:after="283"/>
              <w:jc w:val="left"/>
              <w:rPr/>
            </w:pPr>
            <w:r>
              <w:rPr/>
              <w:t> </w:t>
            </w:r>
          </w:p>
        </w:tc>
        <w:tc>
          <w:tcPr>
            <w:tcW w:w="1492"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4,812</w:t>
            </w:r>
          </w:p>
        </w:tc>
        <w:tc>
          <w:tcPr>
            <w:tcW w:w="170" w:type="dxa"/>
            <w:tcBorders/>
            <w:shd w:fill="CCEEFF" w:val="clear"/>
            <w:vAlign w:val="bottom"/>
          </w:tcPr>
          <w:p>
            <w:pPr>
              <w:pStyle w:val="TableContents"/>
              <w:bidi w:val="0"/>
              <w:spacing w:before="0" w:after="283"/>
              <w:jc w:val="left"/>
              <w:rPr/>
            </w:pPr>
            <w:r>
              <w:rPr/>
              <w:t> </w:t>
            </w:r>
          </w:p>
        </w:tc>
      </w:tr>
      <w:tr>
        <w:trPr/>
        <w:tc>
          <w:tcPr>
            <w:tcW w:w="1870" w:type="dxa"/>
            <w:tcBorders/>
            <w:vAlign w:val="bottom"/>
          </w:tcPr>
          <w:p>
            <w:pPr>
              <w:pStyle w:val="TableContents"/>
              <w:bidi w:val="0"/>
              <w:spacing w:before="0" w:after="0"/>
              <w:ind w:left="180" w:right="0" w:hanging="180"/>
              <w:jc w:val="left"/>
              <w:rPr>
                <w:color w:val="000000"/>
              </w:rPr>
            </w:pPr>
            <w:r>
              <w:rPr>
                <w:color w:val="000000"/>
              </w:rPr>
              <w:t>Purchase of noncontrolling interest</w:t>
            </w:r>
          </w:p>
        </w:tc>
        <w:tc>
          <w:tcPr>
            <w:tcW w:w="90" w:type="dxa"/>
            <w:tcBorders/>
            <w:vAlign w:val="bottom"/>
          </w:tcPr>
          <w:p>
            <w:pPr>
              <w:pStyle w:val="TableContents"/>
              <w:bidi w:val="0"/>
              <w:spacing w:before="0" w:after="283"/>
              <w:jc w:val="right"/>
              <w:rPr/>
            </w:pPr>
            <w:r>
              <w:rPr/>
              <w:t> </w:t>
            </w:r>
          </w:p>
        </w:tc>
        <w:tc>
          <w:tcPr>
            <w:tcW w:w="367" w:type="dxa"/>
            <w:tcBorders/>
            <w:vAlign w:val="bottom"/>
          </w:tcPr>
          <w:p>
            <w:pPr>
              <w:pStyle w:val="TableContents"/>
              <w:bidi w:val="0"/>
              <w:spacing w:before="0" w:after="283"/>
              <w:jc w:val="left"/>
              <w:rPr/>
            </w:pPr>
            <w:r>
              <w:rPr/>
              <w:t> </w:t>
            </w:r>
          </w:p>
        </w:tc>
        <w:tc>
          <w:tcPr>
            <w:tcW w:w="628"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0"/>
              <w:jc w:val="right"/>
              <w:rPr>
                <w:color w:val="000000"/>
              </w:rPr>
            </w:pPr>
            <w:r>
              <w:rPr>
                <w:color w:val="000000"/>
              </w:rPr>
              <w:t>(2,371</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48"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(2,371</w:t>
            </w:r>
          </w:p>
        </w:tc>
        <w:tc>
          <w:tcPr>
            <w:tcW w:w="170" w:type="dxa"/>
            <w:tcBorders/>
            <w:vAlign w:val="bottom"/>
          </w:tcPr>
          <w:p>
            <w:pPr>
              <w:pStyle w:val="TableContents"/>
              <w:bidi w:val="0"/>
              <w:spacing w:before="0" w:after="0"/>
              <w:jc w:val="left"/>
              <w:rPr>
                <w:color w:val="000000"/>
              </w:rPr>
            </w:pPr>
            <w:r>
              <w:rPr>
                <w:color w:val="000000"/>
              </w:rPr>
              <w:t>)</w:t>
            </w:r>
          </w:p>
        </w:tc>
      </w:tr>
      <w:tr>
        <w:trPr/>
        <w:tc>
          <w:tcPr>
            <w:tcW w:w="1870" w:type="dxa"/>
            <w:tcBorders/>
            <w:shd w:fill="CCEEFF" w:val="clear"/>
            <w:vAlign w:val="bottom"/>
          </w:tcPr>
          <w:p>
            <w:pPr>
              <w:pStyle w:val="TableContents"/>
              <w:bidi w:val="0"/>
              <w:spacing w:before="0" w:after="0"/>
              <w:ind w:left="180" w:right="0" w:hanging="180"/>
              <w:jc w:val="left"/>
              <w:rPr>
                <w:color w:val="000000"/>
              </w:rPr>
            </w:pPr>
            <w:r>
              <w:rPr>
                <w:color w:val="000000"/>
              </w:rPr>
              <w:t>Cash dividends</w:t>
            </w:r>
          </w:p>
        </w:tc>
        <w:tc>
          <w:tcPr>
            <w:tcW w:w="90" w:type="dxa"/>
            <w:tcBorders/>
            <w:shd w:fill="CCEEFF" w:val="clear"/>
            <w:vAlign w:val="bottom"/>
          </w:tcPr>
          <w:p>
            <w:pPr>
              <w:pStyle w:val="TableContents"/>
              <w:bidi w:val="0"/>
              <w:spacing w:before="0" w:after="283"/>
              <w:jc w:val="right"/>
              <w:rPr/>
            </w:pPr>
            <w:r>
              <w:rPr/>
              <w:t> </w:t>
            </w:r>
          </w:p>
        </w:tc>
        <w:tc>
          <w:tcPr>
            <w:tcW w:w="36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2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1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4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92"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(5,786</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(5,786</w:t>
            </w:r>
          </w:p>
        </w:tc>
        <w:tc>
          <w:tcPr>
            <w:tcW w:w="170" w:type="dxa"/>
            <w:tcBorders/>
            <w:shd w:fill="CCEEFF" w:val="clear"/>
            <w:vAlign w:val="bottom"/>
          </w:tcPr>
          <w:p>
            <w:pPr>
              <w:pStyle w:val="TableContents"/>
              <w:bidi w:val="0"/>
              <w:spacing w:before="0" w:after="0"/>
              <w:jc w:val="left"/>
              <w:rPr>
                <w:color w:val="000000"/>
              </w:rPr>
            </w:pPr>
            <w:r>
              <w:rPr>
                <w:color w:val="000000"/>
              </w:rPr>
              <w:t>)</w:t>
            </w:r>
          </w:p>
        </w:tc>
      </w:tr>
      <w:tr>
        <w:trPr/>
        <w:tc>
          <w:tcPr>
            <w:tcW w:w="1870" w:type="dxa"/>
            <w:tcBorders/>
            <w:vAlign w:val="bottom"/>
          </w:tcPr>
          <w:p>
            <w:pPr>
              <w:pStyle w:val="TableContents"/>
              <w:bidi w:val="0"/>
              <w:spacing w:before="0" w:after="0"/>
              <w:ind w:left="180" w:right="0" w:hanging="180"/>
              <w:jc w:val="left"/>
              <w:rPr>
                <w:color w:val="000000"/>
              </w:rPr>
            </w:pPr>
            <w:r>
              <w:rPr>
                <w:color w:val="000000"/>
              </w:rPr>
              <w:t>Balance at June 30, 2026</w:t>
            </w:r>
          </w:p>
        </w:tc>
        <w:tc>
          <w:tcPr>
            <w:tcW w:w="90" w:type="dxa"/>
            <w:tcBorders/>
            <w:vAlign w:val="bottom"/>
          </w:tcPr>
          <w:p>
            <w:pPr>
              <w:pStyle w:val="TableContents"/>
              <w:bidi w:val="0"/>
              <w:spacing w:before="0" w:after="283"/>
              <w:jc w:val="right"/>
              <w:rPr/>
            </w:pPr>
            <w:r>
              <w:rPr/>
              <w:t> </w:t>
            </w:r>
          </w:p>
        </w:tc>
        <w:tc>
          <w:tcPr>
            <w:tcW w:w="367"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628"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91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10" w:type="dxa"/>
            <w:tcBorders>
              <w:bottom w:val="double" w:sz="8" w:space="0" w:color="000000"/>
            </w:tcBorders>
            <w:tcMar>
              <w:bottom w:w="28" w:type="dxa"/>
            </w:tcMar>
            <w:vAlign w:val="bottom"/>
          </w:tcPr>
          <w:p>
            <w:pPr>
              <w:pStyle w:val="TableContents"/>
              <w:bidi w:val="0"/>
              <w:spacing w:before="0" w:after="283"/>
              <w:jc w:val="left"/>
              <w:rPr/>
            </w:pPr>
            <w:r>
              <w:rPr/>
              <w:t> </w:t>
            </w:r>
          </w:p>
        </w:tc>
        <w:tc>
          <w:tcPr>
            <w:tcW w:w="102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612,412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90" w:type="dxa"/>
            <w:tcBorders>
              <w:bottom w:val="double" w:sz="8" w:space="0" w:color="000000"/>
            </w:tcBorders>
            <w:tcMar>
              <w:bottom w:w="28" w:type="dxa"/>
            </w:tcMar>
            <w:vAlign w:val="bottom"/>
          </w:tcPr>
          <w:p>
            <w:pPr>
              <w:pStyle w:val="TableContents"/>
              <w:bidi w:val="0"/>
              <w:spacing w:before="0" w:after="283"/>
              <w:jc w:val="left"/>
              <w:rPr/>
            </w:pPr>
            <w:r>
              <w:rPr/>
              <w:t> </w:t>
            </w:r>
          </w:p>
        </w:tc>
        <w:tc>
          <w:tcPr>
            <w:tcW w:w="108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(1,558,183</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148" w:type="dxa"/>
            <w:tcBorders>
              <w:bottom w:val="double" w:sz="8" w:space="0" w:color="000000"/>
            </w:tcBorders>
            <w:tcMar>
              <w:bottom w:w="28" w:type="dxa"/>
            </w:tcMar>
            <w:vAlign w:val="bottom"/>
          </w:tcPr>
          <w:p>
            <w:pPr>
              <w:pStyle w:val="TableContents"/>
              <w:bidi w:val="0"/>
              <w:spacing w:before="0" w:after="283"/>
              <w:jc w:val="left"/>
              <w:rPr/>
            </w:pPr>
            <w:r>
              <w:rPr/>
              <w:t> </w:t>
            </w:r>
          </w:p>
        </w:tc>
        <w:tc>
          <w:tcPr>
            <w:tcW w:w="1492"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(118,152</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90" w:type="dxa"/>
            <w:tcBorders>
              <w:bottom w:val="double" w:sz="8" w:space="0" w:color="000000"/>
            </w:tcBorders>
            <w:tcMar>
              <w:bottom w:w="28" w:type="dxa"/>
            </w:tcMar>
            <w:vAlign w:val="bottom"/>
          </w:tcPr>
          <w:p>
            <w:pPr>
              <w:pStyle w:val="TableContents"/>
              <w:bidi w:val="0"/>
              <w:spacing w:before="0" w:after="283"/>
              <w:jc w:val="left"/>
              <w:rPr/>
            </w:pPr>
            <w:r>
              <w:rPr/>
              <w:t> </w:t>
            </w:r>
          </w:p>
        </w:tc>
        <w:tc>
          <w:tcPr>
            <w:tcW w:w="10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1,606,571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90" w:type="dxa"/>
            <w:tcBorders>
              <w:bottom w:val="double" w:sz="8" w:space="0" w:color="000000"/>
            </w:tcBorders>
            <w:tcMar>
              <w:bottom w:w="28" w:type="dxa"/>
            </w:tcMar>
            <w:vAlign w:val="bottom"/>
          </w:tcPr>
          <w:p>
            <w:pPr>
              <w:pStyle w:val="TableContents"/>
              <w:bidi w:val="0"/>
              <w:spacing w:before="0" w:after="283"/>
              <w:jc w:val="left"/>
              <w:rPr/>
            </w:pPr>
            <w:r>
              <w:rPr/>
              <w:t> </w:t>
            </w:r>
          </w:p>
        </w:tc>
        <w:tc>
          <w:tcPr>
            <w:tcW w:w="90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542,739</w:t>
            </w:r>
          </w:p>
        </w:tc>
        <w:tc>
          <w:tcPr>
            <w:tcW w:w="170" w:type="dxa"/>
            <w:tcBorders/>
            <w:vAlign w:val="bottom"/>
          </w:tcPr>
          <w:p>
            <w:pPr>
              <w:pStyle w:val="TableContents"/>
              <w:bidi w:val="0"/>
              <w:spacing w:before="0" w:after="283"/>
              <w:jc w:val="left"/>
              <w:rPr/>
            </w:pPr>
            <w:r>
              <w:rPr/>
              <w:t> </w:t>
            </w:r>
          </w:p>
        </w:tc>
      </w:tr>
    </w:tbl>
    <w:p>
      <w:pPr>
        <w:pStyle w:val="TextBody"/>
        <w:bidi w:val="0"/>
        <w:spacing w:before="0" w:after="0"/>
        <w:jc w:val="center"/>
        <w:rPr/>
      </w:pPr>
      <w:r>
        <w:rPr/>
      </w:r>
    </w:p>
    <w:tbl>
      <w:tblPr>
        <w:tblW w:w="10205" w:type="dxa"/>
        <w:jc w:val="left"/>
        <w:tblInd w:w="0" w:type="dxa"/>
        <w:tblLayout w:type="fixed"/>
        <w:tblCellMar>
          <w:top w:w="0" w:type="dxa"/>
          <w:left w:w="0" w:type="dxa"/>
          <w:bottom w:w="0" w:type="dxa"/>
          <w:right w:w="0" w:type="dxa"/>
        </w:tblCellMar>
      </w:tblPr>
      <w:tblGrid>
        <w:gridCol w:w="1945"/>
        <w:gridCol w:w="90"/>
        <w:gridCol w:w="367"/>
        <w:gridCol w:w="628"/>
        <w:gridCol w:w="90"/>
        <w:gridCol w:w="90"/>
        <w:gridCol w:w="110"/>
        <w:gridCol w:w="1020"/>
        <w:gridCol w:w="125"/>
        <w:gridCol w:w="90"/>
        <w:gridCol w:w="90"/>
        <w:gridCol w:w="1085"/>
        <w:gridCol w:w="125"/>
        <w:gridCol w:w="90"/>
        <w:gridCol w:w="148"/>
        <w:gridCol w:w="1492"/>
        <w:gridCol w:w="125"/>
        <w:gridCol w:w="90"/>
        <w:gridCol w:w="90"/>
        <w:gridCol w:w="1010"/>
        <w:gridCol w:w="125"/>
        <w:gridCol w:w="90"/>
        <w:gridCol w:w="90"/>
        <w:gridCol w:w="830"/>
        <w:gridCol w:w="170"/>
      </w:tblGrid>
      <w:tr>
        <w:trPr/>
        <w:tc>
          <w:tcPr>
            <w:tcW w:w="19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000" w:type="dxa"/>
            <w:gridSpan w:val="2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For the Six Months Ended June 30, 2025</w:t>
            </w:r>
          </w:p>
        </w:tc>
        <w:tc>
          <w:tcPr>
            <w:tcW w:w="170" w:type="dxa"/>
            <w:tcBorders/>
            <w:vAlign w:val="bottom"/>
          </w:tcPr>
          <w:p>
            <w:pPr>
              <w:pStyle w:val="TableContents"/>
              <w:bidi w:val="0"/>
              <w:spacing w:before="0" w:after="283"/>
              <w:jc w:val="left"/>
              <w:rPr/>
            </w:pPr>
            <w:r>
              <w:rPr/>
              <w:t> </w:t>
            </w:r>
          </w:p>
        </w:tc>
      </w:tr>
      <w:tr>
        <w:trPr/>
        <w:tc>
          <w:tcPr>
            <w:tcW w:w="1945"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center"/>
              <w:rPr/>
            </w:pPr>
            <w:r>
              <w:rPr/>
              <w:t> </w:t>
            </w:r>
          </w:p>
        </w:tc>
        <w:tc>
          <w:tcPr>
            <w:tcW w:w="99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Class A</w:t>
            </w:r>
          </w:p>
          <w:p>
            <w:pPr>
              <w:pStyle w:val="TableContents"/>
              <w:bidi w:val="0"/>
              <w:spacing w:before="0" w:after="0"/>
              <w:jc w:val="center"/>
              <w:rPr>
                <w:b/>
                <w:color w:val="000000"/>
              </w:rPr>
            </w:pPr>
            <w:r>
              <w:rPr>
                <w:b/>
                <w:color w:val="000000"/>
              </w:rPr>
              <w:t>Common</w:t>
            </w:r>
          </w:p>
          <w:p>
            <w:pPr>
              <w:pStyle w:val="TableContents"/>
              <w:bidi w:val="0"/>
              <w:spacing w:before="0" w:after="0"/>
              <w:jc w:val="center"/>
              <w:rPr>
                <w:b/>
                <w:color w:val="000000"/>
              </w:rPr>
            </w:pPr>
            <w:r>
              <w:rPr>
                <w:b/>
                <w:color w:val="000000"/>
              </w:rPr>
              <w:t>Stock</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center"/>
              <w:rPr/>
            </w:pPr>
            <w:r>
              <w:rPr/>
              <w:t> </w:t>
            </w:r>
          </w:p>
        </w:tc>
        <w:tc>
          <w:tcPr>
            <w:tcW w:w="113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Additional</w:t>
            </w:r>
          </w:p>
          <w:p>
            <w:pPr>
              <w:pStyle w:val="TableContents"/>
              <w:bidi w:val="0"/>
              <w:spacing w:before="0" w:after="0"/>
              <w:jc w:val="center"/>
              <w:rPr>
                <w:b/>
                <w:color w:val="000000"/>
              </w:rPr>
            </w:pPr>
            <w:r>
              <w:rPr>
                <w:b/>
                <w:color w:val="000000"/>
              </w:rPr>
              <w:t>Paid-in</w:t>
            </w:r>
          </w:p>
          <w:p>
            <w:pPr>
              <w:pStyle w:val="TableContents"/>
              <w:bidi w:val="0"/>
              <w:spacing w:before="0" w:after="0"/>
              <w:jc w:val="center"/>
              <w:rPr>
                <w:b/>
                <w:color w:val="000000"/>
              </w:rPr>
            </w:pPr>
            <w:r>
              <w:rPr>
                <w:b/>
                <w:color w:val="000000"/>
              </w:rPr>
              <w:t>Capital</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center"/>
              <w:rPr/>
            </w:pPr>
            <w:r>
              <w:rPr/>
              <w:t> </w:t>
            </w:r>
          </w:p>
        </w:tc>
        <w:tc>
          <w:tcPr>
            <w:tcW w:w="117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Treasury</w:t>
            </w:r>
          </w:p>
          <w:p>
            <w:pPr>
              <w:pStyle w:val="TableContents"/>
              <w:bidi w:val="0"/>
              <w:spacing w:before="0" w:after="0"/>
              <w:jc w:val="center"/>
              <w:rPr>
                <w:b/>
                <w:color w:val="000000"/>
              </w:rPr>
            </w:pPr>
            <w:r>
              <w:rPr>
                <w:b/>
                <w:color w:val="000000"/>
              </w:rPr>
              <w:t>Stock</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center"/>
              <w:rPr/>
            </w:pPr>
            <w:r>
              <w:rPr/>
              <w:t> </w:t>
            </w:r>
          </w:p>
        </w:tc>
        <w:tc>
          <w:tcPr>
            <w:tcW w:w="16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Accumulated</w:t>
            </w:r>
          </w:p>
          <w:p>
            <w:pPr>
              <w:pStyle w:val="TableContents"/>
              <w:bidi w:val="0"/>
              <w:spacing w:before="0" w:after="0"/>
              <w:jc w:val="center"/>
              <w:rPr>
                <w:b/>
                <w:color w:val="000000"/>
              </w:rPr>
            </w:pPr>
            <w:r>
              <w:rPr>
                <w:b/>
                <w:color w:val="000000"/>
              </w:rPr>
              <w:t>Other</w:t>
            </w:r>
          </w:p>
          <w:p>
            <w:pPr>
              <w:pStyle w:val="TableContents"/>
              <w:bidi w:val="0"/>
              <w:spacing w:before="0" w:after="0"/>
              <w:jc w:val="center"/>
              <w:rPr>
                <w:b/>
                <w:color w:val="000000"/>
              </w:rPr>
            </w:pPr>
            <w:r>
              <w:rPr>
                <w:b/>
                <w:color w:val="000000"/>
              </w:rPr>
              <w:t>Comprehensive</w:t>
            </w:r>
          </w:p>
          <w:p>
            <w:pPr>
              <w:pStyle w:val="TableContents"/>
              <w:bidi w:val="0"/>
              <w:spacing w:before="0" w:after="0"/>
              <w:jc w:val="center"/>
              <w:rPr>
                <w:b/>
                <w:color w:val="000000"/>
              </w:rPr>
            </w:pPr>
            <w:r>
              <w:rPr>
                <w:b/>
                <w:color w:val="000000"/>
              </w:rPr>
              <w:t>Loss</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center"/>
              <w:rPr/>
            </w:pPr>
            <w:r>
              <w:rPr/>
              <w:t> </w:t>
            </w:r>
          </w:p>
        </w:tc>
        <w:tc>
          <w:tcPr>
            <w:tcW w:w="11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Retained</w:t>
            </w:r>
          </w:p>
          <w:p>
            <w:pPr>
              <w:pStyle w:val="TableContents"/>
              <w:bidi w:val="0"/>
              <w:spacing w:before="0" w:after="0"/>
              <w:jc w:val="center"/>
              <w:rPr>
                <w:b/>
                <w:color w:val="000000"/>
              </w:rPr>
            </w:pPr>
            <w:r>
              <w:rPr>
                <w:b/>
                <w:color w:val="000000"/>
              </w:rPr>
              <w:t>Earnings</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center"/>
              <w:rPr/>
            </w:pPr>
            <w:r>
              <w:rPr/>
              <w:t> </w:t>
            </w:r>
          </w:p>
        </w:tc>
        <w:tc>
          <w:tcPr>
            <w:tcW w:w="920" w:type="dxa"/>
            <w:gridSpan w:val="2"/>
            <w:tcBorders>
              <w:bottom w:val="single" w:sz="12" w:space="0" w:color="000000"/>
            </w:tcBorders>
            <w:tcMar>
              <w:bottom w:w="28" w:type="dxa"/>
            </w:tcMar>
            <w:vAlign w:val="bottom"/>
          </w:tcPr>
          <w:p>
            <w:pPr>
              <w:pStyle w:val="TableContents"/>
              <w:bidi w:val="0"/>
              <w:spacing w:before="0" w:after="0"/>
              <w:jc w:val="center"/>
              <w:rPr/>
            </w:pPr>
            <w:r>
              <w:rPr/>
            </w:r>
          </w:p>
          <w:p>
            <w:pPr>
              <w:pStyle w:val="TableContents"/>
              <w:bidi w:val="0"/>
              <w:spacing w:before="0" w:after="0"/>
              <w:jc w:val="center"/>
              <w:rPr>
                <w:b/>
                <w:color w:val="000000"/>
              </w:rPr>
            </w:pPr>
            <w:r>
              <w:rPr>
                <w:b/>
                <w:color w:val="000000"/>
              </w:rPr>
              <w:t>Total</w:t>
            </w:r>
          </w:p>
        </w:tc>
        <w:tc>
          <w:tcPr>
            <w:tcW w:w="170" w:type="dxa"/>
            <w:tcBorders/>
            <w:vAlign w:val="bottom"/>
          </w:tcPr>
          <w:p>
            <w:pPr>
              <w:pStyle w:val="TableContents"/>
              <w:bidi w:val="0"/>
              <w:spacing w:before="0" w:after="283"/>
              <w:jc w:val="left"/>
              <w:rPr/>
            </w:pPr>
            <w:r>
              <w:rPr/>
              <w:t> </w:t>
            </w:r>
          </w:p>
        </w:tc>
      </w:tr>
      <w:tr>
        <w:trPr/>
        <w:tc>
          <w:tcPr>
            <w:tcW w:w="1945" w:type="dxa"/>
            <w:tcBorders/>
            <w:shd w:fill="CCEEFF" w:val="clear"/>
            <w:vAlign w:val="bottom"/>
          </w:tcPr>
          <w:p>
            <w:pPr>
              <w:pStyle w:val="TableContents"/>
              <w:bidi w:val="0"/>
              <w:spacing w:before="0" w:after="0"/>
              <w:ind w:left="180" w:right="0" w:hanging="180"/>
              <w:jc w:val="left"/>
              <w:rPr>
                <w:color w:val="000000"/>
              </w:rPr>
            </w:pPr>
            <w:r>
              <w:rPr>
                <w:color w:val="000000"/>
              </w:rPr>
              <w:t>Balance at January 1, 2025</w:t>
            </w:r>
          </w:p>
        </w:tc>
        <w:tc>
          <w:tcPr>
            <w:tcW w:w="90" w:type="dxa"/>
            <w:tcBorders/>
            <w:shd w:fill="CCEEFF" w:val="clear"/>
            <w:vAlign w:val="bottom"/>
          </w:tcPr>
          <w:p>
            <w:pPr>
              <w:pStyle w:val="TableContents"/>
              <w:bidi w:val="0"/>
              <w:spacing w:before="0" w:after="283"/>
              <w:jc w:val="right"/>
              <w:rPr/>
            </w:pPr>
            <w:r>
              <w:rPr/>
              <w:t> </w:t>
            </w:r>
          </w:p>
        </w:tc>
        <w:tc>
          <w:tcPr>
            <w:tcW w:w="367" w:type="dxa"/>
            <w:tcBorders/>
            <w:shd w:fill="CCEEFF" w:val="clear"/>
            <w:vAlign w:val="bottom"/>
          </w:tcPr>
          <w:p>
            <w:pPr>
              <w:pStyle w:val="TableContents"/>
              <w:bidi w:val="0"/>
              <w:spacing w:before="0" w:after="0"/>
              <w:jc w:val="left"/>
              <w:rPr>
                <w:color w:val="000000"/>
              </w:rPr>
            </w:pPr>
            <w:r>
              <w:rPr>
                <w:color w:val="000000"/>
              </w:rPr>
              <w:t>$</w:t>
            </w:r>
          </w:p>
        </w:tc>
        <w:tc>
          <w:tcPr>
            <w:tcW w:w="628" w:type="dxa"/>
            <w:tcBorders/>
            <w:shd w:fill="CCEEFF" w:val="clear"/>
            <w:vAlign w:val="bottom"/>
          </w:tcPr>
          <w:p>
            <w:pPr>
              <w:pStyle w:val="TableContents"/>
              <w:bidi w:val="0"/>
              <w:spacing w:before="0" w:after="0"/>
              <w:jc w:val="right"/>
              <w:rPr>
                <w:color w:val="000000"/>
              </w:rPr>
            </w:pPr>
            <w:r>
              <w:rPr>
                <w:color w:val="000000"/>
              </w:rPr>
              <w:t>91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0"/>
              <w:jc w:val="right"/>
              <w:rPr>
                <w:color w:val="000000"/>
              </w:rPr>
            </w:pPr>
            <w:r>
              <w:rPr>
                <w:color w:val="000000"/>
              </w:rPr>
              <w:t>627,787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0"/>
              <w:jc w:val="right"/>
              <w:rPr>
                <w:color w:val="000000"/>
              </w:rPr>
            </w:pPr>
            <w:r>
              <w:rPr>
                <w:color w:val="000000"/>
              </w:rPr>
              <w:t>(1,563,614</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148" w:type="dxa"/>
            <w:tcBorders/>
            <w:shd w:fill="CCEEFF" w:val="clear"/>
            <w:vAlign w:val="bottom"/>
          </w:tcPr>
          <w:p>
            <w:pPr>
              <w:pStyle w:val="TableContents"/>
              <w:bidi w:val="0"/>
              <w:spacing w:before="0" w:after="283"/>
              <w:jc w:val="left"/>
              <w:rPr/>
            </w:pPr>
            <w:r>
              <w:rPr/>
              <w:t> </w:t>
            </w:r>
          </w:p>
        </w:tc>
        <w:tc>
          <w:tcPr>
            <w:tcW w:w="1492" w:type="dxa"/>
            <w:tcBorders/>
            <w:shd w:fill="CCEEFF" w:val="clear"/>
            <w:vAlign w:val="bottom"/>
          </w:tcPr>
          <w:p>
            <w:pPr>
              <w:pStyle w:val="TableContents"/>
              <w:bidi w:val="0"/>
              <w:spacing w:before="0" w:after="0"/>
              <w:jc w:val="right"/>
              <w:rPr>
                <w:color w:val="000000"/>
              </w:rPr>
            </w:pPr>
            <w:r>
              <w:rPr>
                <w:color w:val="000000"/>
              </w:rPr>
              <w:t>(124,758</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1,711,949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651,455</w:t>
            </w:r>
          </w:p>
        </w:tc>
        <w:tc>
          <w:tcPr>
            <w:tcW w:w="170" w:type="dxa"/>
            <w:tcBorders/>
            <w:shd w:fill="CCEEFF" w:val="clear"/>
            <w:vAlign w:val="bottom"/>
          </w:tcPr>
          <w:p>
            <w:pPr>
              <w:pStyle w:val="TableContents"/>
              <w:bidi w:val="0"/>
              <w:spacing w:before="0" w:after="283"/>
              <w:jc w:val="left"/>
              <w:rPr/>
            </w:pPr>
            <w:r>
              <w:rPr/>
              <w:t> </w:t>
            </w:r>
          </w:p>
        </w:tc>
      </w:tr>
      <w:tr>
        <w:trPr/>
        <w:tc>
          <w:tcPr>
            <w:tcW w:w="1945"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right"/>
              <w:rPr/>
            </w:pPr>
            <w:r>
              <w:rPr/>
              <w:t> </w:t>
            </w:r>
          </w:p>
        </w:tc>
        <w:tc>
          <w:tcPr>
            <w:tcW w:w="367" w:type="dxa"/>
            <w:tcBorders/>
            <w:vAlign w:val="bottom"/>
          </w:tcPr>
          <w:p>
            <w:pPr>
              <w:pStyle w:val="TableContents"/>
              <w:bidi w:val="0"/>
              <w:spacing w:before="0" w:after="283"/>
              <w:jc w:val="left"/>
              <w:rPr/>
            </w:pPr>
            <w:r>
              <w:rPr/>
              <w:t> </w:t>
            </w:r>
          </w:p>
        </w:tc>
        <w:tc>
          <w:tcPr>
            <w:tcW w:w="628"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48"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r>
      <w:tr>
        <w:trPr/>
        <w:tc>
          <w:tcPr>
            <w:tcW w:w="1945" w:type="dxa"/>
            <w:tcBorders/>
            <w:shd w:fill="CCEEFF" w:val="clear"/>
            <w:vAlign w:val="bottom"/>
          </w:tcPr>
          <w:p>
            <w:pPr>
              <w:pStyle w:val="TableContents"/>
              <w:bidi w:val="0"/>
              <w:spacing w:before="0" w:after="0"/>
              <w:ind w:left="180" w:right="0" w:hanging="180"/>
              <w:jc w:val="left"/>
              <w:rPr>
                <w:color w:val="000000"/>
              </w:rPr>
            </w:pPr>
            <w:r>
              <w:rPr>
                <w:color w:val="000000"/>
              </w:rPr>
              <w:t>Net income</w:t>
            </w:r>
          </w:p>
        </w:tc>
        <w:tc>
          <w:tcPr>
            <w:tcW w:w="90" w:type="dxa"/>
            <w:tcBorders/>
            <w:shd w:fill="CCEEFF" w:val="clear"/>
            <w:vAlign w:val="bottom"/>
          </w:tcPr>
          <w:p>
            <w:pPr>
              <w:pStyle w:val="TableContents"/>
              <w:bidi w:val="0"/>
              <w:spacing w:before="0" w:after="283"/>
              <w:jc w:val="right"/>
              <w:rPr/>
            </w:pPr>
            <w:r>
              <w:rPr/>
              <w:t> </w:t>
            </w:r>
          </w:p>
        </w:tc>
        <w:tc>
          <w:tcPr>
            <w:tcW w:w="367" w:type="dxa"/>
            <w:tcBorders/>
            <w:shd w:fill="CCEEFF" w:val="clear"/>
            <w:vAlign w:val="bottom"/>
          </w:tcPr>
          <w:p>
            <w:pPr>
              <w:pStyle w:val="TableContents"/>
              <w:bidi w:val="0"/>
              <w:spacing w:before="0" w:after="283"/>
              <w:jc w:val="left"/>
              <w:rPr/>
            </w:pPr>
            <w:r>
              <w:rPr/>
              <w:t> </w:t>
            </w:r>
          </w:p>
        </w:tc>
        <w:tc>
          <w:tcPr>
            <w:tcW w:w="628"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48" w:type="dxa"/>
            <w:tcBorders/>
            <w:shd w:fill="CCEEFF" w:val="clear"/>
            <w:vAlign w:val="bottom"/>
          </w:tcPr>
          <w:p>
            <w:pPr>
              <w:pStyle w:val="TableContents"/>
              <w:bidi w:val="0"/>
              <w:spacing w:before="0" w:after="283"/>
              <w:jc w:val="left"/>
              <w:rPr/>
            </w:pPr>
            <w:r>
              <w:rPr/>
              <w:t> </w:t>
            </w:r>
          </w:p>
        </w:tc>
        <w:tc>
          <w:tcPr>
            <w:tcW w:w="1492"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128,634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128,634</w:t>
            </w:r>
          </w:p>
        </w:tc>
        <w:tc>
          <w:tcPr>
            <w:tcW w:w="170" w:type="dxa"/>
            <w:tcBorders/>
            <w:shd w:fill="CCEEFF" w:val="clear"/>
            <w:vAlign w:val="bottom"/>
          </w:tcPr>
          <w:p>
            <w:pPr>
              <w:pStyle w:val="TableContents"/>
              <w:bidi w:val="0"/>
              <w:spacing w:before="0" w:after="283"/>
              <w:jc w:val="left"/>
              <w:rPr/>
            </w:pPr>
            <w:r>
              <w:rPr/>
              <w:t> </w:t>
            </w:r>
          </w:p>
        </w:tc>
      </w:tr>
      <w:tr>
        <w:trPr/>
        <w:tc>
          <w:tcPr>
            <w:tcW w:w="1945" w:type="dxa"/>
            <w:tcBorders/>
            <w:vAlign w:val="bottom"/>
          </w:tcPr>
          <w:p>
            <w:pPr>
              <w:pStyle w:val="TableContents"/>
              <w:bidi w:val="0"/>
              <w:spacing w:before="0" w:after="0"/>
              <w:ind w:left="180" w:right="0" w:hanging="180"/>
              <w:jc w:val="left"/>
              <w:rPr>
                <w:color w:val="000000"/>
              </w:rPr>
            </w:pPr>
            <w:r>
              <w:rPr>
                <w:color w:val="000000"/>
              </w:rPr>
              <w:t>Other comprehensive income, net of tax</w:t>
            </w:r>
          </w:p>
        </w:tc>
        <w:tc>
          <w:tcPr>
            <w:tcW w:w="90" w:type="dxa"/>
            <w:tcBorders/>
            <w:vAlign w:val="bottom"/>
          </w:tcPr>
          <w:p>
            <w:pPr>
              <w:pStyle w:val="TableContents"/>
              <w:bidi w:val="0"/>
              <w:spacing w:before="0" w:after="283"/>
              <w:jc w:val="right"/>
              <w:rPr/>
            </w:pPr>
            <w:r>
              <w:rPr/>
              <w:t> </w:t>
            </w:r>
          </w:p>
        </w:tc>
        <w:tc>
          <w:tcPr>
            <w:tcW w:w="367" w:type="dxa"/>
            <w:tcBorders/>
            <w:vAlign w:val="bottom"/>
          </w:tcPr>
          <w:p>
            <w:pPr>
              <w:pStyle w:val="TableContents"/>
              <w:bidi w:val="0"/>
              <w:spacing w:before="0" w:after="283"/>
              <w:jc w:val="left"/>
              <w:rPr/>
            </w:pPr>
            <w:r>
              <w:rPr/>
              <w:t> </w:t>
            </w:r>
          </w:p>
        </w:tc>
        <w:tc>
          <w:tcPr>
            <w:tcW w:w="628"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48"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0"/>
              <w:jc w:val="right"/>
              <w:rPr>
                <w:color w:val="000000"/>
              </w:rPr>
            </w:pPr>
            <w:r>
              <w:rPr>
                <w:color w:val="000000"/>
              </w:rPr>
              <w:t>10,700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10,700</w:t>
            </w:r>
          </w:p>
        </w:tc>
        <w:tc>
          <w:tcPr>
            <w:tcW w:w="170" w:type="dxa"/>
            <w:tcBorders/>
            <w:vAlign w:val="bottom"/>
          </w:tcPr>
          <w:p>
            <w:pPr>
              <w:pStyle w:val="TableContents"/>
              <w:bidi w:val="0"/>
              <w:spacing w:before="0" w:after="283"/>
              <w:jc w:val="left"/>
              <w:rPr/>
            </w:pPr>
            <w:r>
              <w:rPr/>
              <w:t> </w:t>
            </w:r>
          </w:p>
        </w:tc>
      </w:tr>
      <w:tr>
        <w:trPr/>
        <w:tc>
          <w:tcPr>
            <w:tcW w:w="1945" w:type="dxa"/>
            <w:tcBorders/>
            <w:shd w:fill="CCEEFF" w:val="clear"/>
            <w:vAlign w:val="bottom"/>
          </w:tcPr>
          <w:p>
            <w:pPr>
              <w:pStyle w:val="TableContents"/>
              <w:bidi w:val="0"/>
              <w:spacing w:before="0" w:after="0"/>
              <w:ind w:left="180" w:right="0" w:hanging="180"/>
              <w:jc w:val="left"/>
              <w:rPr>
                <w:color w:val="000000"/>
              </w:rPr>
            </w:pPr>
            <w:r>
              <w:rPr>
                <w:color w:val="000000"/>
              </w:rPr>
              <w:t>Repurchase of Class A common stock (Note 7)</w:t>
            </w:r>
          </w:p>
        </w:tc>
        <w:tc>
          <w:tcPr>
            <w:tcW w:w="90" w:type="dxa"/>
            <w:tcBorders/>
            <w:shd w:fill="CCEEFF" w:val="clear"/>
            <w:vAlign w:val="bottom"/>
          </w:tcPr>
          <w:p>
            <w:pPr>
              <w:pStyle w:val="TableContents"/>
              <w:bidi w:val="0"/>
              <w:spacing w:before="0" w:after="283"/>
              <w:jc w:val="right"/>
              <w:rPr/>
            </w:pPr>
            <w:r>
              <w:rPr/>
              <w:t> </w:t>
            </w:r>
          </w:p>
        </w:tc>
        <w:tc>
          <w:tcPr>
            <w:tcW w:w="367" w:type="dxa"/>
            <w:tcBorders/>
            <w:shd w:fill="CCEEFF" w:val="clear"/>
            <w:vAlign w:val="bottom"/>
          </w:tcPr>
          <w:p>
            <w:pPr>
              <w:pStyle w:val="TableContents"/>
              <w:bidi w:val="0"/>
              <w:spacing w:before="0" w:after="283"/>
              <w:jc w:val="left"/>
              <w:rPr/>
            </w:pPr>
            <w:r>
              <w:rPr/>
              <w:t> </w:t>
            </w:r>
          </w:p>
        </w:tc>
        <w:tc>
          <w:tcPr>
            <w:tcW w:w="628"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0"/>
              <w:jc w:val="right"/>
              <w:rPr>
                <w:color w:val="000000"/>
              </w:rPr>
            </w:pPr>
            <w:r>
              <w:rPr>
                <w:color w:val="000000"/>
              </w:rPr>
              <w:t>(5,012</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148" w:type="dxa"/>
            <w:tcBorders/>
            <w:shd w:fill="CCEEFF" w:val="clear"/>
            <w:vAlign w:val="bottom"/>
          </w:tcPr>
          <w:p>
            <w:pPr>
              <w:pStyle w:val="TableContents"/>
              <w:bidi w:val="0"/>
              <w:spacing w:before="0" w:after="283"/>
              <w:jc w:val="left"/>
              <w:rPr/>
            </w:pPr>
            <w:r>
              <w:rPr/>
              <w:t> </w:t>
            </w:r>
          </w:p>
        </w:tc>
        <w:tc>
          <w:tcPr>
            <w:tcW w:w="1492"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(5,012</w:t>
            </w:r>
          </w:p>
        </w:tc>
        <w:tc>
          <w:tcPr>
            <w:tcW w:w="170" w:type="dxa"/>
            <w:tcBorders/>
            <w:shd w:fill="CCEEFF" w:val="clear"/>
            <w:vAlign w:val="bottom"/>
          </w:tcPr>
          <w:p>
            <w:pPr>
              <w:pStyle w:val="TableContents"/>
              <w:bidi w:val="0"/>
              <w:spacing w:before="0" w:after="0"/>
              <w:jc w:val="left"/>
              <w:rPr>
                <w:color w:val="000000"/>
              </w:rPr>
            </w:pPr>
            <w:r>
              <w:rPr>
                <w:color w:val="000000"/>
              </w:rPr>
              <w:t>)</w:t>
            </w:r>
          </w:p>
        </w:tc>
      </w:tr>
      <w:tr>
        <w:trPr/>
        <w:tc>
          <w:tcPr>
            <w:tcW w:w="1945" w:type="dxa"/>
            <w:tcBorders/>
            <w:vAlign w:val="bottom"/>
          </w:tcPr>
          <w:p>
            <w:pPr>
              <w:pStyle w:val="TableContents"/>
              <w:bidi w:val="0"/>
              <w:spacing w:before="0" w:after="0"/>
              <w:ind w:left="180" w:right="0" w:hanging="180"/>
              <w:jc w:val="left"/>
              <w:rPr>
                <w:color w:val="000000"/>
              </w:rPr>
            </w:pPr>
            <w:r>
              <w:rPr>
                <w:color w:val="000000"/>
              </w:rPr>
              <w:t>Exercise of employee stock options (0.4 million shares)/vesting of stock awards</w:t>
            </w:r>
          </w:p>
        </w:tc>
        <w:tc>
          <w:tcPr>
            <w:tcW w:w="90" w:type="dxa"/>
            <w:tcBorders/>
            <w:vAlign w:val="bottom"/>
          </w:tcPr>
          <w:p>
            <w:pPr>
              <w:pStyle w:val="TableContents"/>
              <w:bidi w:val="0"/>
              <w:spacing w:before="0" w:after="283"/>
              <w:jc w:val="right"/>
              <w:rPr/>
            </w:pPr>
            <w:r>
              <w:rPr/>
              <w:t> </w:t>
            </w:r>
          </w:p>
        </w:tc>
        <w:tc>
          <w:tcPr>
            <w:tcW w:w="367" w:type="dxa"/>
            <w:tcBorders/>
            <w:vAlign w:val="bottom"/>
          </w:tcPr>
          <w:p>
            <w:pPr>
              <w:pStyle w:val="TableContents"/>
              <w:bidi w:val="0"/>
              <w:spacing w:before="0" w:after="283"/>
              <w:jc w:val="left"/>
              <w:rPr/>
            </w:pPr>
            <w:r>
              <w:rPr/>
              <w:t> </w:t>
            </w:r>
          </w:p>
        </w:tc>
        <w:tc>
          <w:tcPr>
            <w:tcW w:w="628"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0"/>
              <w:jc w:val="right"/>
              <w:rPr>
                <w:color w:val="000000"/>
              </w:rPr>
            </w:pPr>
            <w:r>
              <w:rPr>
                <w:color w:val="000000"/>
              </w:rPr>
              <w:t>(9,357</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0"/>
              <w:jc w:val="right"/>
              <w:rPr>
                <w:color w:val="000000"/>
              </w:rPr>
            </w:pPr>
            <w:r>
              <w:rPr>
                <w:color w:val="000000"/>
              </w:rPr>
              <w:t>8,215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48" w:type="dxa"/>
            <w:tcBorders/>
            <w:vAlign w:val="bottom"/>
          </w:tcPr>
          <w:p>
            <w:pPr>
              <w:pStyle w:val="TableContents"/>
              <w:bidi w:val="0"/>
              <w:spacing w:before="0" w:after="283"/>
              <w:jc w:val="left"/>
              <w:rPr/>
            </w:pPr>
            <w:r>
              <w:rPr/>
              <w:t> </w:t>
            </w:r>
          </w:p>
        </w:tc>
        <w:tc>
          <w:tcPr>
            <w:tcW w:w="1492"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color w:val="000000"/>
              </w:rPr>
            </w:pPr>
            <w:r>
              <w:rPr>
                <w:color w:val="000000"/>
              </w:rPr>
              <w:t>(1,142</w:t>
            </w:r>
          </w:p>
        </w:tc>
        <w:tc>
          <w:tcPr>
            <w:tcW w:w="170" w:type="dxa"/>
            <w:tcBorders/>
            <w:vAlign w:val="bottom"/>
          </w:tcPr>
          <w:p>
            <w:pPr>
              <w:pStyle w:val="TableContents"/>
              <w:bidi w:val="0"/>
              <w:spacing w:before="0" w:after="0"/>
              <w:jc w:val="left"/>
              <w:rPr>
                <w:color w:val="000000"/>
              </w:rPr>
            </w:pPr>
            <w:r>
              <w:rPr>
                <w:color w:val="000000"/>
              </w:rPr>
              <w:t>)</w:t>
            </w:r>
          </w:p>
        </w:tc>
      </w:tr>
      <w:tr>
        <w:trPr/>
        <w:tc>
          <w:tcPr>
            <w:tcW w:w="1945" w:type="dxa"/>
            <w:tcBorders/>
            <w:shd w:fill="CCEEFF" w:val="clear"/>
            <w:vAlign w:val="bottom"/>
          </w:tcPr>
          <w:p>
            <w:pPr>
              <w:pStyle w:val="TableContents"/>
              <w:bidi w:val="0"/>
              <w:spacing w:before="0" w:after="0"/>
              <w:ind w:left="180" w:right="0" w:hanging="180"/>
              <w:jc w:val="left"/>
              <w:rPr>
                <w:color w:val="000000"/>
              </w:rPr>
            </w:pPr>
            <w:r>
              <w:rPr>
                <w:color w:val="000000"/>
              </w:rPr>
              <w:t>Stock-based compensation</w:t>
            </w:r>
          </w:p>
        </w:tc>
        <w:tc>
          <w:tcPr>
            <w:tcW w:w="90" w:type="dxa"/>
            <w:tcBorders/>
            <w:shd w:fill="CCEEFF" w:val="clear"/>
            <w:vAlign w:val="bottom"/>
          </w:tcPr>
          <w:p>
            <w:pPr>
              <w:pStyle w:val="TableContents"/>
              <w:bidi w:val="0"/>
              <w:spacing w:before="0" w:after="283"/>
              <w:jc w:val="right"/>
              <w:rPr/>
            </w:pPr>
            <w:r>
              <w:rPr/>
              <w:t> </w:t>
            </w:r>
          </w:p>
        </w:tc>
        <w:tc>
          <w:tcPr>
            <w:tcW w:w="367" w:type="dxa"/>
            <w:tcBorders/>
            <w:shd w:fill="CCEEFF" w:val="clear"/>
            <w:vAlign w:val="bottom"/>
          </w:tcPr>
          <w:p>
            <w:pPr>
              <w:pStyle w:val="TableContents"/>
              <w:bidi w:val="0"/>
              <w:spacing w:before="0" w:after="283"/>
              <w:jc w:val="left"/>
              <w:rPr/>
            </w:pPr>
            <w:r>
              <w:rPr/>
              <w:t> </w:t>
            </w:r>
          </w:p>
        </w:tc>
        <w:tc>
          <w:tcPr>
            <w:tcW w:w="628"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0"/>
              <w:jc w:val="right"/>
              <w:rPr>
                <w:color w:val="000000"/>
              </w:rPr>
            </w:pPr>
            <w:r>
              <w:rPr>
                <w:color w:val="000000"/>
              </w:rPr>
              <w:t>9,085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1085"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48" w:type="dxa"/>
            <w:tcBorders/>
            <w:shd w:fill="CCEEFF" w:val="clear"/>
            <w:vAlign w:val="bottom"/>
          </w:tcPr>
          <w:p>
            <w:pPr>
              <w:pStyle w:val="TableContents"/>
              <w:bidi w:val="0"/>
              <w:spacing w:before="0" w:after="283"/>
              <w:jc w:val="left"/>
              <w:rPr/>
            </w:pPr>
            <w:r>
              <w:rPr/>
              <w:t> </w:t>
            </w:r>
          </w:p>
        </w:tc>
        <w:tc>
          <w:tcPr>
            <w:tcW w:w="1492"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color w:val="000000"/>
              </w:rPr>
            </w:pPr>
            <w:r>
              <w:rPr>
                <w:color w:val="000000"/>
              </w:rPr>
              <w:t>9,085</w:t>
            </w:r>
          </w:p>
        </w:tc>
        <w:tc>
          <w:tcPr>
            <w:tcW w:w="170" w:type="dxa"/>
            <w:tcBorders/>
            <w:shd w:fill="CCEEFF" w:val="clear"/>
            <w:vAlign w:val="bottom"/>
          </w:tcPr>
          <w:p>
            <w:pPr>
              <w:pStyle w:val="TableContents"/>
              <w:bidi w:val="0"/>
              <w:spacing w:before="0" w:after="283"/>
              <w:jc w:val="left"/>
              <w:rPr/>
            </w:pPr>
            <w:r>
              <w:rPr/>
              <w:t> </w:t>
            </w:r>
          </w:p>
        </w:tc>
      </w:tr>
      <w:tr>
        <w:trPr/>
        <w:tc>
          <w:tcPr>
            <w:tcW w:w="1945" w:type="dxa"/>
            <w:tcBorders/>
            <w:vAlign w:val="bottom"/>
          </w:tcPr>
          <w:p>
            <w:pPr>
              <w:pStyle w:val="TableContents"/>
              <w:bidi w:val="0"/>
              <w:spacing w:before="0" w:after="0"/>
              <w:ind w:left="180" w:right="0" w:hanging="180"/>
              <w:jc w:val="left"/>
              <w:rPr>
                <w:color w:val="000000"/>
              </w:rPr>
            </w:pPr>
            <w:r>
              <w:rPr>
                <w:color w:val="000000"/>
              </w:rPr>
              <w:t>Cash dividends</w:t>
            </w:r>
          </w:p>
        </w:tc>
        <w:tc>
          <w:tcPr>
            <w:tcW w:w="90" w:type="dxa"/>
            <w:tcBorders/>
            <w:vAlign w:val="bottom"/>
          </w:tcPr>
          <w:p>
            <w:pPr>
              <w:pStyle w:val="TableContents"/>
              <w:bidi w:val="0"/>
              <w:spacing w:before="0" w:after="283"/>
              <w:jc w:val="right"/>
              <w:rPr/>
            </w:pPr>
            <w:r>
              <w:rPr/>
              <w:t> </w:t>
            </w:r>
          </w:p>
        </w:tc>
        <w:tc>
          <w:tcPr>
            <w:tcW w:w="367" w:type="dxa"/>
            <w:tcBorders>
              <w:bottom w:val="single" w:sz="12" w:space="0" w:color="000000"/>
            </w:tcBorders>
            <w:tcMar>
              <w:bottom w:w="28" w:type="dxa"/>
            </w:tcMar>
            <w:vAlign w:val="bottom"/>
          </w:tcPr>
          <w:p>
            <w:pPr>
              <w:pStyle w:val="TableContents"/>
              <w:bidi w:val="0"/>
              <w:spacing w:before="0" w:after="283"/>
              <w:jc w:val="left"/>
              <w:rPr/>
            </w:pPr>
            <w:r>
              <w:rPr/>
              <w:t> </w:t>
            </w:r>
          </w:p>
        </w:tc>
        <w:tc>
          <w:tcPr>
            <w:tcW w:w="62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1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8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48" w:type="dxa"/>
            <w:tcBorders>
              <w:bottom w:val="single" w:sz="12" w:space="0" w:color="000000"/>
            </w:tcBorders>
            <w:tcMar>
              <w:bottom w:w="28" w:type="dxa"/>
            </w:tcMar>
            <w:vAlign w:val="bottom"/>
          </w:tcPr>
          <w:p>
            <w:pPr>
              <w:pStyle w:val="TableContents"/>
              <w:bidi w:val="0"/>
              <w:spacing w:before="0" w:after="283"/>
              <w:jc w:val="left"/>
              <w:rPr/>
            </w:pPr>
            <w:r>
              <w:rPr/>
              <w:t> </w:t>
            </w:r>
          </w:p>
        </w:tc>
        <w:tc>
          <w:tcPr>
            <w:tcW w:w="149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(5,966</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9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(5,966</w:t>
            </w:r>
          </w:p>
        </w:tc>
        <w:tc>
          <w:tcPr>
            <w:tcW w:w="170" w:type="dxa"/>
            <w:tcBorders/>
            <w:vAlign w:val="bottom"/>
          </w:tcPr>
          <w:p>
            <w:pPr>
              <w:pStyle w:val="TableContents"/>
              <w:bidi w:val="0"/>
              <w:spacing w:before="0" w:after="0"/>
              <w:jc w:val="left"/>
              <w:rPr>
                <w:color w:val="000000"/>
              </w:rPr>
            </w:pPr>
            <w:r>
              <w:rPr>
                <w:color w:val="000000"/>
              </w:rPr>
              <w:t>)</w:t>
            </w:r>
          </w:p>
        </w:tc>
      </w:tr>
      <w:tr>
        <w:trPr/>
        <w:tc>
          <w:tcPr>
            <w:tcW w:w="1945" w:type="dxa"/>
            <w:tcBorders/>
            <w:shd w:fill="CCEEFF" w:val="clear"/>
            <w:vAlign w:val="bottom"/>
          </w:tcPr>
          <w:p>
            <w:pPr>
              <w:pStyle w:val="TableContents"/>
              <w:bidi w:val="0"/>
              <w:spacing w:before="0" w:after="0"/>
              <w:ind w:left="180" w:right="0" w:hanging="180"/>
              <w:jc w:val="left"/>
              <w:rPr>
                <w:color w:val="000000"/>
              </w:rPr>
            </w:pPr>
            <w:r>
              <w:rPr>
                <w:color w:val="000000"/>
              </w:rPr>
              <w:t>Balance at June 30, 2025</w:t>
            </w:r>
          </w:p>
        </w:tc>
        <w:tc>
          <w:tcPr>
            <w:tcW w:w="90" w:type="dxa"/>
            <w:tcBorders/>
            <w:shd w:fill="CCEEFF" w:val="clear"/>
            <w:vAlign w:val="bottom"/>
          </w:tcPr>
          <w:p>
            <w:pPr>
              <w:pStyle w:val="TableContents"/>
              <w:bidi w:val="0"/>
              <w:spacing w:before="0" w:after="283"/>
              <w:jc w:val="right"/>
              <w:rPr/>
            </w:pPr>
            <w:r>
              <w:rPr/>
              <w:t> </w:t>
            </w:r>
          </w:p>
        </w:tc>
        <w:tc>
          <w:tcPr>
            <w:tcW w:w="367"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2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91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1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02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627,515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9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08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(1,560,411</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148"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492"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(114,058</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9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0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1,834,617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90"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787,754</w:t>
            </w:r>
          </w:p>
        </w:tc>
        <w:tc>
          <w:tcPr>
            <w:tcW w:w="170" w:type="dxa"/>
            <w:tcBorders/>
            <w:shd w:fill="CCEEFF" w:val="clear"/>
            <w:vAlign w:val="bottom"/>
          </w:tcPr>
          <w:p>
            <w:pPr>
              <w:pStyle w:val="TableContents"/>
              <w:bidi w:val="0"/>
              <w:spacing w:before="0" w:after="283"/>
              <w:jc w:val="left"/>
              <w:rPr/>
            </w:pPr>
            <w:r>
              <w:rPr/>
              <w:t> </w:t>
            </w:r>
          </w:p>
        </w:tc>
      </w:tr>
    </w:tbl>
    <w:p>
      <w:pPr>
        <w:pStyle w:val="TextBody"/>
        <w:bidi w:val="0"/>
        <w:spacing w:before="0" w:after="0"/>
        <w:jc w:val="center"/>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The accompanying notes are an integral part of these consolidated financial statements.</w:t>
      </w:r>
    </w:p>
    <w:p>
      <w:pPr>
        <w:pStyle w:val="TextBody"/>
        <w:bidi w:val="0"/>
        <w:spacing w:before="0" w:after="0"/>
        <w:jc w:val="center"/>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NU SKIN ENTERPRISES, INC.</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 xml:space="preserve">Consolidated Statements of </w:t>
      </w:r>
      <w:bookmarkStart w:id="11" w:name="CashFlows"/>
      <w:bookmarkEnd w:id="11"/>
      <w:r>
        <w:rPr>
          <w:rFonts w:ascii="Times New Roman" w:hAnsi="Times New Roman"/>
          <w:b/>
          <w:color w:val="000000"/>
          <w:sz w:val="20"/>
          <w:shd w:fill="FFFFFF" w:val="clear"/>
        </w:rPr>
        <w:t>Cash Flows (Unaudited)</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(U.S. dollars in thousands)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80"/>
        <w:gridCol w:w="90"/>
        <w:gridCol w:w="170"/>
        <w:gridCol w:w="905"/>
        <w:gridCol w:w="125"/>
        <w:gridCol w:w="90"/>
        <w:gridCol w:w="170"/>
        <w:gridCol w:w="905"/>
        <w:gridCol w:w="170"/>
      </w:tblGrid>
      <w:tr>
        <w:trPr/>
        <w:tc>
          <w:tcPr>
            <w:tcW w:w="758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36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Six Months Ended</w:t>
            </w:r>
          </w:p>
          <w:p>
            <w:pPr>
              <w:pStyle w:val="TableContents"/>
              <w:bidi w:val="0"/>
              <w:spacing w:before="0" w:after="0"/>
              <w:jc w:val="center"/>
              <w:rPr>
                <w:b/>
                <w:color w:val="000000"/>
              </w:rPr>
            </w:pPr>
            <w:r>
              <w:rPr>
                <w:b/>
                <w:color w:val="000000"/>
              </w:rPr>
              <w:t>June 30,</w:t>
            </w:r>
          </w:p>
        </w:tc>
        <w:tc>
          <w:tcPr>
            <w:tcW w:w="170" w:type="dxa"/>
            <w:tcBorders/>
            <w:vAlign w:val="bottom"/>
          </w:tcPr>
          <w:p>
            <w:pPr>
              <w:pStyle w:val="TableContents"/>
              <w:bidi w:val="0"/>
              <w:spacing w:before="0" w:after="283"/>
              <w:jc w:val="left"/>
              <w:rPr/>
            </w:pPr>
            <w:r>
              <w:rPr/>
              <w:t> </w:t>
            </w:r>
          </w:p>
        </w:tc>
      </w:tr>
      <w:tr>
        <w:trPr/>
        <w:tc>
          <w:tcPr>
            <w:tcW w:w="758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70" w:type="dxa"/>
            <w:tcBorders/>
            <w:vAlign w:val="bottom"/>
          </w:tcPr>
          <w:p>
            <w:pPr>
              <w:pStyle w:val="TableContents"/>
              <w:bidi w:val="0"/>
              <w:spacing w:before="0" w:after="283"/>
              <w:jc w:val="left"/>
              <w:rPr/>
            </w:pPr>
            <w:r>
              <w:rPr/>
              <w:t> </w:t>
            </w:r>
          </w:p>
        </w:tc>
      </w:tr>
      <w:tr>
        <w:trPr/>
        <w:tc>
          <w:tcPr>
            <w:tcW w:w="7580" w:type="dxa"/>
            <w:tcBorders/>
            <w:vAlign w:val="bottom"/>
          </w:tcPr>
          <w:p>
            <w:pPr>
              <w:pStyle w:val="TableContents"/>
              <w:bidi w:val="0"/>
              <w:spacing w:before="0" w:after="0"/>
              <w:jc w:val="left"/>
              <w:rPr>
                <w:color w:val="000000"/>
              </w:rPr>
            </w:pPr>
            <w:r>
              <w:rPr>
                <w:color w:val="000000"/>
              </w:rPr>
              <w:t>Cash flows from operating activities:</w:t>
            </w:r>
          </w:p>
        </w:tc>
        <w:tc>
          <w:tcPr>
            <w:tcW w:w="9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r>
      <w:tr>
        <w:trPr/>
        <w:tc>
          <w:tcPr>
            <w:tcW w:w="7580" w:type="dxa"/>
            <w:tcBorders/>
            <w:shd w:fill="CCEEFF" w:val="clear"/>
            <w:vAlign w:val="bottom"/>
          </w:tcPr>
          <w:p>
            <w:pPr>
              <w:pStyle w:val="TableContents"/>
              <w:bidi w:val="0"/>
              <w:spacing w:before="0" w:after="0"/>
              <w:ind w:left="180" w:right="0" w:hanging="0"/>
              <w:jc w:val="left"/>
              <w:rPr>
                <w:color w:val="000000"/>
              </w:rPr>
            </w:pPr>
            <w:r>
              <w:rPr>
                <w:color w:val="000000"/>
              </w:rPr>
              <w:t>Net income (loss)</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905" w:type="dxa"/>
            <w:tcBorders/>
            <w:shd w:fill="CCEEFF" w:val="clear"/>
            <w:vAlign w:val="bottom"/>
          </w:tcPr>
          <w:p>
            <w:pPr>
              <w:pStyle w:val="TableContents"/>
              <w:bidi w:val="0"/>
              <w:spacing w:before="0" w:after="0"/>
              <w:jc w:val="right"/>
              <w:rPr>
                <w:color w:val="000000"/>
              </w:rPr>
            </w:pPr>
            <w:r>
              <w:rPr>
                <w:color w:val="000000"/>
              </w:rPr>
              <w:t>(247,962</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905" w:type="dxa"/>
            <w:tcBorders/>
            <w:shd w:fill="CCEEFF" w:val="clear"/>
            <w:vAlign w:val="bottom"/>
          </w:tcPr>
          <w:p>
            <w:pPr>
              <w:pStyle w:val="TableContents"/>
              <w:bidi w:val="0"/>
              <w:spacing w:before="0" w:after="0"/>
              <w:jc w:val="right"/>
              <w:rPr>
                <w:color w:val="000000"/>
              </w:rPr>
            </w:pPr>
            <w:r>
              <w:rPr>
                <w:color w:val="000000"/>
              </w:rPr>
              <w:t>128,634</w:t>
            </w:r>
          </w:p>
        </w:tc>
        <w:tc>
          <w:tcPr>
            <w:tcW w:w="170" w:type="dxa"/>
            <w:tcBorders/>
            <w:shd w:fill="CCEEFF" w:val="clear"/>
            <w:vAlign w:val="bottom"/>
          </w:tcPr>
          <w:p>
            <w:pPr>
              <w:pStyle w:val="TableContents"/>
              <w:bidi w:val="0"/>
              <w:spacing w:before="0" w:after="283"/>
              <w:jc w:val="left"/>
              <w:rPr/>
            </w:pPr>
            <w:r>
              <w:rPr/>
              <w:t> </w:t>
            </w:r>
          </w:p>
        </w:tc>
      </w:tr>
      <w:tr>
        <w:trPr/>
        <w:tc>
          <w:tcPr>
            <w:tcW w:w="7580" w:type="dxa"/>
            <w:tcBorders/>
            <w:vAlign w:val="bottom"/>
          </w:tcPr>
          <w:p>
            <w:pPr>
              <w:pStyle w:val="TableContents"/>
              <w:bidi w:val="0"/>
              <w:spacing w:before="0" w:after="0"/>
              <w:ind w:left="180" w:right="0" w:hanging="0"/>
              <w:jc w:val="left"/>
              <w:rPr>
                <w:color w:val="000000"/>
              </w:rPr>
            </w:pPr>
            <w:r>
              <w:rPr>
                <w:color w:val="000000"/>
              </w:rPr>
              <w:t>Adjustments to reconcile net income to cash flows from operating activities:</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r>
      <w:tr>
        <w:trPr/>
        <w:tc>
          <w:tcPr>
            <w:tcW w:w="7580" w:type="dxa"/>
            <w:tcBorders/>
            <w:shd w:fill="CCEEFF" w:val="clear"/>
            <w:vAlign w:val="bottom"/>
          </w:tcPr>
          <w:p>
            <w:pPr>
              <w:pStyle w:val="TableContents"/>
              <w:bidi w:val="0"/>
              <w:spacing w:before="0" w:after="0"/>
              <w:ind w:left="360" w:right="0" w:hanging="0"/>
              <w:jc w:val="left"/>
              <w:rPr>
                <w:color w:val="000000"/>
              </w:rPr>
            </w:pPr>
            <w:r>
              <w:rPr>
                <w:color w:val="000000"/>
              </w:rPr>
              <w:t>Gain on sale of business</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(176,162</w:t>
            </w:r>
          </w:p>
        </w:tc>
        <w:tc>
          <w:tcPr>
            <w:tcW w:w="170" w:type="dxa"/>
            <w:tcBorders/>
            <w:shd w:fill="CCEEFF" w:val="clear"/>
            <w:vAlign w:val="bottom"/>
          </w:tcPr>
          <w:p>
            <w:pPr>
              <w:pStyle w:val="TableContents"/>
              <w:bidi w:val="0"/>
              <w:spacing w:before="0" w:after="0"/>
              <w:jc w:val="left"/>
              <w:rPr>
                <w:color w:val="000000"/>
              </w:rPr>
            </w:pPr>
            <w:r>
              <w:rPr>
                <w:color w:val="000000"/>
              </w:rPr>
              <w:t>)</w:t>
            </w:r>
          </w:p>
        </w:tc>
      </w:tr>
      <w:tr>
        <w:trPr/>
        <w:tc>
          <w:tcPr>
            <w:tcW w:w="7580" w:type="dxa"/>
            <w:tcBorders/>
            <w:vAlign w:val="bottom"/>
          </w:tcPr>
          <w:p>
            <w:pPr>
              <w:pStyle w:val="TableContents"/>
              <w:bidi w:val="0"/>
              <w:spacing w:before="0" w:after="0"/>
              <w:ind w:left="360" w:right="0" w:hanging="0"/>
              <w:jc w:val="left"/>
              <w:rPr>
                <w:color w:val="000000"/>
              </w:rPr>
            </w:pPr>
            <w:r>
              <w:rPr>
                <w:color w:val="000000"/>
              </w:rPr>
              <w:t>Impairment of goodwill, fixed assets and other intangibles</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80,714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25,114</w:t>
            </w:r>
          </w:p>
        </w:tc>
        <w:tc>
          <w:tcPr>
            <w:tcW w:w="170" w:type="dxa"/>
            <w:tcBorders/>
            <w:vAlign w:val="bottom"/>
          </w:tcPr>
          <w:p>
            <w:pPr>
              <w:pStyle w:val="TableContents"/>
              <w:bidi w:val="0"/>
              <w:spacing w:before="0" w:after="283"/>
              <w:jc w:val="left"/>
              <w:rPr/>
            </w:pPr>
            <w:r>
              <w:rPr/>
              <w:t> </w:t>
            </w:r>
          </w:p>
        </w:tc>
      </w:tr>
      <w:tr>
        <w:trPr/>
        <w:tc>
          <w:tcPr>
            <w:tcW w:w="7580" w:type="dxa"/>
            <w:tcBorders/>
            <w:shd w:fill="CCEEFF" w:val="clear"/>
            <w:vAlign w:val="bottom"/>
          </w:tcPr>
          <w:p>
            <w:pPr>
              <w:pStyle w:val="TableContents"/>
              <w:bidi w:val="0"/>
              <w:spacing w:before="0" w:after="0"/>
              <w:ind w:left="360" w:right="0" w:hanging="0"/>
              <w:jc w:val="left"/>
              <w:rPr>
                <w:color w:val="000000"/>
              </w:rPr>
            </w:pPr>
            <w:r>
              <w:rPr>
                <w:color w:val="000000"/>
              </w:rPr>
              <w:t>Unrealized losses on equity investments</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28,077</w:t>
            </w:r>
          </w:p>
        </w:tc>
        <w:tc>
          <w:tcPr>
            <w:tcW w:w="170" w:type="dxa"/>
            <w:tcBorders/>
            <w:shd w:fill="CCEEFF" w:val="clear"/>
            <w:vAlign w:val="bottom"/>
          </w:tcPr>
          <w:p>
            <w:pPr>
              <w:pStyle w:val="TableContents"/>
              <w:bidi w:val="0"/>
              <w:spacing w:before="0" w:after="283"/>
              <w:jc w:val="left"/>
              <w:rPr/>
            </w:pPr>
            <w:r>
              <w:rPr/>
              <w:t> </w:t>
            </w:r>
          </w:p>
        </w:tc>
      </w:tr>
      <w:tr>
        <w:trPr/>
        <w:tc>
          <w:tcPr>
            <w:tcW w:w="7580" w:type="dxa"/>
            <w:tcBorders/>
            <w:vAlign w:val="bottom"/>
          </w:tcPr>
          <w:p>
            <w:pPr>
              <w:pStyle w:val="TableContents"/>
              <w:bidi w:val="0"/>
              <w:spacing w:before="0" w:after="0"/>
              <w:ind w:left="360" w:right="0" w:hanging="0"/>
              <w:jc w:val="left"/>
              <w:rPr>
                <w:color w:val="000000"/>
              </w:rPr>
            </w:pPr>
            <w:r>
              <w:rPr>
                <w:color w:val="000000"/>
              </w:rPr>
              <w:t>Depreciation and amortization</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25,000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27,258</w:t>
            </w:r>
          </w:p>
        </w:tc>
        <w:tc>
          <w:tcPr>
            <w:tcW w:w="170" w:type="dxa"/>
            <w:tcBorders/>
            <w:vAlign w:val="bottom"/>
          </w:tcPr>
          <w:p>
            <w:pPr>
              <w:pStyle w:val="TableContents"/>
              <w:bidi w:val="0"/>
              <w:spacing w:before="0" w:after="283"/>
              <w:jc w:val="left"/>
              <w:rPr/>
            </w:pPr>
            <w:r>
              <w:rPr/>
              <w:t> </w:t>
            </w:r>
          </w:p>
        </w:tc>
      </w:tr>
      <w:tr>
        <w:trPr/>
        <w:tc>
          <w:tcPr>
            <w:tcW w:w="7580" w:type="dxa"/>
            <w:tcBorders/>
            <w:shd w:fill="CCEEFF" w:val="clear"/>
            <w:vAlign w:val="bottom"/>
          </w:tcPr>
          <w:p>
            <w:pPr>
              <w:pStyle w:val="TableContents"/>
              <w:bidi w:val="0"/>
              <w:spacing w:before="0" w:after="0"/>
              <w:ind w:left="360" w:right="0" w:hanging="0"/>
              <w:jc w:val="left"/>
              <w:rPr>
                <w:color w:val="000000"/>
              </w:rPr>
            </w:pPr>
            <w:r>
              <w:rPr>
                <w:color w:val="000000"/>
              </w:rPr>
              <w:t>Non-cash lease expense</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12,508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13,055</w:t>
            </w:r>
          </w:p>
        </w:tc>
        <w:tc>
          <w:tcPr>
            <w:tcW w:w="170" w:type="dxa"/>
            <w:tcBorders/>
            <w:shd w:fill="CCEEFF" w:val="clear"/>
            <w:vAlign w:val="bottom"/>
          </w:tcPr>
          <w:p>
            <w:pPr>
              <w:pStyle w:val="TableContents"/>
              <w:bidi w:val="0"/>
              <w:spacing w:before="0" w:after="283"/>
              <w:jc w:val="left"/>
              <w:rPr/>
            </w:pPr>
            <w:r>
              <w:rPr/>
              <w:t> </w:t>
            </w:r>
          </w:p>
        </w:tc>
      </w:tr>
      <w:tr>
        <w:trPr/>
        <w:tc>
          <w:tcPr>
            <w:tcW w:w="7580" w:type="dxa"/>
            <w:tcBorders/>
            <w:vAlign w:val="bottom"/>
          </w:tcPr>
          <w:p>
            <w:pPr>
              <w:pStyle w:val="TableContents"/>
              <w:bidi w:val="0"/>
              <w:spacing w:before="0" w:after="0"/>
              <w:ind w:left="360" w:right="0" w:hanging="0"/>
              <w:jc w:val="left"/>
              <w:rPr>
                <w:color w:val="000000"/>
              </w:rPr>
            </w:pPr>
            <w:r>
              <w:rPr>
                <w:color w:val="000000"/>
              </w:rPr>
              <w:t>Stock-based compensation</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4,812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15,126</w:t>
            </w:r>
          </w:p>
        </w:tc>
        <w:tc>
          <w:tcPr>
            <w:tcW w:w="170" w:type="dxa"/>
            <w:tcBorders/>
            <w:vAlign w:val="bottom"/>
          </w:tcPr>
          <w:p>
            <w:pPr>
              <w:pStyle w:val="TableContents"/>
              <w:bidi w:val="0"/>
              <w:spacing w:before="0" w:after="283"/>
              <w:jc w:val="left"/>
              <w:rPr/>
            </w:pPr>
            <w:r>
              <w:rPr/>
              <w:t> </w:t>
            </w:r>
          </w:p>
        </w:tc>
      </w:tr>
      <w:tr>
        <w:trPr/>
        <w:tc>
          <w:tcPr>
            <w:tcW w:w="7580" w:type="dxa"/>
            <w:tcBorders/>
            <w:shd w:fill="CCEEFF" w:val="clear"/>
            <w:vAlign w:val="bottom"/>
          </w:tcPr>
          <w:p>
            <w:pPr>
              <w:pStyle w:val="TableContents"/>
              <w:bidi w:val="0"/>
              <w:spacing w:before="0" w:after="0"/>
              <w:ind w:left="360" w:right="0" w:hanging="0"/>
              <w:jc w:val="left"/>
              <w:rPr>
                <w:color w:val="000000"/>
              </w:rPr>
            </w:pPr>
            <w:r>
              <w:rPr>
                <w:color w:val="000000"/>
              </w:rPr>
              <w:t>Inventory write-down</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6,130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5,800</w:t>
            </w:r>
          </w:p>
        </w:tc>
        <w:tc>
          <w:tcPr>
            <w:tcW w:w="170" w:type="dxa"/>
            <w:tcBorders/>
            <w:shd w:fill="CCEEFF" w:val="clear"/>
            <w:vAlign w:val="bottom"/>
          </w:tcPr>
          <w:p>
            <w:pPr>
              <w:pStyle w:val="TableContents"/>
              <w:bidi w:val="0"/>
              <w:spacing w:before="0" w:after="283"/>
              <w:jc w:val="left"/>
              <w:rPr/>
            </w:pPr>
            <w:r>
              <w:rPr/>
              <w:t> </w:t>
            </w:r>
          </w:p>
        </w:tc>
      </w:tr>
      <w:tr>
        <w:trPr/>
        <w:tc>
          <w:tcPr>
            <w:tcW w:w="7580" w:type="dxa"/>
            <w:tcBorders/>
            <w:vAlign w:val="bottom"/>
          </w:tcPr>
          <w:p>
            <w:pPr>
              <w:pStyle w:val="TableContents"/>
              <w:bidi w:val="0"/>
              <w:spacing w:before="0" w:after="0"/>
              <w:ind w:left="360" w:right="0" w:hanging="0"/>
              <w:jc w:val="left"/>
              <w:rPr>
                <w:color w:val="000000"/>
              </w:rPr>
            </w:pPr>
            <w:r>
              <w:rPr>
                <w:color w:val="000000"/>
              </w:rPr>
              <w:t>Foreign currency losses (gains)</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(254</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2,441</w:t>
            </w:r>
          </w:p>
        </w:tc>
        <w:tc>
          <w:tcPr>
            <w:tcW w:w="170" w:type="dxa"/>
            <w:tcBorders/>
            <w:vAlign w:val="bottom"/>
          </w:tcPr>
          <w:p>
            <w:pPr>
              <w:pStyle w:val="TableContents"/>
              <w:bidi w:val="0"/>
              <w:spacing w:before="0" w:after="283"/>
              <w:jc w:val="left"/>
              <w:rPr/>
            </w:pPr>
            <w:r>
              <w:rPr/>
              <w:t> </w:t>
            </w:r>
          </w:p>
        </w:tc>
      </w:tr>
      <w:tr>
        <w:trPr/>
        <w:tc>
          <w:tcPr>
            <w:tcW w:w="7580" w:type="dxa"/>
            <w:tcBorders/>
            <w:shd w:fill="CCEEFF" w:val="clear"/>
            <w:vAlign w:val="bottom"/>
          </w:tcPr>
          <w:p>
            <w:pPr>
              <w:pStyle w:val="TableContents"/>
              <w:bidi w:val="0"/>
              <w:spacing w:before="0" w:after="0"/>
              <w:ind w:left="360" w:right="0" w:hanging="0"/>
              <w:jc w:val="left"/>
              <w:rPr>
                <w:color w:val="000000"/>
              </w:rPr>
            </w:pPr>
            <w:r>
              <w:rPr>
                <w:color w:val="000000"/>
              </w:rPr>
              <w:t>Loss (gain) on disposal of assets</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293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(72</w:t>
            </w:r>
          </w:p>
        </w:tc>
        <w:tc>
          <w:tcPr>
            <w:tcW w:w="170" w:type="dxa"/>
            <w:tcBorders/>
            <w:shd w:fill="CCEEFF" w:val="clear"/>
            <w:vAlign w:val="bottom"/>
          </w:tcPr>
          <w:p>
            <w:pPr>
              <w:pStyle w:val="TableContents"/>
              <w:bidi w:val="0"/>
              <w:spacing w:before="0" w:after="0"/>
              <w:jc w:val="left"/>
              <w:rPr>
                <w:color w:val="000000"/>
              </w:rPr>
            </w:pPr>
            <w:r>
              <w:rPr>
                <w:color w:val="000000"/>
              </w:rPr>
              <w:t>)</w:t>
            </w:r>
          </w:p>
        </w:tc>
      </w:tr>
      <w:tr>
        <w:trPr/>
        <w:tc>
          <w:tcPr>
            <w:tcW w:w="7580" w:type="dxa"/>
            <w:tcBorders/>
            <w:vAlign w:val="bottom"/>
          </w:tcPr>
          <w:p>
            <w:pPr>
              <w:pStyle w:val="TableContents"/>
              <w:bidi w:val="0"/>
              <w:spacing w:before="0" w:after="0"/>
              <w:ind w:left="360" w:right="0" w:hanging="0"/>
              <w:jc w:val="left"/>
              <w:rPr>
                <w:color w:val="000000"/>
              </w:rPr>
            </w:pPr>
            <w:r>
              <w:rPr>
                <w:color w:val="000000"/>
              </w:rPr>
              <w:t>Deferred taxes</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165,952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(6,793</w:t>
            </w:r>
          </w:p>
        </w:tc>
        <w:tc>
          <w:tcPr>
            <w:tcW w:w="170" w:type="dxa"/>
            <w:tcBorders/>
            <w:vAlign w:val="bottom"/>
          </w:tcPr>
          <w:p>
            <w:pPr>
              <w:pStyle w:val="TableContents"/>
              <w:bidi w:val="0"/>
              <w:spacing w:before="0" w:after="0"/>
              <w:jc w:val="left"/>
              <w:rPr>
                <w:color w:val="000000"/>
              </w:rPr>
            </w:pPr>
            <w:r>
              <w:rPr>
                <w:color w:val="000000"/>
              </w:rPr>
              <w:t>)</w:t>
            </w:r>
          </w:p>
        </w:tc>
      </w:tr>
      <w:tr>
        <w:trPr/>
        <w:tc>
          <w:tcPr>
            <w:tcW w:w="7580" w:type="dxa"/>
            <w:tcBorders/>
            <w:shd w:fill="CCEEFF" w:val="clear"/>
            <w:vAlign w:val="bottom"/>
          </w:tcPr>
          <w:p>
            <w:pPr>
              <w:pStyle w:val="TableContents"/>
              <w:bidi w:val="0"/>
              <w:spacing w:before="0" w:after="0"/>
              <w:ind w:left="360" w:right="0" w:hanging="0"/>
              <w:jc w:val="left"/>
              <w:rPr>
                <w:color w:val="000000"/>
              </w:rPr>
            </w:pPr>
            <w:r>
              <w:rPr>
                <w:color w:val="000000"/>
              </w:rPr>
              <w:t>Changes in operating assets and liabilities:</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r>
      <w:tr>
        <w:trPr/>
        <w:tc>
          <w:tcPr>
            <w:tcW w:w="7580" w:type="dxa"/>
            <w:tcBorders/>
            <w:vAlign w:val="bottom"/>
          </w:tcPr>
          <w:p>
            <w:pPr>
              <w:pStyle w:val="TableContents"/>
              <w:bidi w:val="0"/>
              <w:spacing w:before="0" w:after="0"/>
              <w:ind w:left="540" w:right="0" w:hanging="0"/>
              <w:jc w:val="left"/>
              <w:rPr>
                <w:color w:val="000000"/>
              </w:rPr>
            </w:pPr>
            <w:r>
              <w:rPr>
                <w:color w:val="000000"/>
              </w:rPr>
              <w:t>Accounts receivable, net</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(10,007</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(8,660</w:t>
            </w:r>
          </w:p>
        </w:tc>
        <w:tc>
          <w:tcPr>
            <w:tcW w:w="170" w:type="dxa"/>
            <w:tcBorders/>
            <w:vAlign w:val="bottom"/>
          </w:tcPr>
          <w:p>
            <w:pPr>
              <w:pStyle w:val="TableContents"/>
              <w:bidi w:val="0"/>
              <w:spacing w:before="0" w:after="0"/>
              <w:jc w:val="left"/>
              <w:rPr>
                <w:color w:val="000000"/>
              </w:rPr>
            </w:pPr>
            <w:r>
              <w:rPr>
                <w:color w:val="000000"/>
              </w:rPr>
              <w:t>)</w:t>
            </w:r>
          </w:p>
        </w:tc>
      </w:tr>
      <w:tr>
        <w:trPr/>
        <w:tc>
          <w:tcPr>
            <w:tcW w:w="7580" w:type="dxa"/>
            <w:tcBorders/>
            <w:shd w:fill="CCEEFF" w:val="clear"/>
            <w:vAlign w:val="bottom"/>
          </w:tcPr>
          <w:p>
            <w:pPr>
              <w:pStyle w:val="TableContents"/>
              <w:bidi w:val="0"/>
              <w:spacing w:before="0" w:after="0"/>
              <w:ind w:left="540" w:right="0" w:hanging="0"/>
              <w:jc w:val="left"/>
              <w:rPr>
                <w:color w:val="000000"/>
              </w:rPr>
            </w:pPr>
            <w:r>
              <w:rPr>
                <w:color w:val="000000"/>
              </w:rPr>
              <w:t>Inventories, net</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(21,260</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10,909</w:t>
            </w:r>
          </w:p>
        </w:tc>
        <w:tc>
          <w:tcPr>
            <w:tcW w:w="170" w:type="dxa"/>
            <w:tcBorders/>
            <w:shd w:fill="CCEEFF" w:val="clear"/>
            <w:vAlign w:val="bottom"/>
          </w:tcPr>
          <w:p>
            <w:pPr>
              <w:pStyle w:val="TableContents"/>
              <w:bidi w:val="0"/>
              <w:spacing w:before="0" w:after="283"/>
              <w:jc w:val="left"/>
              <w:rPr/>
            </w:pPr>
            <w:r>
              <w:rPr/>
              <w:t> </w:t>
            </w:r>
          </w:p>
        </w:tc>
      </w:tr>
      <w:tr>
        <w:trPr/>
        <w:tc>
          <w:tcPr>
            <w:tcW w:w="7580" w:type="dxa"/>
            <w:tcBorders/>
            <w:vAlign w:val="bottom"/>
          </w:tcPr>
          <w:p>
            <w:pPr>
              <w:pStyle w:val="TableContents"/>
              <w:bidi w:val="0"/>
              <w:spacing w:before="0" w:after="0"/>
              <w:ind w:left="540" w:right="0" w:hanging="0"/>
              <w:jc w:val="left"/>
              <w:rPr>
                <w:color w:val="000000"/>
              </w:rPr>
            </w:pPr>
            <w:r>
              <w:rPr>
                <w:color w:val="000000"/>
              </w:rPr>
              <w:t>Prepaid expenses and other</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12,728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6,251</w:t>
            </w:r>
          </w:p>
        </w:tc>
        <w:tc>
          <w:tcPr>
            <w:tcW w:w="170" w:type="dxa"/>
            <w:tcBorders/>
            <w:vAlign w:val="bottom"/>
          </w:tcPr>
          <w:p>
            <w:pPr>
              <w:pStyle w:val="TableContents"/>
              <w:bidi w:val="0"/>
              <w:spacing w:before="0" w:after="283"/>
              <w:jc w:val="left"/>
              <w:rPr/>
            </w:pPr>
            <w:r>
              <w:rPr/>
              <w:t> </w:t>
            </w:r>
          </w:p>
        </w:tc>
      </w:tr>
      <w:tr>
        <w:trPr/>
        <w:tc>
          <w:tcPr>
            <w:tcW w:w="7580" w:type="dxa"/>
            <w:tcBorders/>
            <w:shd w:fill="CCEEFF" w:val="clear"/>
            <w:vAlign w:val="bottom"/>
          </w:tcPr>
          <w:p>
            <w:pPr>
              <w:pStyle w:val="TableContents"/>
              <w:bidi w:val="0"/>
              <w:spacing w:before="0" w:after="0"/>
              <w:ind w:left="540" w:right="0" w:hanging="0"/>
              <w:jc w:val="left"/>
              <w:rPr>
                <w:color w:val="000000"/>
              </w:rPr>
            </w:pPr>
            <w:r>
              <w:rPr>
                <w:color w:val="000000"/>
              </w:rPr>
              <w:t>Other assets</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(4,342</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(7,356</w:t>
            </w:r>
          </w:p>
        </w:tc>
        <w:tc>
          <w:tcPr>
            <w:tcW w:w="170" w:type="dxa"/>
            <w:tcBorders/>
            <w:shd w:fill="CCEEFF" w:val="clear"/>
            <w:vAlign w:val="bottom"/>
          </w:tcPr>
          <w:p>
            <w:pPr>
              <w:pStyle w:val="TableContents"/>
              <w:bidi w:val="0"/>
              <w:spacing w:before="0" w:after="0"/>
              <w:jc w:val="left"/>
              <w:rPr>
                <w:color w:val="000000"/>
              </w:rPr>
            </w:pPr>
            <w:r>
              <w:rPr>
                <w:color w:val="000000"/>
              </w:rPr>
              <w:t>)</w:t>
            </w:r>
          </w:p>
        </w:tc>
      </w:tr>
      <w:tr>
        <w:trPr/>
        <w:tc>
          <w:tcPr>
            <w:tcW w:w="7580" w:type="dxa"/>
            <w:tcBorders/>
            <w:vAlign w:val="bottom"/>
          </w:tcPr>
          <w:p>
            <w:pPr>
              <w:pStyle w:val="TableContents"/>
              <w:bidi w:val="0"/>
              <w:spacing w:before="0" w:after="0"/>
              <w:ind w:left="540" w:right="0" w:hanging="0"/>
              <w:jc w:val="left"/>
              <w:rPr>
                <w:color w:val="000000"/>
              </w:rPr>
            </w:pPr>
            <w:r>
              <w:rPr>
                <w:color w:val="000000"/>
              </w:rPr>
              <w:t>Accounts payable</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11,733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(6,824</w:t>
            </w:r>
          </w:p>
        </w:tc>
        <w:tc>
          <w:tcPr>
            <w:tcW w:w="170" w:type="dxa"/>
            <w:tcBorders/>
            <w:vAlign w:val="bottom"/>
          </w:tcPr>
          <w:p>
            <w:pPr>
              <w:pStyle w:val="TableContents"/>
              <w:bidi w:val="0"/>
              <w:spacing w:before="0" w:after="0"/>
              <w:jc w:val="left"/>
              <w:rPr>
                <w:color w:val="000000"/>
              </w:rPr>
            </w:pPr>
            <w:r>
              <w:rPr>
                <w:color w:val="000000"/>
              </w:rPr>
              <w:t>)</w:t>
            </w:r>
          </w:p>
        </w:tc>
      </w:tr>
      <w:tr>
        <w:trPr/>
        <w:tc>
          <w:tcPr>
            <w:tcW w:w="7580" w:type="dxa"/>
            <w:tcBorders/>
            <w:shd w:fill="CCEEFF" w:val="clear"/>
            <w:vAlign w:val="bottom"/>
          </w:tcPr>
          <w:p>
            <w:pPr>
              <w:pStyle w:val="TableContents"/>
              <w:bidi w:val="0"/>
              <w:spacing w:before="0" w:after="0"/>
              <w:ind w:left="540" w:right="0" w:hanging="0"/>
              <w:jc w:val="left"/>
              <w:rPr>
                <w:color w:val="000000"/>
              </w:rPr>
            </w:pPr>
            <w:r>
              <w:rPr>
                <w:color w:val="000000"/>
              </w:rPr>
              <w:t>Accrued expenses</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(30,326</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(20,334</w:t>
            </w:r>
          </w:p>
        </w:tc>
        <w:tc>
          <w:tcPr>
            <w:tcW w:w="170" w:type="dxa"/>
            <w:tcBorders/>
            <w:shd w:fill="CCEEFF" w:val="clear"/>
            <w:vAlign w:val="bottom"/>
          </w:tcPr>
          <w:p>
            <w:pPr>
              <w:pStyle w:val="TableContents"/>
              <w:bidi w:val="0"/>
              <w:spacing w:before="0" w:after="0"/>
              <w:jc w:val="left"/>
              <w:rPr>
                <w:color w:val="000000"/>
              </w:rPr>
            </w:pPr>
            <w:r>
              <w:rPr>
                <w:color w:val="000000"/>
              </w:rPr>
              <w:t>)</w:t>
            </w:r>
          </w:p>
        </w:tc>
      </w:tr>
      <w:tr>
        <w:trPr/>
        <w:tc>
          <w:tcPr>
            <w:tcW w:w="7580" w:type="dxa"/>
            <w:tcBorders/>
            <w:vAlign w:val="bottom"/>
          </w:tcPr>
          <w:p>
            <w:pPr>
              <w:pStyle w:val="TableContents"/>
              <w:bidi w:val="0"/>
              <w:spacing w:before="0" w:after="0"/>
              <w:ind w:left="540" w:right="0" w:hanging="0"/>
              <w:jc w:val="left"/>
              <w:rPr>
                <w:color w:val="000000"/>
              </w:rPr>
            </w:pPr>
            <w:r>
              <w:rPr>
                <w:color w:val="000000"/>
              </w:rPr>
              <w:t>Other liabilities</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987</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(280</w:t>
            </w:r>
          </w:p>
        </w:tc>
        <w:tc>
          <w:tcPr>
            <w:tcW w:w="170" w:type="dxa"/>
            <w:tcBorders/>
            <w:vAlign w:val="bottom"/>
          </w:tcPr>
          <w:p>
            <w:pPr>
              <w:pStyle w:val="TableContents"/>
              <w:bidi w:val="0"/>
              <w:spacing w:before="0" w:after="0"/>
              <w:jc w:val="left"/>
              <w:rPr>
                <w:color w:val="000000"/>
              </w:rPr>
            </w:pPr>
            <w:r>
              <w:rPr>
                <w:color w:val="000000"/>
              </w:rPr>
              <w:t>)</w:t>
            </w:r>
          </w:p>
        </w:tc>
      </w:tr>
      <w:tr>
        <w:trPr/>
        <w:tc>
          <w:tcPr>
            <w:tcW w:w="7580" w:type="dxa"/>
            <w:tcBorders/>
            <w:shd w:fill="CCEEFF" w:val="clear"/>
            <w:vAlign w:val="bottom"/>
          </w:tcPr>
          <w:p>
            <w:pPr>
              <w:pStyle w:val="TableContents"/>
              <w:bidi w:val="0"/>
              <w:spacing w:before="0" w:after="0"/>
              <w:ind w:left="180" w:right="0" w:hanging="0"/>
              <w:jc w:val="left"/>
              <w:rPr>
                <w:color w:val="000000"/>
              </w:rPr>
            </w:pPr>
            <w:r>
              <w:rPr>
                <w:color w:val="000000"/>
              </w:rPr>
              <w:t>Net cash provided by operating activities</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6,706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36,184</w:t>
            </w:r>
          </w:p>
        </w:tc>
        <w:tc>
          <w:tcPr>
            <w:tcW w:w="170" w:type="dxa"/>
            <w:tcBorders/>
            <w:shd w:fill="CCEEFF" w:val="clear"/>
            <w:vAlign w:val="bottom"/>
          </w:tcPr>
          <w:p>
            <w:pPr>
              <w:pStyle w:val="TableContents"/>
              <w:bidi w:val="0"/>
              <w:spacing w:before="0" w:after="283"/>
              <w:jc w:val="left"/>
              <w:rPr/>
            </w:pPr>
            <w:r>
              <w:rPr/>
              <w:t> </w:t>
            </w:r>
          </w:p>
        </w:tc>
      </w:tr>
      <w:tr>
        <w:trPr/>
        <w:tc>
          <w:tcPr>
            <w:tcW w:w="758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r>
      <w:tr>
        <w:trPr/>
        <w:tc>
          <w:tcPr>
            <w:tcW w:w="7580" w:type="dxa"/>
            <w:tcBorders/>
            <w:shd w:fill="CCEEFF" w:val="clear"/>
            <w:vAlign w:val="bottom"/>
          </w:tcPr>
          <w:p>
            <w:pPr>
              <w:pStyle w:val="TableContents"/>
              <w:bidi w:val="0"/>
              <w:spacing w:before="0" w:after="0"/>
              <w:jc w:val="left"/>
              <w:rPr>
                <w:color w:val="000000"/>
              </w:rPr>
            </w:pPr>
            <w:r>
              <w:rPr>
                <w:color w:val="000000"/>
              </w:rPr>
              <w:t>Cash flows from investing activities:</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r>
      <w:tr>
        <w:trPr/>
        <w:tc>
          <w:tcPr>
            <w:tcW w:w="7580" w:type="dxa"/>
            <w:tcBorders/>
            <w:vAlign w:val="bottom"/>
          </w:tcPr>
          <w:p>
            <w:pPr>
              <w:pStyle w:val="TableContents"/>
              <w:bidi w:val="0"/>
              <w:spacing w:before="0" w:after="0"/>
              <w:ind w:left="360" w:right="0" w:hanging="0"/>
              <w:jc w:val="left"/>
              <w:rPr>
                <w:color w:val="000000"/>
              </w:rPr>
            </w:pPr>
            <w:r>
              <w:rPr>
                <w:color w:val="000000"/>
              </w:rPr>
              <w:t>Purchases of property and equipment</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(19,352</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(13,602</w:t>
            </w:r>
          </w:p>
        </w:tc>
        <w:tc>
          <w:tcPr>
            <w:tcW w:w="170" w:type="dxa"/>
            <w:tcBorders/>
            <w:vAlign w:val="bottom"/>
          </w:tcPr>
          <w:p>
            <w:pPr>
              <w:pStyle w:val="TableContents"/>
              <w:bidi w:val="0"/>
              <w:spacing w:before="0" w:after="0"/>
              <w:jc w:val="left"/>
              <w:rPr>
                <w:color w:val="000000"/>
              </w:rPr>
            </w:pPr>
            <w:r>
              <w:rPr>
                <w:color w:val="000000"/>
              </w:rPr>
              <w:t>)</w:t>
            </w:r>
          </w:p>
        </w:tc>
      </w:tr>
      <w:tr>
        <w:trPr/>
        <w:tc>
          <w:tcPr>
            <w:tcW w:w="7580" w:type="dxa"/>
            <w:tcBorders/>
            <w:shd w:fill="CCEEFF" w:val="clear"/>
            <w:vAlign w:val="bottom"/>
          </w:tcPr>
          <w:p>
            <w:pPr>
              <w:pStyle w:val="TableContents"/>
              <w:bidi w:val="0"/>
              <w:spacing w:before="0" w:after="0"/>
              <w:ind w:left="360" w:right="0" w:hanging="0"/>
              <w:jc w:val="left"/>
              <w:rPr>
                <w:color w:val="000000"/>
              </w:rPr>
            </w:pPr>
            <w:r>
              <w:rPr>
                <w:color w:val="000000"/>
              </w:rPr>
              <w:t>Purchases of investments</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(573</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w:t>
            </w:r>
          </w:p>
        </w:tc>
        <w:tc>
          <w:tcPr>
            <w:tcW w:w="170" w:type="dxa"/>
            <w:tcBorders/>
            <w:shd w:fill="CCEEFF" w:val="clear"/>
            <w:vAlign w:val="bottom"/>
          </w:tcPr>
          <w:p>
            <w:pPr>
              <w:pStyle w:val="TableContents"/>
              <w:bidi w:val="0"/>
              <w:spacing w:before="0" w:after="283"/>
              <w:jc w:val="left"/>
              <w:rPr/>
            </w:pPr>
            <w:r>
              <w:rPr/>
              <w:t> </w:t>
            </w:r>
          </w:p>
        </w:tc>
      </w:tr>
      <w:tr>
        <w:trPr/>
        <w:tc>
          <w:tcPr>
            <w:tcW w:w="7580" w:type="dxa"/>
            <w:tcBorders/>
            <w:vAlign w:val="bottom"/>
          </w:tcPr>
          <w:p>
            <w:pPr>
              <w:pStyle w:val="TableContents"/>
              <w:bidi w:val="0"/>
              <w:spacing w:before="0" w:after="0"/>
              <w:ind w:left="360" w:right="0" w:hanging="0"/>
              <w:jc w:val="left"/>
              <w:rPr>
                <w:color w:val="000000"/>
              </w:rPr>
            </w:pPr>
            <w:r>
              <w:rPr>
                <w:color w:val="000000"/>
              </w:rPr>
              <w:t>Proceeds on investment sales</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10,214</w:t>
            </w:r>
          </w:p>
        </w:tc>
        <w:tc>
          <w:tcPr>
            <w:tcW w:w="170" w:type="dxa"/>
            <w:tcBorders/>
            <w:vAlign w:val="bottom"/>
          </w:tcPr>
          <w:p>
            <w:pPr>
              <w:pStyle w:val="TableContents"/>
              <w:bidi w:val="0"/>
              <w:spacing w:before="0" w:after="283"/>
              <w:jc w:val="left"/>
              <w:rPr/>
            </w:pPr>
            <w:r>
              <w:rPr/>
              <w:t> </w:t>
            </w:r>
          </w:p>
        </w:tc>
      </w:tr>
      <w:tr>
        <w:trPr/>
        <w:tc>
          <w:tcPr>
            <w:tcW w:w="7580" w:type="dxa"/>
            <w:tcBorders/>
            <w:shd w:fill="CCEEFF" w:val="clear"/>
            <w:vAlign w:val="bottom"/>
          </w:tcPr>
          <w:p>
            <w:pPr>
              <w:pStyle w:val="TableContents"/>
              <w:bidi w:val="0"/>
              <w:spacing w:before="0" w:after="0"/>
              <w:ind w:left="360" w:right="0" w:hanging="0"/>
              <w:jc w:val="left"/>
              <w:rPr>
                <w:color w:val="000000"/>
              </w:rPr>
            </w:pPr>
            <w:r>
              <w:rPr>
                <w:color w:val="000000"/>
              </w:rPr>
              <w:t>Proceeds from sale of business, net</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193,725</w:t>
            </w:r>
          </w:p>
        </w:tc>
        <w:tc>
          <w:tcPr>
            <w:tcW w:w="170" w:type="dxa"/>
            <w:tcBorders/>
            <w:shd w:fill="CCEEFF" w:val="clear"/>
            <w:vAlign w:val="bottom"/>
          </w:tcPr>
          <w:p>
            <w:pPr>
              <w:pStyle w:val="TableContents"/>
              <w:bidi w:val="0"/>
              <w:spacing w:before="0" w:after="283"/>
              <w:jc w:val="left"/>
              <w:rPr/>
            </w:pPr>
            <w:r>
              <w:rPr/>
              <w:t> </w:t>
            </w:r>
          </w:p>
        </w:tc>
      </w:tr>
      <w:tr>
        <w:trPr/>
        <w:tc>
          <w:tcPr>
            <w:tcW w:w="7580" w:type="dxa"/>
            <w:tcBorders/>
            <w:vAlign w:val="bottom"/>
          </w:tcPr>
          <w:p>
            <w:pPr>
              <w:pStyle w:val="TableContents"/>
              <w:bidi w:val="0"/>
              <w:spacing w:before="0" w:after="0"/>
              <w:ind w:left="180" w:right="0" w:hanging="0"/>
              <w:jc w:val="left"/>
              <w:rPr>
                <w:color w:val="000000"/>
              </w:rPr>
            </w:pPr>
            <w:r>
              <w:rPr>
                <w:color w:val="000000"/>
              </w:rPr>
              <w:t>Net cash (used in) provided by investing activities</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(19,925</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190,337</w:t>
            </w:r>
          </w:p>
        </w:tc>
        <w:tc>
          <w:tcPr>
            <w:tcW w:w="170" w:type="dxa"/>
            <w:tcBorders/>
            <w:vAlign w:val="bottom"/>
          </w:tcPr>
          <w:p>
            <w:pPr>
              <w:pStyle w:val="TableContents"/>
              <w:bidi w:val="0"/>
              <w:spacing w:before="0" w:after="283"/>
              <w:jc w:val="left"/>
              <w:rPr/>
            </w:pPr>
            <w:r>
              <w:rPr/>
              <w:t> </w:t>
            </w:r>
          </w:p>
        </w:tc>
      </w:tr>
      <w:tr>
        <w:trPr/>
        <w:tc>
          <w:tcPr>
            <w:tcW w:w="758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r>
      <w:tr>
        <w:trPr/>
        <w:tc>
          <w:tcPr>
            <w:tcW w:w="7580" w:type="dxa"/>
            <w:tcBorders/>
            <w:vAlign w:val="bottom"/>
          </w:tcPr>
          <w:p>
            <w:pPr>
              <w:pStyle w:val="TableContents"/>
              <w:bidi w:val="0"/>
              <w:spacing w:before="0" w:after="0"/>
              <w:jc w:val="left"/>
              <w:rPr>
                <w:color w:val="000000"/>
              </w:rPr>
            </w:pPr>
            <w:r>
              <w:rPr>
                <w:color w:val="000000"/>
              </w:rPr>
              <w:t>Cash flows from financing activities:</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r>
      <w:tr>
        <w:trPr/>
        <w:tc>
          <w:tcPr>
            <w:tcW w:w="7580" w:type="dxa"/>
            <w:tcBorders/>
            <w:shd w:fill="CCEEFF" w:val="clear"/>
            <w:vAlign w:val="bottom"/>
          </w:tcPr>
          <w:p>
            <w:pPr>
              <w:pStyle w:val="TableContents"/>
              <w:bidi w:val="0"/>
              <w:spacing w:before="0" w:after="0"/>
              <w:ind w:left="540" w:right="0" w:hanging="180"/>
              <w:jc w:val="left"/>
              <w:rPr>
                <w:color w:val="000000"/>
              </w:rPr>
            </w:pPr>
            <w:r>
              <w:rPr>
                <w:color w:val="000000"/>
              </w:rPr>
              <w:t>Exercise of employee stock options and taxes paid related to the net shares settlement of stock awards</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(4,136</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(1,142</w:t>
            </w:r>
          </w:p>
        </w:tc>
        <w:tc>
          <w:tcPr>
            <w:tcW w:w="170" w:type="dxa"/>
            <w:tcBorders/>
            <w:shd w:fill="CCEEFF" w:val="clear"/>
            <w:vAlign w:val="bottom"/>
          </w:tcPr>
          <w:p>
            <w:pPr>
              <w:pStyle w:val="TableContents"/>
              <w:bidi w:val="0"/>
              <w:spacing w:before="0" w:after="0"/>
              <w:jc w:val="left"/>
              <w:rPr>
                <w:color w:val="000000"/>
              </w:rPr>
            </w:pPr>
            <w:r>
              <w:rPr>
                <w:color w:val="000000"/>
              </w:rPr>
              <w:t>)</w:t>
            </w:r>
          </w:p>
        </w:tc>
      </w:tr>
      <w:tr>
        <w:trPr/>
        <w:tc>
          <w:tcPr>
            <w:tcW w:w="7580" w:type="dxa"/>
            <w:tcBorders/>
            <w:vAlign w:val="bottom"/>
          </w:tcPr>
          <w:p>
            <w:pPr>
              <w:pStyle w:val="TableContents"/>
              <w:bidi w:val="0"/>
              <w:spacing w:before="0" w:after="0"/>
              <w:ind w:left="360" w:right="0" w:hanging="0"/>
              <w:jc w:val="left"/>
              <w:rPr>
                <w:color w:val="000000"/>
              </w:rPr>
            </w:pPr>
            <w:r>
              <w:rPr>
                <w:color w:val="000000"/>
              </w:rPr>
              <w:t>Payment of cash dividends</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(5,786</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(5,966</w:t>
            </w:r>
          </w:p>
        </w:tc>
        <w:tc>
          <w:tcPr>
            <w:tcW w:w="170" w:type="dxa"/>
            <w:tcBorders/>
            <w:vAlign w:val="bottom"/>
          </w:tcPr>
          <w:p>
            <w:pPr>
              <w:pStyle w:val="TableContents"/>
              <w:bidi w:val="0"/>
              <w:spacing w:before="0" w:after="0"/>
              <w:jc w:val="left"/>
              <w:rPr>
                <w:color w:val="000000"/>
              </w:rPr>
            </w:pPr>
            <w:r>
              <w:rPr>
                <w:color w:val="000000"/>
              </w:rPr>
              <w:t>)</w:t>
            </w:r>
          </w:p>
        </w:tc>
      </w:tr>
      <w:tr>
        <w:trPr/>
        <w:tc>
          <w:tcPr>
            <w:tcW w:w="7580" w:type="dxa"/>
            <w:tcBorders/>
            <w:shd w:fill="CCEEFF" w:val="clear"/>
            <w:vAlign w:val="bottom"/>
          </w:tcPr>
          <w:p>
            <w:pPr>
              <w:pStyle w:val="TableContents"/>
              <w:bidi w:val="0"/>
              <w:spacing w:before="0" w:after="0"/>
              <w:ind w:left="360" w:right="0" w:hanging="0"/>
              <w:jc w:val="left"/>
              <w:rPr>
                <w:color w:val="000000"/>
              </w:rPr>
            </w:pPr>
            <w:r>
              <w:rPr>
                <w:color w:val="000000"/>
              </w:rPr>
              <w:t>Repurchases of shares of common stock</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(5,011</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(5,012</w:t>
            </w:r>
          </w:p>
        </w:tc>
        <w:tc>
          <w:tcPr>
            <w:tcW w:w="170" w:type="dxa"/>
            <w:tcBorders/>
            <w:shd w:fill="CCEEFF" w:val="clear"/>
            <w:vAlign w:val="bottom"/>
          </w:tcPr>
          <w:p>
            <w:pPr>
              <w:pStyle w:val="TableContents"/>
              <w:bidi w:val="0"/>
              <w:spacing w:before="0" w:after="0"/>
              <w:jc w:val="left"/>
              <w:rPr>
                <w:color w:val="000000"/>
              </w:rPr>
            </w:pPr>
            <w:r>
              <w:rPr>
                <w:color w:val="000000"/>
              </w:rPr>
              <w:t>)</w:t>
            </w:r>
          </w:p>
        </w:tc>
      </w:tr>
      <w:tr>
        <w:trPr/>
        <w:tc>
          <w:tcPr>
            <w:tcW w:w="7580" w:type="dxa"/>
            <w:tcBorders/>
            <w:vAlign w:val="bottom"/>
          </w:tcPr>
          <w:p>
            <w:pPr>
              <w:pStyle w:val="TableContents"/>
              <w:bidi w:val="0"/>
              <w:spacing w:before="0" w:after="0"/>
              <w:ind w:left="360" w:right="0" w:hanging="0"/>
              <w:jc w:val="left"/>
              <w:rPr>
                <w:color w:val="000000"/>
              </w:rPr>
            </w:pPr>
            <w:r>
              <w:rPr>
                <w:color w:val="000000"/>
              </w:rPr>
              <w:t>Finance lease principal payments</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(978</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(1,120</w:t>
            </w:r>
          </w:p>
        </w:tc>
        <w:tc>
          <w:tcPr>
            <w:tcW w:w="170" w:type="dxa"/>
            <w:tcBorders/>
            <w:vAlign w:val="bottom"/>
          </w:tcPr>
          <w:p>
            <w:pPr>
              <w:pStyle w:val="TableContents"/>
              <w:bidi w:val="0"/>
              <w:spacing w:before="0" w:after="0"/>
              <w:jc w:val="left"/>
              <w:rPr>
                <w:color w:val="000000"/>
              </w:rPr>
            </w:pPr>
            <w:r>
              <w:rPr>
                <w:color w:val="000000"/>
              </w:rPr>
              <w:t>)</w:t>
            </w:r>
          </w:p>
        </w:tc>
      </w:tr>
      <w:tr>
        <w:trPr/>
        <w:tc>
          <w:tcPr>
            <w:tcW w:w="7580" w:type="dxa"/>
            <w:tcBorders/>
            <w:shd w:fill="CCEEFF" w:val="clear"/>
            <w:vAlign w:val="bottom"/>
          </w:tcPr>
          <w:p>
            <w:pPr>
              <w:pStyle w:val="TableContents"/>
              <w:bidi w:val="0"/>
              <w:spacing w:before="0" w:after="0"/>
              <w:ind w:left="360" w:right="0" w:hanging="0"/>
              <w:jc w:val="left"/>
              <w:rPr>
                <w:color w:val="000000"/>
              </w:rPr>
            </w:pPr>
            <w:r>
              <w:rPr>
                <w:color w:val="000000"/>
              </w:rPr>
              <w:t>Proceeds from debt</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225,000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15,000</w:t>
            </w:r>
          </w:p>
        </w:tc>
        <w:tc>
          <w:tcPr>
            <w:tcW w:w="170" w:type="dxa"/>
            <w:tcBorders/>
            <w:shd w:fill="CCEEFF" w:val="clear"/>
            <w:vAlign w:val="bottom"/>
          </w:tcPr>
          <w:p>
            <w:pPr>
              <w:pStyle w:val="TableContents"/>
              <w:bidi w:val="0"/>
              <w:spacing w:before="0" w:after="283"/>
              <w:jc w:val="left"/>
              <w:rPr/>
            </w:pPr>
            <w:r>
              <w:rPr/>
              <w:t> </w:t>
            </w:r>
          </w:p>
        </w:tc>
      </w:tr>
      <w:tr>
        <w:trPr/>
        <w:tc>
          <w:tcPr>
            <w:tcW w:w="7580" w:type="dxa"/>
            <w:tcBorders/>
            <w:vAlign w:val="bottom"/>
          </w:tcPr>
          <w:p>
            <w:pPr>
              <w:pStyle w:val="TableContents"/>
              <w:bidi w:val="0"/>
              <w:spacing w:before="0" w:after="0"/>
              <w:ind w:left="360" w:right="0" w:hanging="0"/>
              <w:jc w:val="left"/>
              <w:rPr>
                <w:color w:val="000000"/>
              </w:rPr>
            </w:pPr>
            <w:r>
              <w:rPr>
                <w:color w:val="000000"/>
              </w:rPr>
              <w:t>Payments of debt</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(235,000</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(160,000</w:t>
            </w:r>
          </w:p>
        </w:tc>
        <w:tc>
          <w:tcPr>
            <w:tcW w:w="170" w:type="dxa"/>
            <w:tcBorders/>
            <w:vAlign w:val="bottom"/>
          </w:tcPr>
          <w:p>
            <w:pPr>
              <w:pStyle w:val="TableContents"/>
              <w:bidi w:val="0"/>
              <w:spacing w:before="0" w:after="0"/>
              <w:jc w:val="left"/>
              <w:rPr>
                <w:color w:val="000000"/>
              </w:rPr>
            </w:pPr>
            <w:r>
              <w:rPr>
                <w:color w:val="000000"/>
              </w:rPr>
              <w:t>)</w:t>
            </w:r>
          </w:p>
        </w:tc>
      </w:tr>
      <w:tr>
        <w:trPr/>
        <w:tc>
          <w:tcPr>
            <w:tcW w:w="7580" w:type="dxa"/>
            <w:tcBorders/>
            <w:shd w:fill="CCEEFF" w:val="clear"/>
            <w:vAlign w:val="bottom"/>
          </w:tcPr>
          <w:p>
            <w:pPr>
              <w:pStyle w:val="TableContents"/>
              <w:bidi w:val="0"/>
              <w:spacing w:before="0" w:after="0"/>
              <w:ind w:left="360" w:right="0" w:hanging="0"/>
              <w:jc w:val="left"/>
              <w:rPr>
                <w:color w:val="000000"/>
              </w:rPr>
            </w:pPr>
            <w:r>
              <w:rPr>
                <w:color w:val="000000"/>
              </w:rPr>
              <w:t>Payment of debt issuance costs</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(1,369</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w:t>
            </w:r>
          </w:p>
        </w:tc>
        <w:tc>
          <w:tcPr>
            <w:tcW w:w="170" w:type="dxa"/>
            <w:tcBorders/>
            <w:shd w:fill="CCEEFF" w:val="clear"/>
            <w:vAlign w:val="bottom"/>
          </w:tcPr>
          <w:p>
            <w:pPr>
              <w:pStyle w:val="TableContents"/>
              <w:bidi w:val="0"/>
              <w:spacing w:before="0" w:after="283"/>
              <w:jc w:val="left"/>
              <w:rPr/>
            </w:pPr>
            <w:r>
              <w:rPr/>
              <w:t> </w:t>
            </w:r>
          </w:p>
        </w:tc>
      </w:tr>
      <w:tr>
        <w:trPr/>
        <w:tc>
          <w:tcPr>
            <w:tcW w:w="7580" w:type="dxa"/>
            <w:tcBorders/>
            <w:vAlign w:val="bottom"/>
          </w:tcPr>
          <w:p>
            <w:pPr>
              <w:pStyle w:val="TableContents"/>
              <w:bidi w:val="0"/>
              <w:spacing w:before="0" w:after="0"/>
              <w:ind w:left="360" w:right="0" w:hanging="0"/>
              <w:jc w:val="left"/>
              <w:rPr>
                <w:color w:val="000000"/>
              </w:rPr>
            </w:pPr>
            <w:r>
              <w:rPr>
                <w:color w:val="000000"/>
              </w:rPr>
              <w:t>Purchase of noncontrolling interest</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(6,500</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(1,498</w:t>
            </w:r>
          </w:p>
        </w:tc>
        <w:tc>
          <w:tcPr>
            <w:tcW w:w="170" w:type="dxa"/>
            <w:tcBorders/>
            <w:vAlign w:val="bottom"/>
          </w:tcPr>
          <w:p>
            <w:pPr>
              <w:pStyle w:val="TableContents"/>
              <w:bidi w:val="0"/>
              <w:spacing w:before="0" w:after="283"/>
              <w:jc w:val="left"/>
              <w:rPr/>
            </w:pPr>
            <w:r>
              <w:rPr/>
              <w:t>)</w:t>
            </w:r>
          </w:p>
        </w:tc>
      </w:tr>
      <w:tr>
        <w:trPr/>
        <w:tc>
          <w:tcPr>
            <w:tcW w:w="7580" w:type="dxa"/>
            <w:tcBorders/>
            <w:shd w:fill="CCEEFF" w:val="clear"/>
            <w:vAlign w:val="bottom"/>
          </w:tcPr>
          <w:p>
            <w:pPr>
              <w:pStyle w:val="TableContents"/>
              <w:bidi w:val="0"/>
              <w:spacing w:before="0" w:after="0"/>
              <w:ind w:left="360" w:right="0" w:hanging="0"/>
              <w:jc w:val="left"/>
              <w:rPr/>
            </w:pPr>
            <w:r>
              <w:rPr/>
              <w:t>Other, net</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bottom"/>
          </w:tcPr>
          <w:p>
            <w:pPr>
              <w:pStyle w:val="TableContents"/>
              <w:bidi w:val="0"/>
              <w:spacing w:before="0" w:after="283"/>
              <w:jc w:val="right"/>
              <w:rPr/>
            </w:pPr>
            <w:r>
              <w:rPr/>
              <w:t>2,711</w:t>
            </w:r>
          </w:p>
        </w:tc>
        <w:tc>
          <w:tcPr>
            <w:tcW w:w="170" w:type="dxa"/>
            <w:tcBorders/>
            <w:shd w:fill="CCEEFF" w:val="clear"/>
            <w:vAlign w:val="bottom"/>
          </w:tcPr>
          <w:p>
            <w:pPr>
              <w:pStyle w:val="TableContents"/>
              <w:bidi w:val="0"/>
              <w:spacing w:before="0" w:after="283"/>
              <w:jc w:val="left"/>
              <w:rPr/>
            </w:pPr>
            <w:r>
              <w:rPr/>
              <w:t> </w:t>
            </w:r>
          </w:p>
        </w:tc>
      </w:tr>
      <w:tr>
        <w:trPr/>
        <w:tc>
          <w:tcPr>
            <w:tcW w:w="7580" w:type="dxa"/>
            <w:tcBorders/>
            <w:vAlign w:val="bottom"/>
          </w:tcPr>
          <w:p>
            <w:pPr>
              <w:pStyle w:val="TableContents"/>
              <w:bidi w:val="0"/>
              <w:spacing w:before="0" w:after="0"/>
              <w:ind w:left="180" w:right="0" w:hanging="0"/>
              <w:jc w:val="left"/>
              <w:rPr>
                <w:color w:val="000000"/>
              </w:rPr>
            </w:pPr>
            <w:r>
              <w:rPr>
                <w:color w:val="000000"/>
              </w:rPr>
              <w:t>Net cash used in financing activities</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(33,780</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(157,027</w:t>
            </w:r>
          </w:p>
        </w:tc>
        <w:tc>
          <w:tcPr>
            <w:tcW w:w="170" w:type="dxa"/>
            <w:tcBorders/>
            <w:vAlign w:val="bottom"/>
          </w:tcPr>
          <w:p>
            <w:pPr>
              <w:pStyle w:val="TableContents"/>
              <w:bidi w:val="0"/>
              <w:spacing w:before="0" w:after="0"/>
              <w:jc w:val="left"/>
              <w:rPr>
                <w:color w:val="000000"/>
              </w:rPr>
            </w:pPr>
            <w:r>
              <w:rPr>
                <w:color w:val="000000"/>
              </w:rPr>
              <w:t>)</w:t>
            </w:r>
          </w:p>
        </w:tc>
      </w:tr>
      <w:tr>
        <w:trPr/>
        <w:tc>
          <w:tcPr>
            <w:tcW w:w="758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r>
      <w:tr>
        <w:trPr/>
        <w:tc>
          <w:tcPr>
            <w:tcW w:w="7580" w:type="dxa"/>
            <w:tcBorders/>
            <w:vAlign w:val="bottom"/>
          </w:tcPr>
          <w:p>
            <w:pPr>
              <w:pStyle w:val="TableContents"/>
              <w:bidi w:val="0"/>
              <w:spacing w:before="0" w:after="0"/>
              <w:jc w:val="left"/>
              <w:rPr>
                <w:color w:val="000000"/>
              </w:rPr>
            </w:pPr>
            <w:r>
              <w:rPr>
                <w:color w:val="000000"/>
              </w:rPr>
              <w:t>Effect of exchange rate changes on cash</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(1,988</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7,782</w:t>
            </w:r>
          </w:p>
        </w:tc>
        <w:tc>
          <w:tcPr>
            <w:tcW w:w="170" w:type="dxa"/>
            <w:tcBorders/>
            <w:vAlign w:val="bottom"/>
          </w:tcPr>
          <w:p>
            <w:pPr>
              <w:pStyle w:val="TableContents"/>
              <w:bidi w:val="0"/>
              <w:spacing w:before="0" w:after="283"/>
              <w:jc w:val="left"/>
              <w:rPr/>
            </w:pPr>
            <w:r>
              <w:rPr/>
              <w:t> </w:t>
            </w:r>
          </w:p>
        </w:tc>
      </w:tr>
      <w:tr>
        <w:trPr/>
        <w:tc>
          <w:tcPr>
            <w:tcW w:w="758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r>
      <w:tr>
        <w:trPr/>
        <w:tc>
          <w:tcPr>
            <w:tcW w:w="7580" w:type="dxa"/>
            <w:tcBorders/>
            <w:vAlign w:val="bottom"/>
          </w:tcPr>
          <w:p>
            <w:pPr>
              <w:pStyle w:val="TableContents"/>
              <w:bidi w:val="0"/>
              <w:spacing w:before="0" w:after="0"/>
              <w:jc w:val="left"/>
              <w:rPr>
                <w:color w:val="000000"/>
              </w:rPr>
            </w:pPr>
            <w:r>
              <w:rPr>
                <w:color w:val="000000"/>
              </w:rPr>
              <w:t>Net (decrease) increase in cash and cash equivalents</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(48,987</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77,276</w:t>
            </w:r>
          </w:p>
        </w:tc>
        <w:tc>
          <w:tcPr>
            <w:tcW w:w="170" w:type="dxa"/>
            <w:tcBorders/>
            <w:vAlign w:val="bottom"/>
          </w:tcPr>
          <w:p>
            <w:pPr>
              <w:pStyle w:val="TableContents"/>
              <w:bidi w:val="0"/>
              <w:spacing w:before="0" w:after="283"/>
              <w:jc w:val="left"/>
              <w:rPr/>
            </w:pPr>
            <w:r>
              <w:rPr/>
              <w:t> </w:t>
            </w:r>
          </w:p>
        </w:tc>
      </w:tr>
      <w:tr>
        <w:trPr/>
        <w:tc>
          <w:tcPr>
            <w:tcW w:w="758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r>
      <w:tr>
        <w:trPr/>
        <w:tc>
          <w:tcPr>
            <w:tcW w:w="7580" w:type="dxa"/>
            <w:tcBorders/>
            <w:vAlign w:val="bottom"/>
          </w:tcPr>
          <w:p>
            <w:pPr>
              <w:pStyle w:val="TableContents"/>
              <w:bidi w:val="0"/>
              <w:spacing w:before="0" w:after="0"/>
              <w:jc w:val="left"/>
              <w:rPr>
                <w:color w:val="000000"/>
              </w:rPr>
            </w:pPr>
            <w:r>
              <w:rPr>
                <w:color w:val="000000"/>
              </w:rPr>
              <w:t>Cash and cash equivalents, beginning of period</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238,630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186,883</w:t>
            </w:r>
          </w:p>
        </w:tc>
        <w:tc>
          <w:tcPr>
            <w:tcW w:w="170" w:type="dxa"/>
            <w:tcBorders/>
            <w:vAlign w:val="bottom"/>
          </w:tcPr>
          <w:p>
            <w:pPr>
              <w:pStyle w:val="TableContents"/>
              <w:bidi w:val="0"/>
              <w:spacing w:before="0" w:after="283"/>
              <w:jc w:val="left"/>
              <w:rPr/>
            </w:pPr>
            <w:r>
              <w:rPr/>
              <w:t> </w:t>
            </w:r>
          </w:p>
        </w:tc>
      </w:tr>
      <w:tr>
        <w:trPr/>
        <w:tc>
          <w:tcPr>
            <w:tcW w:w="758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r>
      <w:tr>
        <w:trPr/>
        <w:tc>
          <w:tcPr>
            <w:tcW w:w="7580" w:type="dxa"/>
            <w:tcBorders/>
            <w:vAlign w:val="bottom"/>
          </w:tcPr>
          <w:p>
            <w:pPr>
              <w:pStyle w:val="TableContents"/>
              <w:bidi w:val="0"/>
              <w:spacing w:before="0" w:after="0"/>
              <w:jc w:val="left"/>
              <w:rPr>
                <w:color w:val="000000"/>
              </w:rPr>
            </w:pPr>
            <w:r>
              <w:rPr>
                <w:color w:val="000000"/>
              </w:rPr>
              <w:t>Cash and cash equivalents, end of period</w:t>
            </w:r>
          </w:p>
        </w:tc>
        <w:tc>
          <w:tcPr>
            <w:tcW w:w="90" w:type="dxa"/>
            <w:tcBorders/>
            <w:vAlign w:val="bottom"/>
          </w:tcPr>
          <w:p>
            <w:pPr>
              <w:pStyle w:val="TableContents"/>
              <w:bidi w:val="0"/>
              <w:spacing w:before="0" w:after="283"/>
              <w:jc w:val="righ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0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189,643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90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264,159</w:t>
            </w:r>
          </w:p>
        </w:tc>
        <w:tc>
          <w:tcPr>
            <w:tcW w:w="17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The accompanying notes are an integral part of these consolidated financial statements.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NU SKIN ENTERPRISES, INC.</w:t>
      </w:r>
    </w:p>
    <w:p>
      <w:pPr>
        <w:pStyle w:val="TextBody"/>
        <w:bidi w:val="0"/>
        <w:spacing w:before="0" w:after="0"/>
        <w:jc w:val="left"/>
        <w:rPr>
          <w:rFonts w:ascii="Times New Roman" w:hAnsi="Times New Roman"/>
          <w:color w:val="000000"/>
          <w:sz w:val="20"/>
          <w:shd w:fill="FFFFFF" w:val="clear"/>
        </w:rPr>
      </w:pPr>
      <w:bookmarkStart w:id="12" w:name="Notes"/>
      <w:bookmarkEnd w:id="12"/>
      <w:r>
        <w:rPr>
          <w:rFonts w:ascii="Times New Roman" w:hAnsi="Times New Roman"/>
          <w:color w:val="000000"/>
          <w:sz w:val="20"/>
          <w:shd w:fill="FFFFFF" w:val="clear"/>
        </w:rPr>
        <w:t>Notes to Consolidated Financial Statements</w:t>
      </w:r>
    </w:p>
    <w:p>
      <w:pPr>
        <w:pStyle w:val="TextBody"/>
        <w:bidi w:val="0"/>
        <w:spacing w:before="0" w:after="0"/>
        <w:jc w:val="left"/>
        <w:rPr/>
      </w:pPr>
      <w:r>
        <w:rPr/>
      </w:r>
    </w:p>
    <w:tbl>
      <w:tblPr>
        <w:tblW w:w="1810" w:type="dxa"/>
        <w:jc w:val="left"/>
        <w:tblInd w:w="0" w:type="dxa"/>
        <w:tblLayout w:type="fixed"/>
        <w:tblCellMar>
          <w:top w:w="0" w:type="dxa"/>
          <w:left w:w="0" w:type="dxa"/>
          <w:bottom w:w="0" w:type="dxa"/>
          <w:right w:w="0" w:type="dxa"/>
        </w:tblCellMar>
      </w:tblPr>
      <w:tblGrid>
        <w:gridCol w:w="245"/>
        <w:gridCol w:w="1565"/>
      </w:tblGrid>
      <w:tr>
        <w:trPr/>
        <w:tc>
          <w:tcPr>
            <w:tcW w:w="245" w:type="dxa"/>
            <w:tcBorders/>
            <w:vAlign w:val="center"/>
          </w:tcPr>
          <w:p>
            <w:pPr>
              <w:pStyle w:val="TableContents"/>
              <w:bidi w:val="0"/>
              <w:spacing w:before="0" w:after="283"/>
              <w:jc w:val="left"/>
              <w:rPr>
                <w:b/>
              </w:rPr>
            </w:pPr>
            <w:r>
              <w:rPr>
                <w:b/>
              </w:rPr>
              <w:t>1.</w:t>
            </w:r>
          </w:p>
        </w:tc>
        <w:tc>
          <w:tcPr>
            <w:tcW w:w="1565" w:type="dxa"/>
            <w:tcBorders/>
            <w:vAlign w:val="center"/>
          </w:tcPr>
          <w:p>
            <w:pPr>
              <w:pStyle w:val="TableContents"/>
              <w:bidi w:val="0"/>
              <w:spacing w:before="0" w:after="0"/>
              <w:jc w:val="left"/>
              <w:rPr>
                <w:b/>
              </w:rPr>
            </w:pPr>
            <w:r>
              <w:rPr>
                <w:b/>
              </w:rPr>
              <w:t>The Company</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Nu Skin Enterprises, Inc. (the “Company”) is a holding company, with Nu Skin being the primary operating unit. Nu Skin develops and distributes premium-quality, innovative beauty and wellness products that are sold worldwide. The Company reports revenue from nine segments, consisting of its seven geographic Nu Skin segments—Americas, which includes Canada, Latin America and the United States; Southeast Asia/Pacific, which includes Indonesia, Malaysia, the Philippines, Singapore, Thailand, Vietnam, Australia, New Zealand, and other markets; Mainland China; Japan; Europe and Africa, which includes markets in Europe as well as South Africa; South Korea; and Hong Kong/Taiwan, which also includes Macau—and two Rhyz segments—Manufacturing, which includes manufacturing and packaging subsidiaries it has acquired; and Rhyz Other, which includes other investments by its Rhyz strategic investment arm (the Company’s subsidiaries operating within each segment are collectively referred to as the “Subsidiaries”). During the fourth quarter of 2025, the Company began pre-market activities in India, setting the operational foundation and infrastructure ahead of a full market opening anticipated in the first half of 2027. This market’s financial results, which are included in the Southeast Asia/Pacific segment in this report, were insignificant for the second quarter and first half of 2026.</w:t>
      </w:r>
    </w:p>
    <w:p>
      <w:pPr>
        <w:pStyle w:val="TextBody"/>
        <w:bidi w:val="0"/>
        <w:spacing w:before="0" w:after="0"/>
        <w:jc w:val="left"/>
        <w:rPr/>
      </w:pPr>
      <w:r>
        <w:rPr/>
      </w:r>
    </w:p>
    <w:tbl>
      <w:tblPr>
        <w:tblW w:w="4780" w:type="dxa"/>
        <w:jc w:val="left"/>
        <w:tblInd w:w="0" w:type="dxa"/>
        <w:tblLayout w:type="fixed"/>
        <w:tblCellMar>
          <w:top w:w="0" w:type="dxa"/>
          <w:left w:w="0" w:type="dxa"/>
          <w:bottom w:w="0" w:type="dxa"/>
          <w:right w:w="0" w:type="dxa"/>
        </w:tblCellMar>
      </w:tblPr>
      <w:tblGrid>
        <w:gridCol w:w="245"/>
        <w:gridCol w:w="4535"/>
      </w:tblGrid>
      <w:tr>
        <w:trPr/>
        <w:tc>
          <w:tcPr>
            <w:tcW w:w="245" w:type="dxa"/>
            <w:tcBorders/>
            <w:vAlign w:val="center"/>
          </w:tcPr>
          <w:p>
            <w:pPr>
              <w:pStyle w:val="TableContents"/>
              <w:bidi w:val="0"/>
              <w:spacing w:before="0" w:after="0"/>
              <w:jc w:val="left"/>
              <w:rPr>
                <w:b/>
              </w:rPr>
            </w:pPr>
            <w:r>
              <w:rPr>
                <w:b/>
              </w:rPr>
              <w:t>2.</w:t>
            </w:r>
          </w:p>
        </w:tc>
        <w:tc>
          <w:tcPr>
            <w:tcW w:w="4535" w:type="dxa"/>
            <w:tcBorders/>
            <w:vAlign w:val="center"/>
          </w:tcPr>
          <w:p>
            <w:pPr>
              <w:pStyle w:val="TableContents"/>
              <w:bidi w:val="0"/>
              <w:spacing w:before="0" w:after="0"/>
              <w:jc w:val="left"/>
              <w:rPr>
                <w:b/>
              </w:rPr>
            </w:pPr>
            <w:r>
              <w:rPr>
                <w:b/>
              </w:rPr>
              <w:t>Summary of Significant Accounting Policies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accompanying unaudited consolidated financial statements have been prepared in accordance with accounting principles generally accepted in the United States of America (“US GAAP”) for interim financial information and with the instructions to Form 10-Q and Rule 10-01 of Regulation S-X. Accordingly, they do not include all of the information and footnotes required by US GAAP for complete financial statements. The unaudited consolidated financial statements include the accounts of the Company and its Subsidiaries. All intercompany accounts and transactions are eliminated in consolidation. In the opinion of management, the accompanying unaudited consolidated financial statements contain all adjustments, consisting of normal recurring adjustments, considered necessary for a fair statement of the Company’s financial information as of June 30, 2026, and for the six-month periods ended June 30, 2026 and 2025. The results of operations of any interim period are not necessarily indicative of the results of operations to be expected for the fiscal year. The consolidated balance sheet as of December 31, 2025 has been prepared using information from the audited financial statements at that date. For further information, refer to the consolidated financial statements and accompanying footnotes included in the Company’s Annual Report on Form 10-K for the year ended December 31, 2025.</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Purchase of noncontrolling interest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During the three months ended March 31, 2026, the Company acquired the remaining 30% equity interest in LifeDNA, Inc. (“LifeDNA”), for cash consideration of $6.5 million. The carrying amount of noncontrolling interest, which was previously included in other liabilities on the consolidated balance sheet, was reduced by $4.1 million, with the difference of $2.4 million recorded in additional paid-in capital. Following this transaction, LifeDNA became a wholly owned subsidiary. Due to the noncontrolling interest’s immaterial balance, the Company has historically not separately disclosed the noncontrolling interest balance or activity.</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Accounting Pronouncements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November 2024, the FASB issued ASU 2024-03, Income Statement – Reporting Comprehensive Income – Expense Disaggregation Disclosures (Topic 220). This standard requires disclosure of specific information about costs and expenses. ASU 2024-03 is effective for fiscal years beginning after December 15, 2026 and interim reporting periods beginning after December 15, 2027. The Company is currently evaluating the potential effect that the updated standard will have on its financial statement disclosures.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September 2025, the FASB issued ASU 2025-06, Intangibles—Goodwill and Other—Internal-Use Software (Subtopic 350-40): Targeted Improvements to the Accounting for Internal-Use Software. The amendments remove references to development “stages,” clarify the probable-to-complete threshold for capitalization of internal-use software costs, relocate website development guidance into Subtopic 350-40, and require that capitalized internal-use software costs follow Topic 360 disclosure requirements regardless of balance-sheet presentation. The amendments are effective for annual periods beginning after December 15, 2027, and interim periods within those annual periods; early adoption is permitted as of the beginning of an annual period. Entities may adopt the guidance prospectively, retrospectively, or using a modified prospective transition approach. The Company is evaluating the impact of this guidance and the available transition alternatives on its consolidated financial statements and disclosures.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Inventories, net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Inventories, net consist of the following (U.S. dollars in thousands):</w:t>
      </w:r>
    </w:p>
    <w:p>
      <w:pPr>
        <w:pStyle w:val="TextBody"/>
        <w:bidi w:val="0"/>
        <w:spacing w:before="0" w:after="0"/>
        <w:jc w:val="left"/>
        <w:rPr/>
      </w:pPr>
      <w:r>
        <w:rPr/>
      </w:r>
    </w:p>
    <w:tbl>
      <w:tblPr>
        <w:tblW w:w="5014" w:type="dxa"/>
        <w:jc w:val="left"/>
        <w:tblInd w:w="0" w:type="dxa"/>
        <w:tblLayout w:type="fixed"/>
        <w:tblCellMar>
          <w:top w:w="0" w:type="dxa"/>
          <w:left w:w="0" w:type="dxa"/>
          <w:bottom w:w="0" w:type="dxa"/>
          <w:right w:w="0" w:type="dxa"/>
        </w:tblCellMar>
      </w:tblPr>
      <w:tblGrid>
        <w:gridCol w:w="1925"/>
        <w:gridCol w:w="150"/>
        <w:gridCol w:w="170"/>
        <w:gridCol w:w="830"/>
        <w:gridCol w:w="150"/>
        <w:gridCol w:w="150"/>
        <w:gridCol w:w="245"/>
        <w:gridCol w:w="1199"/>
        <w:gridCol w:w="195"/>
      </w:tblGrid>
      <w:tr>
        <w:trPr/>
        <w:tc>
          <w:tcPr>
            <w:tcW w:w="192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June 30,</w:t>
            </w:r>
          </w:p>
          <w:p>
            <w:pPr>
              <w:pStyle w:val="TableContents"/>
              <w:bidi w:val="0"/>
              <w:spacing w:before="0" w:after="0"/>
              <w:jc w:val="center"/>
              <w:rPr>
                <w:b/>
                <w:color w:val="000000"/>
              </w:rPr>
            </w:pPr>
            <w:r>
              <w:rPr>
                <w:b/>
                <w:color w:val="000000"/>
              </w:rPr>
              <w:t>2026</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December 31,</w:t>
            </w:r>
          </w:p>
          <w:p>
            <w:pPr>
              <w:pStyle w:val="TableContents"/>
              <w:bidi w:val="0"/>
              <w:spacing w:before="0" w:after="0"/>
              <w:jc w:val="center"/>
              <w:rPr>
                <w:b/>
                <w:color w:val="000000"/>
              </w:rPr>
            </w:pPr>
            <w:r>
              <w:rPr>
                <w:b/>
                <w:color w:val="000000"/>
              </w:rPr>
              <w:t>2025</w:t>
            </w:r>
          </w:p>
        </w:tc>
        <w:tc>
          <w:tcPr>
            <w:tcW w:w="195" w:type="dxa"/>
            <w:tcBorders/>
            <w:vAlign w:val="bottom"/>
          </w:tcPr>
          <w:p>
            <w:pPr>
              <w:pStyle w:val="TableContents"/>
              <w:bidi w:val="0"/>
              <w:spacing w:before="0" w:after="283"/>
              <w:jc w:val="left"/>
              <w:rPr/>
            </w:pPr>
            <w:r>
              <w:rPr/>
              <w:t>  </w:t>
            </w:r>
          </w:p>
        </w:tc>
      </w:tr>
      <w:tr>
        <w:trPr/>
        <w:tc>
          <w:tcPr>
            <w:tcW w:w="1925" w:type="dxa"/>
            <w:tcBorders/>
            <w:shd w:fill="CCEEFF" w:val="clear"/>
            <w:vAlign w:val="bottom"/>
          </w:tcPr>
          <w:p>
            <w:pPr>
              <w:pStyle w:val="TableContents"/>
              <w:bidi w:val="0"/>
              <w:spacing w:before="0" w:after="0"/>
              <w:jc w:val="left"/>
              <w:rPr>
                <w:color w:val="000000"/>
              </w:rPr>
            </w:pPr>
            <w:r>
              <w:rPr>
                <w:color w:val="000000"/>
              </w:rPr>
              <w:t>Raw materials</w:t>
            </w:r>
          </w:p>
        </w:tc>
        <w:tc>
          <w:tcPr>
            <w:tcW w:w="15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101,905</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0"/>
              <w:jc w:val="left"/>
              <w:rPr>
                <w:color w:val="000000"/>
              </w:rPr>
            </w:pPr>
            <w:r>
              <w:rPr>
                <w:color w:val="000000"/>
              </w:rPr>
              <w:t>$</w:t>
            </w:r>
          </w:p>
        </w:tc>
        <w:tc>
          <w:tcPr>
            <w:tcW w:w="1199" w:type="dxa"/>
            <w:tcBorders/>
            <w:shd w:fill="CCEEFF" w:val="clear"/>
            <w:vAlign w:val="bottom"/>
          </w:tcPr>
          <w:p>
            <w:pPr>
              <w:pStyle w:val="TableContents"/>
              <w:bidi w:val="0"/>
              <w:spacing w:before="0" w:after="0"/>
              <w:jc w:val="right"/>
              <w:rPr>
                <w:color w:val="000000"/>
              </w:rPr>
            </w:pPr>
            <w:r>
              <w:rPr>
                <w:color w:val="000000"/>
              </w:rPr>
              <w:t>94,944</w:t>
            </w:r>
          </w:p>
        </w:tc>
        <w:tc>
          <w:tcPr>
            <w:tcW w:w="195" w:type="dxa"/>
            <w:tcBorders/>
            <w:shd w:fill="CCEEFF" w:val="clear"/>
            <w:vAlign w:val="bottom"/>
          </w:tcPr>
          <w:p>
            <w:pPr>
              <w:pStyle w:val="TableContents"/>
              <w:bidi w:val="0"/>
              <w:spacing w:before="0" w:after="283"/>
              <w:jc w:val="left"/>
              <w:rPr/>
            </w:pPr>
            <w:r>
              <w:rPr/>
              <w:t> </w:t>
            </w:r>
          </w:p>
        </w:tc>
      </w:tr>
      <w:tr>
        <w:trPr/>
        <w:tc>
          <w:tcPr>
            <w:tcW w:w="1925" w:type="dxa"/>
            <w:tcBorders/>
            <w:vAlign w:val="bottom"/>
          </w:tcPr>
          <w:p>
            <w:pPr>
              <w:pStyle w:val="TableContents"/>
              <w:bidi w:val="0"/>
              <w:spacing w:before="0" w:after="0"/>
              <w:jc w:val="left"/>
              <w:rPr>
                <w:color w:val="000000"/>
              </w:rPr>
            </w:pPr>
            <w:r>
              <w:rPr>
                <w:color w:val="000000"/>
              </w:rPr>
              <w:t>Finished goods</w:t>
            </w:r>
          </w:p>
        </w:tc>
        <w:tc>
          <w:tcPr>
            <w:tcW w:w="15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89,592</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45" w:type="dxa"/>
            <w:tcBorders>
              <w:bottom w:val="single" w:sz="12" w:space="0" w:color="000000"/>
            </w:tcBorders>
            <w:tcMar>
              <w:bottom w:w="28" w:type="dxa"/>
            </w:tcMar>
            <w:vAlign w:val="bottom"/>
          </w:tcPr>
          <w:p>
            <w:pPr>
              <w:pStyle w:val="TableContents"/>
              <w:bidi w:val="0"/>
              <w:spacing w:before="0" w:after="283"/>
              <w:jc w:val="left"/>
              <w:rPr/>
            </w:pPr>
            <w:r>
              <w:rPr/>
              <w:t> </w:t>
            </w:r>
          </w:p>
        </w:tc>
        <w:tc>
          <w:tcPr>
            <w:tcW w:w="119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83,699</w:t>
            </w:r>
          </w:p>
        </w:tc>
        <w:tc>
          <w:tcPr>
            <w:tcW w:w="195" w:type="dxa"/>
            <w:tcBorders/>
            <w:vAlign w:val="bottom"/>
          </w:tcPr>
          <w:p>
            <w:pPr>
              <w:pStyle w:val="TableContents"/>
              <w:bidi w:val="0"/>
              <w:spacing w:before="0" w:after="283"/>
              <w:jc w:val="left"/>
              <w:rPr/>
            </w:pPr>
            <w:r>
              <w:rPr/>
              <w:t> </w:t>
            </w:r>
          </w:p>
        </w:tc>
      </w:tr>
      <w:tr>
        <w:trPr/>
        <w:tc>
          <w:tcPr>
            <w:tcW w:w="1925" w:type="dxa"/>
            <w:tcBorders/>
            <w:shd w:fill="CCEEFF" w:val="clear"/>
            <w:vAlign w:val="bottom"/>
          </w:tcPr>
          <w:p>
            <w:pPr>
              <w:pStyle w:val="TableContents"/>
              <w:bidi w:val="0"/>
              <w:spacing w:before="0" w:after="0"/>
              <w:ind w:left="180" w:right="0" w:hanging="0"/>
              <w:jc w:val="left"/>
              <w:rPr>
                <w:color w:val="000000"/>
              </w:rPr>
            </w:pPr>
            <w:r>
              <w:rPr>
                <w:color w:val="000000"/>
              </w:rPr>
              <w:t>Total inventory, net</w:t>
            </w:r>
          </w:p>
        </w:tc>
        <w:tc>
          <w:tcPr>
            <w:tcW w:w="15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191,497</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45"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19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178,643</w:t>
            </w:r>
          </w:p>
        </w:tc>
        <w:tc>
          <w:tcPr>
            <w:tcW w:w="1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Reserves of inventories consist of the following (U.S. dollars in thousands):</w:t>
      </w:r>
    </w:p>
    <w:p>
      <w:pPr>
        <w:pStyle w:val="TextBody"/>
        <w:bidi w:val="0"/>
        <w:spacing w:before="0" w:after="0"/>
        <w:jc w:val="left"/>
        <w:rPr/>
      </w:pPr>
      <w:r>
        <w:rPr/>
      </w:r>
    </w:p>
    <w:tbl>
      <w:tblPr>
        <w:tblW w:w="6672" w:type="dxa"/>
        <w:jc w:val="left"/>
        <w:tblInd w:w="0" w:type="dxa"/>
        <w:tblLayout w:type="fixed"/>
        <w:tblCellMar>
          <w:top w:w="0" w:type="dxa"/>
          <w:left w:w="0" w:type="dxa"/>
          <w:bottom w:w="0" w:type="dxa"/>
          <w:right w:w="0" w:type="dxa"/>
        </w:tblCellMar>
      </w:tblPr>
      <w:tblGrid>
        <w:gridCol w:w="1835"/>
        <w:gridCol w:w="90"/>
        <w:gridCol w:w="192"/>
        <w:gridCol w:w="805"/>
        <w:gridCol w:w="141"/>
        <w:gridCol w:w="102"/>
        <w:gridCol w:w="192"/>
        <w:gridCol w:w="805"/>
        <w:gridCol w:w="125"/>
        <w:gridCol w:w="90"/>
        <w:gridCol w:w="170"/>
        <w:gridCol w:w="785"/>
        <w:gridCol w:w="125"/>
        <w:gridCol w:w="90"/>
        <w:gridCol w:w="170"/>
        <w:gridCol w:w="785"/>
        <w:gridCol w:w="170"/>
      </w:tblGrid>
      <w:tr>
        <w:trPr/>
        <w:tc>
          <w:tcPr>
            <w:tcW w:w="183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37" w:type="dxa"/>
            <w:gridSpan w:val="6"/>
            <w:tcBorders>
              <w:bottom w:val="single" w:sz="12" w:space="0" w:color="000000"/>
            </w:tcBorders>
            <w:tcMar>
              <w:bottom w:w="28" w:type="dxa"/>
            </w:tcMar>
            <w:vAlign w:val="bottom"/>
          </w:tcPr>
          <w:p>
            <w:pPr>
              <w:pStyle w:val="TableContents"/>
              <w:bidi w:val="0"/>
              <w:spacing w:before="0" w:after="0"/>
              <w:jc w:val="center"/>
              <w:rPr>
                <w:b/>
              </w:rPr>
            </w:pPr>
            <w:r>
              <w:rPr>
                <w:b/>
              </w:rPr>
              <w:t>Three Months Ended</w:t>
            </w:r>
          </w:p>
          <w:p>
            <w:pPr>
              <w:pStyle w:val="TableContents"/>
              <w:bidi w:val="0"/>
              <w:spacing w:before="0" w:after="0"/>
              <w:jc w:val="center"/>
              <w:rPr>
                <w:b/>
              </w:rPr>
            </w:pPr>
            <w:r>
              <w:rPr>
                <w:b/>
              </w:rPr>
              <w:t>June 30,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25" w:type="dxa"/>
            <w:gridSpan w:val="6"/>
            <w:tcBorders>
              <w:bottom w:val="single" w:sz="12" w:space="0" w:color="000000"/>
            </w:tcBorders>
            <w:tcMar>
              <w:bottom w:w="28" w:type="dxa"/>
            </w:tcMar>
            <w:vAlign w:val="bottom"/>
          </w:tcPr>
          <w:p>
            <w:pPr>
              <w:pStyle w:val="TableContents"/>
              <w:bidi w:val="0"/>
              <w:spacing w:before="0" w:after="0"/>
              <w:jc w:val="center"/>
              <w:rPr>
                <w:b/>
              </w:rPr>
            </w:pPr>
            <w:r>
              <w:rPr>
                <w:b/>
              </w:rPr>
              <w:t>Six Months Ended</w:t>
            </w:r>
          </w:p>
          <w:p>
            <w:pPr>
              <w:pStyle w:val="TableContents"/>
              <w:bidi w:val="0"/>
              <w:spacing w:before="0" w:after="0"/>
              <w:jc w:val="center"/>
              <w:rPr>
                <w:b/>
              </w:rPr>
            </w:pPr>
            <w:r>
              <w:rPr>
                <w:b/>
              </w:rPr>
              <w:t>June 30,</w:t>
            </w:r>
          </w:p>
        </w:tc>
        <w:tc>
          <w:tcPr>
            <w:tcW w:w="170" w:type="dxa"/>
            <w:tcBorders/>
            <w:vAlign w:val="bottom"/>
          </w:tcPr>
          <w:p>
            <w:pPr>
              <w:pStyle w:val="TableContents"/>
              <w:bidi w:val="0"/>
              <w:spacing w:before="0" w:after="283"/>
              <w:jc w:val="left"/>
              <w:rPr/>
            </w:pPr>
            <w:r>
              <w:rPr/>
              <w:t> </w:t>
            </w:r>
          </w:p>
        </w:tc>
      </w:tr>
      <w:tr>
        <w:trPr/>
        <w:tc>
          <w:tcPr>
            <w:tcW w:w="183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97"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2026</w:t>
            </w:r>
          </w:p>
        </w:tc>
        <w:tc>
          <w:tcPr>
            <w:tcW w:w="14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97"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55"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55"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170" w:type="dxa"/>
            <w:tcBorders/>
            <w:vAlign w:val="bottom"/>
          </w:tcPr>
          <w:p>
            <w:pPr>
              <w:pStyle w:val="TableContents"/>
              <w:bidi w:val="0"/>
              <w:spacing w:before="0" w:after="283"/>
              <w:jc w:val="left"/>
              <w:rPr/>
            </w:pPr>
            <w:r>
              <w:rPr/>
              <w:t> </w:t>
            </w:r>
          </w:p>
        </w:tc>
      </w:tr>
      <w:tr>
        <w:trPr/>
        <w:tc>
          <w:tcPr>
            <w:tcW w:w="1835" w:type="dxa"/>
            <w:tcBorders/>
            <w:shd w:fill="CCEEFF" w:val="clear"/>
            <w:vAlign w:val="bottom"/>
          </w:tcPr>
          <w:p>
            <w:pPr>
              <w:pStyle w:val="TableContents"/>
              <w:bidi w:val="0"/>
              <w:spacing w:before="0" w:after="283"/>
              <w:jc w:val="left"/>
              <w:rPr/>
            </w:pPr>
            <w:r>
              <w:rPr/>
              <w:t>Beginning balance</w:t>
            </w:r>
          </w:p>
        </w:tc>
        <w:tc>
          <w:tcPr>
            <w:tcW w:w="9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805" w:type="dxa"/>
            <w:tcBorders/>
            <w:shd w:fill="CCEEFF" w:val="clear"/>
            <w:vAlign w:val="bottom"/>
          </w:tcPr>
          <w:p>
            <w:pPr>
              <w:pStyle w:val="TableContents"/>
              <w:bidi w:val="0"/>
              <w:spacing w:before="0" w:after="283"/>
              <w:jc w:val="right"/>
              <w:rPr/>
            </w:pPr>
            <w:r>
              <w:rPr/>
              <w:t>50,175</w:t>
            </w:r>
          </w:p>
        </w:tc>
        <w:tc>
          <w:tcPr>
            <w:tcW w:w="141"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w:t>
            </w:r>
          </w:p>
        </w:tc>
        <w:tc>
          <w:tcPr>
            <w:tcW w:w="805" w:type="dxa"/>
            <w:tcBorders/>
            <w:shd w:fill="CCEEFF" w:val="clear"/>
            <w:vAlign w:val="bottom"/>
          </w:tcPr>
          <w:p>
            <w:pPr>
              <w:pStyle w:val="TableContents"/>
              <w:bidi w:val="0"/>
              <w:spacing w:before="0" w:after="283"/>
              <w:jc w:val="right"/>
              <w:rPr/>
            </w:pPr>
            <w:r>
              <w:rPr/>
              <w:t>79,409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785" w:type="dxa"/>
            <w:tcBorders/>
            <w:shd w:fill="CCEEFF" w:val="clear"/>
            <w:vAlign w:val="bottom"/>
          </w:tcPr>
          <w:p>
            <w:pPr>
              <w:pStyle w:val="TableContents"/>
              <w:bidi w:val="0"/>
              <w:spacing w:before="0" w:after="283"/>
              <w:jc w:val="right"/>
              <w:rPr/>
            </w:pPr>
            <w:r>
              <w:rPr/>
              <w:t>57,958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785" w:type="dxa"/>
            <w:tcBorders/>
            <w:shd w:fill="CCEEFF" w:val="clear"/>
            <w:vAlign w:val="bottom"/>
          </w:tcPr>
          <w:p>
            <w:pPr>
              <w:pStyle w:val="TableContents"/>
              <w:bidi w:val="0"/>
              <w:spacing w:before="0" w:after="283"/>
              <w:jc w:val="right"/>
              <w:rPr/>
            </w:pPr>
            <w:r>
              <w:rPr/>
              <w:t>84,006</w:t>
            </w:r>
          </w:p>
        </w:tc>
        <w:tc>
          <w:tcPr>
            <w:tcW w:w="170" w:type="dxa"/>
            <w:tcBorders/>
            <w:shd w:fill="CCEEFF" w:val="clear"/>
            <w:vAlign w:val="bottom"/>
          </w:tcPr>
          <w:p>
            <w:pPr>
              <w:pStyle w:val="TableContents"/>
              <w:bidi w:val="0"/>
              <w:spacing w:before="0" w:after="283"/>
              <w:jc w:val="left"/>
              <w:rPr/>
            </w:pPr>
            <w:r>
              <w:rPr/>
              <w:t> </w:t>
            </w:r>
          </w:p>
        </w:tc>
      </w:tr>
      <w:tr>
        <w:trPr/>
        <w:tc>
          <w:tcPr>
            <w:tcW w:w="1835" w:type="dxa"/>
            <w:tcBorders/>
            <w:vAlign w:val="bottom"/>
          </w:tcPr>
          <w:p>
            <w:pPr>
              <w:pStyle w:val="TableContents"/>
              <w:bidi w:val="0"/>
              <w:spacing w:before="0" w:after="283"/>
              <w:jc w:val="left"/>
              <w:rPr/>
            </w:pPr>
            <w:r>
              <w:rPr/>
              <w:t>Additions</w:t>
            </w:r>
          </w:p>
        </w:tc>
        <w:tc>
          <w:tcPr>
            <w:tcW w:w="9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1,380</w:t>
            </w:r>
          </w:p>
        </w:tc>
        <w:tc>
          <w:tcPr>
            <w:tcW w:w="14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2,715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6,130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pPr>
            <w:r>
              <w:rPr/>
              <w:t>5,800</w:t>
            </w:r>
          </w:p>
        </w:tc>
        <w:tc>
          <w:tcPr>
            <w:tcW w:w="170" w:type="dxa"/>
            <w:tcBorders/>
            <w:vAlign w:val="bottom"/>
          </w:tcPr>
          <w:p>
            <w:pPr>
              <w:pStyle w:val="TableContents"/>
              <w:bidi w:val="0"/>
              <w:spacing w:before="0" w:after="283"/>
              <w:jc w:val="left"/>
              <w:rPr/>
            </w:pPr>
            <w:r>
              <w:rPr/>
              <w:t> </w:t>
            </w:r>
          </w:p>
        </w:tc>
      </w:tr>
      <w:tr>
        <w:trPr/>
        <w:tc>
          <w:tcPr>
            <w:tcW w:w="1835" w:type="dxa"/>
            <w:tcBorders/>
            <w:shd w:fill="CCEEFF" w:val="clear"/>
            <w:vAlign w:val="bottom"/>
          </w:tcPr>
          <w:p>
            <w:pPr>
              <w:pStyle w:val="TableContents"/>
              <w:bidi w:val="0"/>
              <w:spacing w:before="0" w:after="283"/>
              <w:jc w:val="left"/>
              <w:rPr/>
            </w:pPr>
            <w:r>
              <w:rPr/>
              <w:t>Write-offs</w:t>
            </w:r>
          </w:p>
        </w:tc>
        <w:tc>
          <w:tcPr>
            <w:tcW w:w="90" w:type="dxa"/>
            <w:tcBorders/>
            <w:shd w:fill="CCEEFF" w:val="clear"/>
            <w:vAlign w:val="bottom"/>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5" w:type="dxa"/>
            <w:tcBorders>
              <w:bottom w:val="single" w:sz="12" w:space="0" w:color="000000"/>
            </w:tcBorders>
            <w:shd w:fill="CCEEFF" w:val="clear"/>
            <w:tcMar>
              <w:bottom w:w="28" w:type="dxa"/>
            </w:tcMar>
            <w:vAlign w:val="bottom"/>
          </w:tcPr>
          <w:p>
            <w:pPr>
              <w:pStyle w:val="TableContents"/>
              <w:bidi w:val="0"/>
              <w:spacing w:before="0" w:after="283"/>
              <w:jc w:val="right"/>
              <w:rPr/>
            </w:pPr>
            <w:r>
              <w:rPr/>
              <w:t>(4,850</w:t>
            </w:r>
          </w:p>
        </w:tc>
        <w:tc>
          <w:tcPr>
            <w:tcW w:w="141" w:type="dxa"/>
            <w:tcBorders/>
            <w:shd w:fill="CCEEFF" w:val="clear"/>
            <w:vAlign w:val="bottom"/>
          </w:tcPr>
          <w:p>
            <w:pPr>
              <w:pStyle w:val="TableContents"/>
              <w:bidi w:val="0"/>
              <w:spacing w:before="0" w:after="283"/>
              <w:jc w:val="left"/>
              <w:rPr/>
            </w:pPr>
            <w:r>
              <w:rPr/>
              <w:t>)</w:t>
            </w:r>
          </w:p>
        </w:tc>
        <w:tc>
          <w:tcPr>
            <w:tcW w:w="102" w:type="dxa"/>
            <w:tcBorders/>
            <w:shd w:fill="CCEEFF" w:val="clear"/>
            <w:vAlign w:val="bottom"/>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5" w:type="dxa"/>
            <w:tcBorders>
              <w:bottom w:val="single" w:sz="12" w:space="0" w:color="000000"/>
            </w:tcBorders>
            <w:shd w:fill="CCEEFF" w:val="clear"/>
            <w:tcMar>
              <w:bottom w:w="28" w:type="dxa"/>
            </w:tcMar>
            <w:vAlign w:val="bottom"/>
          </w:tcPr>
          <w:p>
            <w:pPr>
              <w:pStyle w:val="TableContents"/>
              <w:bidi w:val="0"/>
              <w:spacing w:before="0" w:after="283"/>
              <w:jc w:val="right"/>
              <w:rPr/>
            </w:pPr>
            <w:r>
              <w:rPr/>
              <w:t>(6,428</w:t>
            </w:r>
          </w:p>
        </w:tc>
        <w:tc>
          <w:tcPr>
            <w:tcW w:w="125" w:type="dxa"/>
            <w:tcBorders/>
            <w:shd w:fill="CCEEFF" w:val="clear"/>
            <w:vAlign w:val="bottom"/>
          </w:tcPr>
          <w:p>
            <w:pPr>
              <w:pStyle w:val="TableContents"/>
              <w:bidi w:val="0"/>
              <w:spacing w:before="0" w:after="283"/>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283"/>
              <w:jc w:val="right"/>
              <w:rPr/>
            </w:pPr>
            <w:r>
              <w:rPr/>
              <w:t>(17,383</w:t>
            </w:r>
          </w:p>
        </w:tc>
        <w:tc>
          <w:tcPr>
            <w:tcW w:w="125" w:type="dxa"/>
            <w:tcBorders/>
            <w:shd w:fill="CCEEFF" w:val="clear"/>
            <w:vAlign w:val="bottom"/>
          </w:tcPr>
          <w:p>
            <w:pPr>
              <w:pStyle w:val="TableContents"/>
              <w:bidi w:val="0"/>
              <w:spacing w:before="0" w:after="283"/>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bottom"/>
          </w:tcPr>
          <w:p>
            <w:pPr>
              <w:pStyle w:val="TableContents"/>
              <w:bidi w:val="0"/>
              <w:spacing w:before="0" w:after="283"/>
              <w:jc w:val="right"/>
              <w:rPr/>
            </w:pPr>
            <w:r>
              <w:rPr/>
              <w:t>(14,110</w:t>
            </w:r>
          </w:p>
        </w:tc>
        <w:tc>
          <w:tcPr>
            <w:tcW w:w="170" w:type="dxa"/>
            <w:tcBorders/>
            <w:shd w:fill="CCEEFF" w:val="clear"/>
            <w:vAlign w:val="bottom"/>
          </w:tcPr>
          <w:p>
            <w:pPr>
              <w:pStyle w:val="TableContents"/>
              <w:bidi w:val="0"/>
              <w:spacing w:before="0" w:after="283"/>
              <w:jc w:val="left"/>
              <w:rPr/>
            </w:pPr>
            <w:r>
              <w:rPr/>
              <w:t>)</w:t>
            </w:r>
          </w:p>
        </w:tc>
      </w:tr>
      <w:tr>
        <w:trPr/>
        <w:tc>
          <w:tcPr>
            <w:tcW w:w="1835" w:type="dxa"/>
            <w:tcBorders/>
            <w:vAlign w:val="bottom"/>
          </w:tcPr>
          <w:p>
            <w:pPr>
              <w:pStyle w:val="TableContents"/>
              <w:bidi w:val="0"/>
              <w:spacing w:before="0" w:after="283"/>
              <w:jc w:val="left"/>
              <w:rPr/>
            </w:pPr>
            <w:r>
              <w:rPr/>
              <w:t>Ending balance</w:t>
            </w:r>
          </w:p>
        </w:tc>
        <w:tc>
          <w:tcPr>
            <w:tcW w:w="90" w:type="dxa"/>
            <w:tcBorders/>
            <w:vAlign w:val="bottom"/>
          </w:tcPr>
          <w:p>
            <w:pPr>
              <w:pStyle w:val="TableContents"/>
              <w:bidi w:val="0"/>
              <w:spacing w:before="0" w:after="283"/>
              <w:jc w:val="left"/>
              <w:rPr/>
            </w:pPr>
            <w:r>
              <w:rPr/>
              <w:t> </w:t>
            </w:r>
          </w:p>
        </w:tc>
        <w:tc>
          <w:tcPr>
            <w:tcW w:w="192" w:type="dxa"/>
            <w:tcBorders>
              <w:bottom w:val="double" w:sz="8" w:space="0" w:color="000000"/>
            </w:tcBorders>
            <w:tcMar>
              <w:bottom w:w="28" w:type="dxa"/>
            </w:tcMar>
            <w:vAlign w:val="bottom"/>
          </w:tcPr>
          <w:p>
            <w:pPr>
              <w:pStyle w:val="TableContents"/>
              <w:bidi w:val="0"/>
              <w:spacing w:before="0" w:after="283"/>
              <w:jc w:val="left"/>
              <w:rPr/>
            </w:pPr>
            <w:r>
              <w:rPr/>
              <w:t>$</w:t>
            </w:r>
          </w:p>
        </w:tc>
        <w:tc>
          <w:tcPr>
            <w:tcW w:w="805" w:type="dxa"/>
            <w:tcBorders>
              <w:bottom w:val="double" w:sz="8" w:space="0" w:color="000000"/>
            </w:tcBorders>
            <w:tcMar>
              <w:bottom w:w="28" w:type="dxa"/>
            </w:tcMar>
            <w:vAlign w:val="bottom"/>
          </w:tcPr>
          <w:p>
            <w:pPr>
              <w:pStyle w:val="TableContents"/>
              <w:bidi w:val="0"/>
              <w:spacing w:before="0" w:after="283"/>
              <w:jc w:val="right"/>
              <w:rPr/>
            </w:pPr>
            <w:r>
              <w:rPr/>
              <w:t>46,705</w:t>
            </w:r>
          </w:p>
        </w:tc>
        <w:tc>
          <w:tcPr>
            <w:tcW w:w="141"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92" w:type="dxa"/>
            <w:tcBorders>
              <w:bottom w:val="double" w:sz="8" w:space="0" w:color="000000"/>
            </w:tcBorders>
            <w:tcMar>
              <w:bottom w:w="28" w:type="dxa"/>
            </w:tcMar>
            <w:vAlign w:val="bottom"/>
          </w:tcPr>
          <w:p>
            <w:pPr>
              <w:pStyle w:val="TableContents"/>
              <w:bidi w:val="0"/>
              <w:spacing w:before="0" w:after="283"/>
              <w:jc w:val="left"/>
              <w:rPr/>
            </w:pPr>
            <w:r>
              <w:rPr/>
              <w:t>$</w:t>
            </w:r>
          </w:p>
        </w:tc>
        <w:tc>
          <w:tcPr>
            <w:tcW w:w="805" w:type="dxa"/>
            <w:tcBorders>
              <w:bottom w:val="double" w:sz="8" w:space="0" w:color="000000"/>
            </w:tcBorders>
            <w:tcMar>
              <w:bottom w:w="28" w:type="dxa"/>
            </w:tcMar>
            <w:vAlign w:val="bottom"/>
          </w:tcPr>
          <w:p>
            <w:pPr>
              <w:pStyle w:val="TableContents"/>
              <w:bidi w:val="0"/>
              <w:spacing w:before="0" w:after="283"/>
              <w:jc w:val="right"/>
              <w:rPr/>
            </w:pPr>
            <w:r>
              <w:rPr/>
              <w:t>75,696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283"/>
              <w:jc w:val="left"/>
              <w:rPr/>
            </w:pPr>
            <w:r>
              <w:rPr/>
              <w:t>$</w:t>
            </w:r>
          </w:p>
        </w:tc>
        <w:tc>
          <w:tcPr>
            <w:tcW w:w="785" w:type="dxa"/>
            <w:tcBorders>
              <w:bottom w:val="double" w:sz="8" w:space="0" w:color="000000"/>
            </w:tcBorders>
            <w:tcMar>
              <w:bottom w:w="28" w:type="dxa"/>
            </w:tcMar>
            <w:vAlign w:val="bottom"/>
          </w:tcPr>
          <w:p>
            <w:pPr>
              <w:pStyle w:val="TableContents"/>
              <w:bidi w:val="0"/>
              <w:spacing w:before="0" w:after="283"/>
              <w:jc w:val="right"/>
              <w:rPr/>
            </w:pPr>
            <w:r>
              <w:rPr/>
              <w:t>46,705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283"/>
              <w:jc w:val="left"/>
              <w:rPr/>
            </w:pPr>
            <w:r>
              <w:rPr/>
              <w:t>$</w:t>
            </w:r>
          </w:p>
        </w:tc>
        <w:tc>
          <w:tcPr>
            <w:tcW w:w="785" w:type="dxa"/>
            <w:tcBorders>
              <w:bottom w:val="double" w:sz="8" w:space="0" w:color="000000"/>
            </w:tcBorders>
            <w:tcMar>
              <w:bottom w:w="28" w:type="dxa"/>
            </w:tcMar>
            <w:vAlign w:val="bottom"/>
          </w:tcPr>
          <w:p>
            <w:pPr>
              <w:pStyle w:val="TableContents"/>
              <w:bidi w:val="0"/>
              <w:spacing w:before="0" w:after="283"/>
              <w:jc w:val="right"/>
              <w:rPr/>
            </w:pPr>
            <w:r>
              <w:rPr/>
              <w:t>75,696</w:t>
            </w:r>
          </w:p>
        </w:tc>
        <w:tc>
          <w:tcPr>
            <w:tcW w:w="17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Revenue Recognition</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Contract Liabilities – Customer Loyalty Programs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Contract liabilities, recorded as deferred revenue within the accrued expenses line in the consolidated balance sheets, include loyalty point program deferrals with certain customers which are accounted for as a reduction in the transaction price and are generally recognized as points are redeemed for additional products.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balance of deferred revenue related to contract liabilities as of June 30, 2026 and December 31, 2025 was $6.3 million and $7.2 million, respectively. The contract liabilities’ impact to revenue for the three-month periods ended June 30, 2026 and 2025 was a decrease of $0.1 million and an increase of $0.1 million, respectively. The impact to revenue for the six-month periods ended June 30, 2026, and 2025 was an increase of $0.9 million and an increase of $0.4 million, respectively.</w:t>
      </w:r>
    </w:p>
    <w:p>
      <w:pPr>
        <w:pStyle w:val="TextBody"/>
        <w:bidi w:val="0"/>
        <w:spacing w:before="0" w:after="0"/>
        <w:jc w:val="left"/>
        <w:rPr/>
      </w:pPr>
      <w:r>
        <w:rPr/>
      </w:r>
    </w:p>
    <w:tbl>
      <w:tblPr>
        <w:tblW w:w="1630" w:type="dxa"/>
        <w:jc w:val="left"/>
        <w:tblInd w:w="0" w:type="dxa"/>
        <w:tblLayout w:type="fixed"/>
        <w:tblCellMar>
          <w:top w:w="0" w:type="dxa"/>
          <w:left w:w="0" w:type="dxa"/>
          <w:bottom w:w="0" w:type="dxa"/>
          <w:right w:w="0" w:type="dxa"/>
        </w:tblCellMar>
      </w:tblPr>
      <w:tblGrid>
        <w:gridCol w:w="245"/>
        <w:gridCol w:w="1385"/>
      </w:tblGrid>
      <w:tr>
        <w:trPr/>
        <w:tc>
          <w:tcPr>
            <w:tcW w:w="245" w:type="dxa"/>
            <w:tcBorders/>
            <w:vAlign w:val="center"/>
          </w:tcPr>
          <w:p>
            <w:pPr>
              <w:pStyle w:val="TableContents"/>
              <w:bidi w:val="0"/>
              <w:spacing w:before="0" w:after="0"/>
              <w:jc w:val="both"/>
              <w:rPr>
                <w:b/>
                <w:color w:val="000000"/>
              </w:rPr>
            </w:pPr>
            <w:r>
              <w:rPr>
                <w:b/>
                <w:color w:val="000000"/>
              </w:rPr>
              <w:t>3.</w:t>
            </w:r>
          </w:p>
        </w:tc>
        <w:tc>
          <w:tcPr>
            <w:tcW w:w="1385" w:type="dxa"/>
            <w:tcBorders/>
            <w:vAlign w:val="center"/>
          </w:tcPr>
          <w:p>
            <w:pPr>
              <w:pStyle w:val="TableContents"/>
              <w:bidi w:val="0"/>
              <w:spacing w:before="0" w:after="0"/>
              <w:jc w:val="both"/>
              <w:rPr>
                <w:b/>
                <w:color w:val="000000"/>
              </w:rPr>
            </w:pPr>
            <w:r>
              <w:rPr>
                <w:b/>
                <w:color w:val="000000"/>
              </w:rPr>
              <w:t>Gain on Sale</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January 2, 2025, the Company completed the sale of its Mavely entity to Clout.io Holdings, Inc. for $230 million in cash and shares of the purchaser’s common stock, subject to certain adjustments as set forth in the purchase agreement, including post-closing determination of net working capital and other elements of the purchase price. Following the completion of certain payments to other equity holders in Mavely and the payment of certain transaction expenses, the Company received net proceeds of $193.7 million and equity interest with an estimated fair value of $6.1 million. In the second quarter of 2025, the Company received an additional payment of $2.7 million and in the third quarter of 2025 received an additional $1.7 million. The estimated fair value was based on observable price changes and is classified as a level 3 fair value measurement and is accounted for under the measurement alternative described in ASC 321-10-35-2 for equity securities that lack readily determinable fair values. In the first quarter of 2025, the Company recorded a gain on sale of $176.2 million.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During the first quarter of 2025, the Company recorded $5.2 million of stock-based compensation expense related to profit interest units issued to the Mavely founders. This expense should have been recorded in the fourth quarter of 2024 when the performance conditions became probable of vesting. The impact of the adjustment to correct this item was immaterial to the current and prior period financial statements.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tbl>
      <w:tblPr>
        <w:tblW w:w="2890" w:type="dxa"/>
        <w:jc w:val="left"/>
        <w:tblInd w:w="0" w:type="dxa"/>
        <w:tblLayout w:type="fixed"/>
        <w:tblCellMar>
          <w:top w:w="0" w:type="dxa"/>
          <w:left w:w="0" w:type="dxa"/>
          <w:bottom w:w="0" w:type="dxa"/>
          <w:right w:w="0" w:type="dxa"/>
        </w:tblCellMar>
      </w:tblPr>
      <w:tblGrid>
        <w:gridCol w:w="245"/>
        <w:gridCol w:w="2645"/>
      </w:tblGrid>
      <w:tr>
        <w:trPr/>
        <w:tc>
          <w:tcPr>
            <w:tcW w:w="245" w:type="dxa"/>
            <w:tcBorders/>
            <w:vAlign w:val="center"/>
          </w:tcPr>
          <w:p>
            <w:pPr>
              <w:pStyle w:val="TableContents"/>
              <w:bidi w:val="0"/>
              <w:spacing w:before="0" w:after="0"/>
              <w:jc w:val="left"/>
              <w:rPr>
                <w:b/>
              </w:rPr>
            </w:pPr>
            <w:r>
              <w:rPr>
                <w:b/>
              </w:rPr>
              <w:t>4.</w:t>
            </w:r>
          </w:p>
        </w:tc>
        <w:tc>
          <w:tcPr>
            <w:tcW w:w="2645" w:type="dxa"/>
            <w:tcBorders/>
            <w:vAlign w:val="center"/>
          </w:tcPr>
          <w:p>
            <w:pPr>
              <w:pStyle w:val="TableContents"/>
              <w:bidi w:val="0"/>
              <w:spacing w:before="0" w:after="0"/>
              <w:jc w:val="left"/>
              <w:rPr>
                <w:b/>
              </w:rPr>
            </w:pPr>
            <w:r>
              <w:rPr>
                <w:b/>
              </w:rPr>
              <w:t>Goodwill and Intangibles</w:t>
            </w:r>
          </w:p>
        </w:tc>
      </w:tr>
    </w:tbl>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Goodwill</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Company’s reporting units for goodwill are its operating segments, which are also its reportable segments, with the exception of Rhyz Other. The Rhyz Other segment is made up of two reporting units, which had goodwill of $4.7 million and $0.0, respectively, as of both June 30, 2026 and December 31, 2025.</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During the three months ended June 30, 2026, the Company determined that the continued decline in the Company’s stock price and corresponding market capitalization as well as declines in the manufacturing segment forecast was a triggering event that required the Company to perform a quantitative impairment analysis. Based on the analysis, the Company concluded the fair value of the manufacturing reporting unit was less than the carrying value. As a result, the Company recorded a non-cash goodwill impairment charge of $78.9 million within impairment expenses on the consolidated statement of income. As part of the Company’s impairment analysis, the fair value of the reporting unit was determined using the income and market approach. The income approach used level 3 inputs and utilized management’s estimates related to future cash flows, which assumed factors such as revenue growth rates, profitability margins, and discount rates.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presents the change in carrying amount of goodwill by reporting unit for the six months ended June 30, 2026 (U.S. dollars in thousands):</w:t>
      </w:r>
    </w:p>
    <w:p>
      <w:pPr>
        <w:pStyle w:val="TextBody"/>
        <w:bidi w:val="0"/>
        <w:spacing w:before="0" w:after="0"/>
        <w:jc w:val="left"/>
        <w:rPr/>
      </w:pPr>
      <w:r>
        <w:rPr/>
      </w:r>
    </w:p>
    <w:tbl>
      <w:tblPr>
        <w:tblW w:w="12340" w:type="dxa"/>
        <w:jc w:val="left"/>
        <w:tblInd w:w="0" w:type="dxa"/>
        <w:tblLayout w:type="fixed"/>
        <w:tblCellMar>
          <w:top w:w="0" w:type="dxa"/>
          <w:left w:w="0" w:type="dxa"/>
          <w:bottom w:w="0" w:type="dxa"/>
          <w:right w:w="0" w:type="dxa"/>
        </w:tblCellMar>
      </w:tblPr>
      <w:tblGrid>
        <w:gridCol w:w="965"/>
        <w:gridCol w:w="90"/>
        <w:gridCol w:w="582"/>
        <w:gridCol w:w="428"/>
        <w:gridCol w:w="90"/>
        <w:gridCol w:w="90"/>
        <w:gridCol w:w="599"/>
        <w:gridCol w:w="441"/>
        <w:gridCol w:w="90"/>
        <w:gridCol w:w="90"/>
        <w:gridCol w:w="599"/>
        <w:gridCol w:w="441"/>
        <w:gridCol w:w="90"/>
        <w:gridCol w:w="90"/>
        <w:gridCol w:w="391"/>
        <w:gridCol w:w="289"/>
        <w:gridCol w:w="90"/>
        <w:gridCol w:w="90"/>
        <w:gridCol w:w="469"/>
        <w:gridCol w:w="346"/>
        <w:gridCol w:w="90"/>
        <w:gridCol w:w="90"/>
        <w:gridCol w:w="391"/>
        <w:gridCol w:w="289"/>
        <w:gridCol w:w="90"/>
        <w:gridCol w:w="90"/>
        <w:gridCol w:w="573"/>
        <w:gridCol w:w="257"/>
        <w:gridCol w:w="90"/>
        <w:gridCol w:w="90"/>
        <w:gridCol w:w="283"/>
        <w:gridCol w:w="1312"/>
        <w:gridCol w:w="125"/>
        <w:gridCol w:w="90"/>
        <w:gridCol w:w="170"/>
        <w:gridCol w:w="590"/>
        <w:gridCol w:w="90"/>
        <w:gridCol w:w="90"/>
        <w:gridCol w:w="179"/>
        <w:gridCol w:w="831"/>
        <w:gridCol w:w="170"/>
      </w:tblGrid>
      <w:tr>
        <w:trPr/>
        <w:tc>
          <w:tcPr>
            <w:tcW w:w="96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175" w:type="dxa"/>
            <w:gridSpan w:val="2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Nu Skin</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7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Rhyz</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r>
      <w:tr>
        <w:trPr/>
        <w:tc>
          <w:tcPr>
            <w:tcW w:w="96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color w:val="000000"/>
              </w:rPr>
            </w:pPr>
            <w:r>
              <w:rPr>
                <w:b/>
                <w:color w:val="000000"/>
              </w:rPr>
              <w:t>Southeast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color w:val="000000"/>
              </w:rPr>
            </w:pPr>
            <w:r>
              <w:rPr>
                <w:b/>
                <w:color w:val="000000"/>
              </w:rPr>
              <w:t>Mainland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0"/>
              <w:jc w:val="center"/>
              <w:rPr>
                <w:b/>
                <w:color w:val="000000"/>
              </w:rPr>
            </w:pPr>
            <w:r>
              <w:rPr>
                <w:b/>
                <w:color w:val="000000"/>
              </w:rPr>
              <w:t>Europe &amp;</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0"/>
              <w:jc w:val="center"/>
              <w:rPr>
                <w:b/>
                <w:color w:val="000000"/>
              </w:rPr>
            </w:pPr>
            <w:r>
              <w:rPr>
                <w:b/>
                <w:color w:val="000000"/>
              </w:rPr>
              <w:t>Hong Kong/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9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vAlign w:val="center"/>
          </w:tcPr>
          <w:p>
            <w:pPr>
              <w:pStyle w:val="TableContents"/>
              <w:bidi w:val="0"/>
              <w:spacing w:before="0" w:after="0"/>
              <w:jc w:val="center"/>
              <w:rPr>
                <w:b/>
                <w:color w:val="000000"/>
              </w:rPr>
            </w:pPr>
            <w:r>
              <w:rPr>
                <w:b/>
                <w:color w:val="000000"/>
              </w:rPr>
              <w:t>Rhyz</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0"/>
              <w:jc w:val="center"/>
              <w:rPr>
                <w:b/>
                <w:color w:val="000000"/>
              </w:rPr>
            </w:pPr>
            <w:r>
              <w:rPr>
                <w:b/>
                <w:color w:val="000000"/>
              </w:rPr>
              <w:t>Total</w:t>
            </w:r>
          </w:p>
        </w:tc>
        <w:tc>
          <w:tcPr>
            <w:tcW w:w="170" w:type="dxa"/>
            <w:tcBorders/>
            <w:vAlign w:val="bottom"/>
          </w:tcPr>
          <w:p>
            <w:pPr>
              <w:pStyle w:val="TableContents"/>
              <w:bidi w:val="0"/>
              <w:spacing w:before="0" w:after="283"/>
              <w:jc w:val="left"/>
              <w:rPr/>
            </w:pPr>
            <w:r>
              <w:rPr/>
              <w:t> </w:t>
            </w:r>
          </w:p>
        </w:tc>
      </w:tr>
      <w:tr>
        <w:trPr/>
        <w:tc>
          <w:tcPr>
            <w:tcW w:w="96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Americas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Asia/Pacific</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China</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Japan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Africa</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South Korea</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Taiwan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95"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Manufacturing</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Other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Segments</w:t>
            </w:r>
          </w:p>
        </w:tc>
        <w:tc>
          <w:tcPr>
            <w:tcW w:w="170" w:type="dxa"/>
            <w:tcBorders/>
            <w:vAlign w:val="bottom"/>
          </w:tcPr>
          <w:p>
            <w:pPr>
              <w:pStyle w:val="TableContents"/>
              <w:bidi w:val="0"/>
              <w:spacing w:before="0" w:after="283"/>
              <w:jc w:val="left"/>
              <w:rPr/>
            </w:pPr>
            <w:r>
              <w:rPr/>
              <w:t> </w:t>
            </w:r>
          </w:p>
        </w:tc>
      </w:tr>
      <w:tr>
        <w:trPr/>
        <w:tc>
          <w:tcPr>
            <w:tcW w:w="965" w:type="dxa"/>
            <w:tcBorders/>
            <w:shd w:fill="CCEEFF" w:val="clear"/>
            <w:vAlign w:val="bottom"/>
          </w:tcPr>
          <w:p>
            <w:pPr>
              <w:pStyle w:val="TableContents"/>
              <w:bidi w:val="0"/>
              <w:spacing w:before="0" w:after="0"/>
              <w:ind w:left="180" w:right="0" w:hanging="180"/>
              <w:jc w:val="left"/>
              <w:rPr>
                <w:color w:val="000000"/>
              </w:rPr>
            </w:pPr>
            <w:r>
              <w:rPr>
                <w:color w:val="000000"/>
              </w:rPr>
              <w:t>Goodwill as of December 31, 2025</w:t>
            </w:r>
          </w:p>
        </w:tc>
        <w:tc>
          <w:tcPr>
            <w:tcW w:w="90" w:type="dxa"/>
            <w:tcBorders/>
            <w:shd w:fill="CCEEFF" w:val="clear"/>
            <w:vAlign w:val="bottom"/>
          </w:tcPr>
          <w:p>
            <w:pPr>
              <w:pStyle w:val="TableContents"/>
              <w:bidi w:val="0"/>
              <w:spacing w:before="0" w:after="283"/>
              <w:jc w:val="left"/>
              <w:rPr/>
            </w:pPr>
            <w:r>
              <w:rPr/>
              <w:t> </w:t>
            </w:r>
          </w:p>
        </w:tc>
        <w:tc>
          <w:tcPr>
            <w:tcW w:w="582" w:type="dxa"/>
            <w:tcBorders/>
            <w:shd w:fill="CCEEFF" w:val="clear"/>
            <w:vAlign w:val="bottom"/>
          </w:tcPr>
          <w:p>
            <w:pPr>
              <w:pStyle w:val="TableContents"/>
              <w:bidi w:val="0"/>
              <w:spacing w:before="0" w:after="0"/>
              <w:jc w:val="left"/>
              <w:rPr>
                <w:color w:val="000000"/>
              </w:rPr>
            </w:pPr>
            <w:r>
              <w:rPr>
                <w:color w:val="000000"/>
              </w:rPr>
              <w:t>$</w:t>
            </w:r>
          </w:p>
        </w:tc>
        <w:tc>
          <w:tcPr>
            <w:tcW w:w="428"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0"/>
              <w:jc w:val="left"/>
              <w:rPr>
                <w:color w:val="000000"/>
              </w:rPr>
            </w:pPr>
            <w:r>
              <w:rPr>
                <w:color w:val="000000"/>
              </w:rPr>
              <w:t>$</w:t>
            </w:r>
          </w:p>
        </w:tc>
        <w:tc>
          <w:tcPr>
            <w:tcW w:w="441"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0"/>
              <w:jc w:val="left"/>
              <w:rPr>
                <w:color w:val="000000"/>
              </w:rPr>
            </w:pPr>
            <w:r>
              <w:rPr>
                <w:color w:val="000000"/>
              </w:rPr>
              <w:t>$</w:t>
            </w:r>
          </w:p>
        </w:tc>
        <w:tc>
          <w:tcPr>
            <w:tcW w:w="441"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0"/>
              <w:jc w:val="left"/>
              <w:rPr>
                <w:color w:val="000000"/>
              </w:rPr>
            </w:pPr>
            <w:r>
              <w:rPr>
                <w:color w:val="000000"/>
              </w:rPr>
              <w:t>$</w:t>
            </w:r>
          </w:p>
        </w:tc>
        <w:tc>
          <w:tcPr>
            <w:tcW w:w="289"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69" w:type="dxa"/>
            <w:tcBorders/>
            <w:shd w:fill="CCEEFF" w:val="clear"/>
            <w:vAlign w:val="bottom"/>
          </w:tcPr>
          <w:p>
            <w:pPr>
              <w:pStyle w:val="TableContents"/>
              <w:bidi w:val="0"/>
              <w:spacing w:before="0" w:after="0"/>
              <w:jc w:val="left"/>
              <w:rPr>
                <w:color w:val="000000"/>
              </w:rPr>
            </w:pPr>
            <w:r>
              <w:rPr>
                <w:color w:val="000000"/>
              </w:rPr>
              <w:t>$</w:t>
            </w:r>
          </w:p>
        </w:tc>
        <w:tc>
          <w:tcPr>
            <w:tcW w:w="346"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91" w:type="dxa"/>
            <w:tcBorders/>
            <w:shd w:fill="CCEEFF" w:val="clear"/>
            <w:vAlign w:val="bottom"/>
          </w:tcPr>
          <w:p>
            <w:pPr>
              <w:pStyle w:val="TableContents"/>
              <w:bidi w:val="0"/>
              <w:spacing w:before="0" w:after="0"/>
              <w:jc w:val="left"/>
              <w:rPr>
                <w:color w:val="000000"/>
              </w:rPr>
            </w:pPr>
            <w:r>
              <w:rPr>
                <w:color w:val="000000"/>
              </w:rPr>
              <w:t>$</w:t>
            </w:r>
          </w:p>
        </w:tc>
        <w:tc>
          <w:tcPr>
            <w:tcW w:w="289"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0"/>
              <w:jc w:val="left"/>
              <w:rPr>
                <w:color w:val="000000"/>
              </w:rPr>
            </w:pPr>
            <w:r>
              <w:rPr>
                <w:color w:val="000000"/>
              </w:rPr>
              <w:t>$</w:t>
            </w:r>
          </w:p>
        </w:tc>
        <w:tc>
          <w:tcPr>
            <w:tcW w:w="257"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0"/>
              <w:jc w:val="left"/>
              <w:rPr>
                <w:color w:val="000000"/>
              </w:rPr>
            </w:pPr>
            <w:r>
              <w:rPr>
                <w:color w:val="000000"/>
              </w:rPr>
              <w:t>$</w:t>
            </w:r>
          </w:p>
        </w:tc>
        <w:tc>
          <w:tcPr>
            <w:tcW w:w="1312" w:type="dxa"/>
            <w:tcBorders/>
            <w:shd w:fill="CCEEFF" w:val="clear"/>
            <w:vAlign w:val="bottom"/>
          </w:tcPr>
          <w:p>
            <w:pPr>
              <w:pStyle w:val="TableContents"/>
              <w:bidi w:val="0"/>
              <w:spacing w:before="0" w:after="0"/>
              <w:jc w:val="right"/>
              <w:rPr>
                <w:color w:val="000000"/>
              </w:rPr>
            </w:pPr>
            <w:r>
              <w:rPr>
                <w:color w:val="000000"/>
              </w:rPr>
              <w:t>78,875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590" w:type="dxa"/>
            <w:tcBorders/>
            <w:shd w:fill="CCEEFF" w:val="clear"/>
            <w:vAlign w:val="bottom"/>
          </w:tcPr>
          <w:p>
            <w:pPr>
              <w:pStyle w:val="TableContents"/>
              <w:bidi w:val="0"/>
              <w:spacing w:before="0" w:after="0"/>
              <w:jc w:val="right"/>
              <w:rPr>
                <w:color w:val="000000"/>
              </w:rPr>
            </w:pPr>
            <w:r>
              <w:rPr>
                <w:color w:val="000000"/>
              </w:rPr>
              <w:t>4,750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0"/>
              <w:jc w:val="left"/>
              <w:rPr>
                <w:color w:val="000000"/>
              </w:rPr>
            </w:pPr>
            <w:r>
              <w:rPr>
                <w:color w:val="000000"/>
              </w:rPr>
              <w:t>$</w:t>
            </w:r>
          </w:p>
        </w:tc>
        <w:tc>
          <w:tcPr>
            <w:tcW w:w="831" w:type="dxa"/>
            <w:tcBorders/>
            <w:shd w:fill="CCEEFF" w:val="clear"/>
            <w:vAlign w:val="bottom"/>
          </w:tcPr>
          <w:p>
            <w:pPr>
              <w:pStyle w:val="TableContents"/>
              <w:bidi w:val="0"/>
              <w:spacing w:before="0" w:after="0"/>
              <w:jc w:val="right"/>
              <w:rPr>
                <w:color w:val="000000"/>
              </w:rPr>
            </w:pPr>
            <w:r>
              <w:rPr>
                <w:color w:val="000000"/>
              </w:rPr>
              <w:t>83,625</w:t>
            </w:r>
          </w:p>
        </w:tc>
        <w:tc>
          <w:tcPr>
            <w:tcW w:w="170" w:type="dxa"/>
            <w:tcBorders/>
            <w:shd w:fill="CCEEFF" w:val="clear"/>
            <w:vAlign w:val="bottom"/>
          </w:tcPr>
          <w:p>
            <w:pPr>
              <w:pStyle w:val="TableContents"/>
              <w:bidi w:val="0"/>
              <w:spacing w:before="0" w:after="283"/>
              <w:jc w:val="left"/>
              <w:rPr/>
            </w:pPr>
            <w:r>
              <w:rPr/>
              <w:t> </w:t>
            </w:r>
          </w:p>
        </w:tc>
      </w:tr>
      <w:tr>
        <w:trPr/>
        <w:tc>
          <w:tcPr>
            <w:tcW w:w="965" w:type="dxa"/>
            <w:tcBorders/>
            <w:vAlign w:val="bottom"/>
          </w:tcPr>
          <w:p>
            <w:pPr>
              <w:pStyle w:val="TableContents"/>
              <w:bidi w:val="0"/>
              <w:spacing w:before="0" w:after="0"/>
              <w:ind w:left="180" w:right="0" w:hanging="180"/>
              <w:jc w:val="left"/>
              <w:rPr>
                <w:color w:val="000000"/>
              </w:rPr>
            </w:pPr>
            <w:r>
              <w:rPr>
                <w:color w:val="000000"/>
              </w:rPr>
              <w:t>Impairment</w:t>
            </w:r>
          </w:p>
        </w:tc>
        <w:tc>
          <w:tcPr>
            <w:tcW w:w="90" w:type="dxa"/>
            <w:tcBorders/>
            <w:vAlign w:val="bottom"/>
          </w:tcPr>
          <w:p>
            <w:pPr>
              <w:pStyle w:val="TableContents"/>
              <w:bidi w:val="0"/>
              <w:spacing w:before="0" w:after="283"/>
              <w:jc w:val="left"/>
              <w:rPr/>
            </w:pPr>
            <w:r>
              <w:rPr/>
              <w:t> </w:t>
            </w:r>
          </w:p>
        </w:tc>
        <w:tc>
          <w:tcPr>
            <w:tcW w:w="582" w:type="dxa"/>
            <w:tcBorders>
              <w:bottom w:val="single" w:sz="12" w:space="0" w:color="000000"/>
            </w:tcBorders>
            <w:tcMar>
              <w:bottom w:w="28" w:type="dxa"/>
            </w:tcMar>
            <w:vAlign w:val="bottom"/>
          </w:tcPr>
          <w:p>
            <w:pPr>
              <w:pStyle w:val="TableContents"/>
              <w:bidi w:val="0"/>
              <w:spacing w:before="0" w:after="283"/>
              <w:jc w:val="left"/>
              <w:rPr/>
            </w:pPr>
            <w:r>
              <w:rPr/>
              <w:t> </w:t>
            </w:r>
          </w:p>
        </w:tc>
        <w:tc>
          <w:tcPr>
            <w:tcW w:w="42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9" w:type="dxa"/>
            <w:tcBorders>
              <w:bottom w:val="single" w:sz="12" w:space="0" w:color="000000"/>
            </w:tcBorders>
            <w:tcMar>
              <w:bottom w:w="28" w:type="dxa"/>
            </w:tcMar>
            <w:vAlign w:val="bottom"/>
          </w:tcPr>
          <w:p>
            <w:pPr>
              <w:pStyle w:val="TableContents"/>
              <w:bidi w:val="0"/>
              <w:spacing w:before="0" w:after="283"/>
              <w:jc w:val="left"/>
              <w:rPr/>
            </w:pPr>
            <w:r>
              <w:rPr/>
              <w:t> </w:t>
            </w:r>
          </w:p>
        </w:tc>
        <w:tc>
          <w:tcPr>
            <w:tcW w:w="44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99" w:type="dxa"/>
            <w:tcBorders>
              <w:bottom w:val="single" w:sz="12" w:space="0" w:color="000000"/>
            </w:tcBorders>
            <w:tcMar>
              <w:bottom w:w="28" w:type="dxa"/>
            </w:tcMar>
            <w:vAlign w:val="bottom"/>
          </w:tcPr>
          <w:p>
            <w:pPr>
              <w:pStyle w:val="TableContents"/>
              <w:bidi w:val="0"/>
              <w:spacing w:before="0" w:after="283"/>
              <w:jc w:val="left"/>
              <w:rPr/>
            </w:pPr>
            <w:r>
              <w:rPr/>
              <w:t> </w:t>
            </w:r>
          </w:p>
        </w:tc>
        <w:tc>
          <w:tcPr>
            <w:tcW w:w="44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1" w:type="dxa"/>
            <w:tcBorders>
              <w:bottom w:val="single" w:sz="12" w:space="0" w:color="000000"/>
            </w:tcBorders>
            <w:tcMar>
              <w:bottom w:w="28" w:type="dxa"/>
            </w:tcMar>
            <w:vAlign w:val="bottom"/>
          </w:tcPr>
          <w:p>
            <w:pPr>
              <w:pStyle w:val="TableContents"/>
              <w:bidi w:val="0"/>
              <w:spacing w:before="0" w:after="283"/>
              <w:jc w:val="left"/>
              <w:rPr/>
            </w:pPr>
            <w:r>
              <w:rPr/>
              <w:t> </w:t>
            </w:r>
          </w:p>
        </w:tc>
        <w:tc>
          <w:tcPr>
            <w:tcW w:w="28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69" w:type="dxa"/>
            <w:tcBorders>
              <w:bottom w:val="single" w:sz="12" w:space="0" w:color="000000"/>
            </w:tcBorders>
            <w:tcMar>
              <w:bottom w:w="28" w:type="dxa"/>
            </w:tcMar>
            <w:vAlign w:val="bottom"/>
          </w:tcPr>
          <w:p>
            <w:pPr>
              <w:pStyle w:val="TableContents"/>
              <w:bidi w:val="0"/>
              <w:spacing w:before="0" w:after="283"/>
              <w:jc w:val="left"/>
              <w:rPr/>
            </w:pPr>
            <w:r>
              <w:rPr/>
              <w:t> </w:t>
            </w:r>
          </w:p>
        </w:tc>
        <w:tc>
          <w:tcPr>
            <w:tcW w:w="34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1" w:type="dxa"/>
            <w:tcBorders>
              <w:bottom w:val="single" w:sz="12" w:space="0" w:color="000000"/>
            </w:tcBorders>
            <w:tcMar>
              <w:bottom w:w="28" w:type="dxa"/>
            </w:tcMar>
            <w:vAlign w:val="bottom"/>
          </w:tcPr>
          <w:p>
            <w:pPr>
              <w:pStyle w:val="TableContents"/>
              <w:bidi w:val="0"/>
              <w:spacing w:before="0" w:after="283"/>
              <w:jc w:val="left"/>
              <w:rPr/>
            </w:pPr>
            <w:r>
              <w:rPr/>
              <w:t> </w:t>
            </w:r>
          </w:p>
        </w:tc>
        <w:tc>
          <w:tcPr>
            <w:tcW w:w="28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73" w:type="dxa"/>
            <w:tcBorders>
              <w:bottom w:val="single" w:sz="12" w:space="0" w:color="000000"/>
            </w:tcBorders>
            <w:tcMar>
              <w:bottom w:w="28" w:type="dxa"/>
            </w:tcMar>
            <w:vAlign w:val="bottom"/>
          </w:tcPr>
          <w:p>
            <w:pPr>
              <w:pStyle w:val="TableContents"/>
              <w:bidi w:val="0"/>
              <w:spacing w:before="0" w:after="283"/>
              <w:jc w:val="left"/>
              <w:rPr/>
            </w:pPr>
            <w:r>
              <w:rPr/>
              <w:t> </w:t>
            </w:r>
          </w:p>
        </w:tc>
        <w:tc>
          <w:tcPr>
            <w:tcW w:w="25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83" w:type="dxa"/>
            <w:tcBorders>
              <w:bottom w:val="single" w:sz="12" w:space="0" w:color="000000"/>
            </w:tcBorders>
            <w:tcMar>
              <w:bottom w:w="28" w:type="dxa"/>
            </w:tcMar>
            <w:vAlign w:val="bottom"/>
          </w:tcPr>
          <w:p>
            <w:pPr>
              <w:pStyle w:val="TableContents"/>
              <w:bidi w:val="0"/>
              <w:spacing w:before="0" w:after="283"/>
              <w:jc w:val="left"/>
              <w:rPr/>
            </w:pPr>
            <w:r>
              <w:rPr/>
              <w:t> </w:t>
            </w:r>
          </w:p>
        </w:tc>
        <w:tc>
          <w:tcPr>
            <w:tcW w:w="131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(78,875</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9" w:type="dxa"/>
            <w:tcBorders>
              <w:bottom w:val="single" w:sz="12" w:space="0" w:color="000000"/>
            </w:tcBorders>
            <w:tcMar>
              <w:bottom w:w="28" w:type="dxa"/>
            </w:tcMar>
            <w:vAlign w:val="bottom"/>
          </w:tcPr>
          <w:p>
            <w:pPr>
              <w:pStyle w:val="TableContents"/>
              <w:bidi w:val="0"/>
              <w:spacing w:before="0" w:after="283"/>
              <w:jc w:val="left"/>
              <w:rPr/>
            </w:pPr>
            <w:r>
              <w:rPr/>
              <w:t> </w:t>
            </w:r>
          </w:p>
        </w:tc>
        <w:tc>
          <w:tcPr>
            <w:tcW w:w="83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(78,875</w:t>
            </w:r>
          </w:p>
        </w:tc>
        <w:tc>
          <w:tcPr>
            <w:tcW w:w="170" w:type="dxa"/>
            <w:tcBorders/>
            <w:vAlign w:val="bottom"/>
          </w:tcPr>
          <w:p>
            <w:pPr>
              <w:pStyle w:val="TableContents"/>
              <w:bidi w:val="0"/>
              <w:spacing w:before="0" w:after="0"/>
              <w:jc w:val="left"/>
              <w:rPr>
                <w:color w:val="000000"/>
              </w:rPr>
            </w:pPr>
            <w:r>
              <w:rPr>
                <w:color w:val="000000"/>
              </w:rPr>
              <w:t>)</w:t>
            </w:r>
          </w:p>
        </w:tc>
      </w:tr>
      <w:tr>
        <w:trPr/>
        <w:tc>
          <w:tcPr>
            <w:tcW w:w="965" w:type="dxa"/>
            <w:tcBorders/>
            <w:shd w:fill="CCEEFF" w:val="clear"/>
            <w:vAlign w:val="bottom"/>
          </w:tcPr>
          <w:p>
            <w:pPr>
              <w:pStyle w:val="TableContents"/>
              <w:bidi w:val="0"/>
              <w:spacing w:before="0" w:after="0"/>
              <w:ind w:left="180" w:right="0" w:hanging="180"/>
              <w:jc w:val="left"/>
              <w:rPr>
                <w:color w:val="000000"/>
              </w:rPr>
            </w:pPr>
            <w:r>
              <w:rPr>
                <w:color w:val="000000"/>
              </w:rPr>
              <w:t>Goodwill as of June 30, 2026</w:t>
            </w:r>
          </w:p>
        </w:tc>
        <w:tc>
          <w:tcPr>
            <w:tcW w:w="90" w:type="dxa"/>
            <w:tcBorders/>
            <w:shd w:fill="CCEEFF" w:val="clear"/>
            <w:vAlign w:val="bottom"/>
          </w:tcPr>
          <w:p>
            <w:pPr>
              <w:pStyle w:val="TableContents"/>
              <w:bidi w:val="0"/>
              <w:spacing w:before="0" w:after="283"/>
              <w:jc w:val="left"/>
              <w:rPr/>
            </w:pPr>
            <w:r>
              <w:rPr/>
              <w:t> </w:t>
            </w:r>
          </w:p>
        </w:tc>
        <w:tc>
          <w:tcPr>
            <w:tcW w:w="582"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42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9"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441"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99"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441"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91"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28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69"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346"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91"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28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573"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257"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83"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312"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4,750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9"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1"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4,750</w:t>
            </w:r>
          </w:p>
        </w:tc>
        <w:tc>
          <w:tcPr>
            <w:tcW w:w="17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Accumulated impairment losses for each segment as of June 30, 2026 and December 31, 2025 are as follows:</w:t>
      </w:r>
    </w:p>
    <w:p>
      <w:pPr>
        <w:pStyle w:val="TextBody"/>
        <w:bidi w:val="0"/>
        <w:spacing w:before="0" w:after="0"/>
        <w:jc w:val="left"/>
        <w:rPr/>
      </w:pPr>
      <w:r>
        <w:rPr/>
      </w:r>
    </w:p>
    <w:tbl>
      <w:tblPr>
        <w:tblW w:w="12970" w:type="dxa"/>
        <w:jc w:val="left"/>
        <w:tblInd w:w="0" w:type="dxa"/>
        <w:tblLayout w:type="fixed"/>
        <w:tblCellMar>
          <w:top w:w="0" w:type="dxa"/>
          <w:left w:w="0" w:type="dxa"/>
          <w:bottom w:w="0" w:type="dxa"/>
          <w:right w:w="0" w:type="dxa"/>
        </w:tblCellMar>
      </w:tblPr>
      <w:tblGrid>
        <w:gridCol w:w="1145"/>
        <w:gridCol w:w="90"/>
        <w:gridCol w:w="225"/>
        <w:gridCol w:w="785"/>
        <w:gridCol w:w="90"/>
        <w:gridCol w:w="90"/>
        <w:gridCol w:w="200"/>
        <w:gridCol w:w="840"/>
        <w:gridCol w:w="90"/>
        <w:gridCol w:w="90"/>
        <w:gridCol w:w="200"/>
        <w:gridCol w:w="840"/>
        <w:gridCol w:w="90"/>
        <w:gridCol w:w="90"/>
        <w:gridCol w:w="170"/>
        <w:gridCol w:w="710"/>
        <w:gridCol w:w="90"/>
        <w:gridCol w:w="90"/>
        <w:gridCol w:w="182"/>
        <w:gridCol w:w="633"/>
        <w:gridCol w:w="90"/>
        <w:gridCol w:w="90"/>
        <w:gridCol w:w="170"/>
        <w:gridCol w:w="710"/>
        <w:gridCol w:w="90"/>
        <w:gridCol w:w="90"/>
        <w:gridCol w:w="240"/>
        <w:gridCol w:w="590"/>
        <w:gridCol w:w="90"/>
        <w:gridCol w:w="90"/>
        <w:gridCol w:w="308"/>
        <w:gridCol w:w="1287"/>
        <w:gridCol w:w="90"/>
        <w:gridCol w:w="90"/>
        <w:gridCol w:w="170"/>
        <w:gridCol w:w="710"/>
        <w:gridCol w:w="90"/>
        <w:gridCol w:w="90"/>
        <w:gridCol w:w="171"/>
        <w:gridCol w:w="839"/>
        <w:gridCol w:w="135"/>
      </w:tblGrid>
      <w:tr>
        <w:trPr/>
        <w:tc>
          <w:tcPr>
            <w:tcW w:w="11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575" w:type="dxa"/>
            <w:gridSpan w:val="2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Nu Skin</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65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Rhyz</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11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40" w:type="dxa"/>
            <w:gridSpan w:val="2"/>
            <w:tcBorders/>
            <w:vAlign w:val="bottom"/>
          </w:tcPr>
          <w:p>
            <w:pPr>
              <w:pStyle w:val="TableContents"/>
              <w:bidi w:val="0"/>
              <w:spacing w:before="0" w:after="0"/>
              <w:jc w:val="center"/>
              <w:rPr>
                <w:b/>
                <w:color w:val="000000"/>
              </w:rPr>
            </w:pPr>
            <w:r>
              <w:rPr>
                <w:b/>
                <w:color w:val="000000"/>
              </w:rPr>
              <w:t>Southeast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40" w:type="dxa"/>
            <w:gridSpan w:val="2"/>
            <w:tcBorders/>
            <w:vAlign w:val="bottom"/>
          </w:tcPr>
          <w:p>
            <w:pPr>
              <w:pStyle w:val="TableContents"/>
              <w:bidi w:val="0"/>
              <w:spacing w:before="0" w:after="0"/>
              <w:jc w:val="center"/>
              <w:rPr>
                <w:b/>
                <w:color w:val="000000"/>
              </w:rPr>
            </w:pPr>
            <w:r>
              <w:rPr>
                <w:b/>
                <w:color w:val="000000"/>
              </w:rPr>
              <w:t>Mainland</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0"/>
              <w:jc w:val="center"/>
              <w:rPr>
                <w:b/>
                <w:color w:val="000000"/>
              </w:rPr>
            </w:pPr>
            <w:r>
              <w:rPr>
                <w:b/>
                <w:color w:val="000000"/>
              </w:rPr>
              <w:t>Europe &amp;</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30" w:type="dxa"/>
            <w:gridSpan w:val="2"/>
            <w:tcBorders/>
            <w:vAlign w:val="bottom"/>
          </w:tcPr>
          <w:p>
            <w:pPr>
              <w:pStyle w:val="TableContents"/>
              <w:bidi w:val="0"/>
              <w:spacing w:before="0" w:after="0"/>
              <w:jc w:val="center"/>
              <w:rPr>
                <w:b/>
                <w:color w:val="000000"/>
              </w:rPr>
            </w:pPr>
            <w:r>
              <w:rPr>
                <w:b/>
                <w:color w:val="000000"/>
              </w:rPr>
              <w:t>Hong Kong/</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95"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0"/>
              <w:jc w:val="center"/>
              <w:rPr>
                <w:b/>
                <w:color w:val="000000"/>
              </w:rPr>
            </w:pPr>
            <w:r>
              <w:rPr>
                <w:b/>
                <w:color w:val="000000"/>
              </w:rPr>
              <w:t>Rhyz</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0"/>
              <w:jc w:val="center"/>
              <w:rPr>
                <w:b/>
                <w:color w:val="000000"/>
              </w:rPr>
            </w:pPr>
            <w:r>
              <w:rPr>
                <w:b/>
                <w:color w:val="000000"/>
              </w:rPr>
              <w:t>Total</w:t>
            </w:r>
          </w:p>
        </w:tc>
        <w:tc>
          <w:tcPr>
            <w:tcW w:w="135" w:type="dxa"/>
            <w:tcBorders/>
            <w:vAlign w:val="bottom"/>
          </w:tcPr>
          <w:p>
            <w:pPr>
              <w:pStyle w:val="TableContents"/>
              <w:bidi w:val="0"/>
              <w:spacing w:before="0" w:after="283"/>
              <w:jc w:val="left"/>
              <w:rPr/>
            </w:pPr>
            <w:r>
              <w:rPr/>
              <w:t> </w:t>
            </w:r>
          </w:p>
        </w:tc>
      </w:tr>
      <w:tr>
        <w:trPr/>
        <w:tc>
          <w:tcPr>
            <w:tcW w:w="11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Americas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Asia/Pacific</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China</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Japan</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Africa</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South Korea</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Taiwan</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59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Manufacturing</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Other</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Segments</w:t>
            </w:r>
          </w:p>
        </w:tc>
        <w:tc>
          <w:tcPr>
            <w:tcW w:w="135" w:type="dxa"/>
            <w:tcBorders/>
            <w:vAlign w:val="bottom"/>
          </w:tcPr>
          <w:p>
            <w:pPr>
              <w:pStyle w:val="TableContents"/>
              <w:bidi w:val="0"/>
              <w:spacing w:before="0" w:after="283"/>
              <w:jc w:val="left"/>
              <w:rPr/>
            </w:pPr>
            <w:r>
              <w:rPr/>
              <w:t> </w:t>
            </w:r>
          </w:p>
        </w:tc>
      </w:tr>
      <w:tr>
        <w:trPr/>
        <w:tc>
          <w:tcPr>
            <w:tcW w:w="1145" w:type="dxa"/>
            <w:tcBorders/>
            <w:shd w:fill="CCEEFF" w:val="clear"/>
            <w:vAlign w:val="bottom"/>
          </w:tcPr>
          <w:p>
            <w:pPr>
              <w:pStyle w:val="TableContents"/>
              <w:bidi w:val="0"/>
              <w:spacing w:before="0" w:after="0"/>
              <w:ind w:left="180" w:right="0" w:hanging="180"/>
              <w:jc w:val="left"/>
              <w:rPr>
                <w:color w:val="000000"/>
              </w:rPr>
            </w:pPr>
            <w:r>
              <w:rPr>
                <w:color w:val="000000"/>
              </w:rPr>
              <w:t>Accumulated impairment losses as of December 31, 2025</w:t>
            </w:r>
          </w:p>
        </w:tc>
        <w:tc>
          <w:tcPr>
            <w:tcW w:w="9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0"/>
              <w:jc w:val="left"/>
              <w:rPr>
                <w:color w:val="000000"/>
              </w:rPr>
            </w:pPr>
            <w:r>
              <w:rPr>
                <w:color w:val="000000"/>
              </w:rPr>
              <w:t>$</w:t>
            </w:r>
          </w:p>
        </w:tc>
        <w:tc>
          <w:tcPr>
            <w:tcW w:w="785" w:type="dxa"/>
            <w:tcBorders/>
            <w:shd w:fill="CCEEFF" w:val="clear"/>
            <w:vAlign w:val="bottom"/>
          </w:tcPr>
          <w:p>
            <w:pPr>
              <w:pStyle w:val="TableContents"/>
              <w:bidi w:val="0"/>
              <w:spacing w:before="0" w:after="0"/>
              <w:jc w:val="right"/>
              <w:rPr>
                <w:color w:val="000000"/>
              </w:rPr>
            </w:pPr>
            <w:r>
              <w:rPr>
                <w:color w:val="000000"/>
              </w:rPr>
              <w:t>9,449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0"/>
              <w:jc w:val="left"/>
              <w:rPr>
                <w:color w:val="000000"/>
              </w:rPr>
            </w:pPr>
            <w:r>
              <w:rPr>
                <w:color w:val="000000"/>
              </w:rPr>
              <w:t>$</w:t>
            </w:r>
          </w:p>
        </w:tc>
        <w:tc>
          <w:tcPr>
            <w:tcW w:w="840" w:type="dxa"/>
            <w:tcBorders/>
            <w:shd w:fill="CCEEFF" w:val="clear"/>
            <w:vAlign w:val="bottom"/>
          </w:tcPr>
          <w:p>
            <w:pPr>
              <w:pStyle w:val="TableContents"/>
              <w:bidi w:val="0"/>
              <w:spacing w:before="0" w:after="0"/>
              <w:jc w:val="right"/>
              <w:rPr>
                <w:color w:val="000000"/>
              </w:rPr>
            </w:pPr>
            <w:r>
              <w:rPr>
                <w:color w:val="000000"/>
              </w:rPr>
              <w:t>18,537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0"/>
              <w:jc w:val="left"/>
              <w:rPr>
                <w:color w:val="000000"/>
              </w:rPr>
            </w:pPr>
            <w:r>
              <w:rPr>
                <w:color w:val="000000"/>
              </w:rPr>
              <w:t>$</w:t>
            </w:r>
          </w:p>
        </w:tc>
        <w:tc>
          <w:tcPr>
            <w:tcW w:w="840" w:type="dxa"/>
            <w:tcBorders/>
            <w:shd w:fill="CCEEFF" w:val="clear"/>
            <w:vAlign w:val="bottom"/>
          </w:tcPr>
          <w:p>
            <w:pPr>
              <w:pStyle w:val="TableContents"/>
              <w:bidi w:val="0"/>
              <w:spacing w:before="0" w:after="0"/>
              <w:jc w:val="right"/>
              <w:rPr>
                <w:color w:val="000000"/>
              </w:rPr>
            </w:pPr>
            <w:r>
              <w:rPr>
                <w:color w:val="000000"/>
              </w:rPr>
              <w:t>32,179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16,019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0"/>
              <w:jc w:val="left"/>
              <w:rPr>
                <w:color w:val="000000"/>
              </w:rPr>
            </w:pPr>
            <w:r>
              <w:rPr>
                <w:color w:val="000000"/>
              </w:rPr>
              <w:t>$</w:t>
            </w:r>
          </w:p>
        </w:tc>
        <w:tc>
          <w:tcPr>
            <w:tcW w:w="633" w:type="dxa"/>
            <w:tcBorders/>
            <w:shd w:fill="CCEEFF" w:val="clear"/>
            <w:vAlign w:val="bottom"/>
          </w:tcPr>
          <w:p>
            <w:pPr>
              <w:pStyle w:val="TableContents"/>
              <w:bidi w:val="0"/>
              <w:spacing w:before="0" w:after="0"/>
              <w:jc w:val="right"/>
              <w:rPr>
                <w:color w:val="000000"/>
              </w:rPr>
            </w:pPr>
            <w:r>
              <w:rPr>
                <w:color w:val="000000"/>
              </w:rPr>
              <w:t>2,875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29,261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0"/>
              <w:jc w:val="left"/>
              <w:rPr>
                <w:color w:val="000000"/>
              </w:rPr>
            </w:pPr>
            <w:r>
              <w:rPr>
                <w:color w:val="000000"/>
              </w:rPr>
              <w:t>$</w:t>
            </w:r>
          </w:p>
        </w:tc>
        <w:tc>
          <w:tcPr>
            <w:tcW w:w="590" w:type="dxa"/>
            <w:tcBorders/>
            <w:shd w:fill="CCEEFF" w:val="clear"/>
            <w:vAlign w:val="bottom"/>
          </w:tcPr>
          <w:p>
            <w:pPr>
              <w:pStyle w:val="TableContents"/>
              <w:bidi w:val="0"/>
              <w:spacing w:before="0" w:after="0"/>
              <w:jc w:val="right"/>
              <w:rPr>
                <w:color w:val="000000"/>
              </w:rPr>
            </w:pPr>
            <w:r>
              <w:rPr>
                <w:color w:val="000000"/>
              </w:rPr>
              <w:t>6,634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0"/>
              <w:jc w:val="left"/>
              <w:rPr>
                <w:color w:val="000000"/>
              </w:rPr>
            </w:pPr>
            <w:r>
              <w:rPr>
                <w:color w:val="000000"/>
              </w:rPr>
              <w:t>$</w:t>
            </w:r>
          </w:p>
        </w:tc>
        <w:tc>
          <w:tcPr>
            <w:tcW w:w="1287"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19,587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0"/>
              <w:jc w:val="left"/>
              <w:rPr>
                <w:color w:val="000000"/>
              </w:rPr>
            </w:pPr>
            <w:r>
              <w:rPr>
                <w:color w:val="000000"/>
              </w:rPr>
              <w:t>$</w:t>
            </w:r>
          </w:p>
        </w:tc>
        <w:tc>
          <w:tcPr>
            <w:tcW w:w="839" w:type="dxa"/>
            <w:tcBorders/>
            <w:shd w:fill="CCEEFF" w:val="clear"/>
            <w:vAlign w:val="bottom"/>
          </w:tcPr>
          <w:p>
            <w:pPr>
              <w:pStyle w:val="TableContents"/>
              <w:bidi w:val="0"/>
              <w:spacing w:before="0" w:after="0"/>
              <w:jc w:val="right"/>
              <w:rPr>
                <w:color w:val="000000"/>
              </w:rPr>
            </w:pPr>
            <w:r>
              <w:rPr>
                <w:color w:val="000000"/>
              </w:rPr>
              <w:t>134,541</w:t>
            </w:r>
          </w:p>
        </w:tc>
        <w:tc>
          <w:tcPr>
            <w:tcW w:w="135" w:type="dxa"/>
            <w:tcBorders/>
            <w:shd w:fill="CCEEFF" w:val="clear"/>
            <w:vAlign w:val="bottom"/>
          </w:tcPr>
          <w:p>
            <w:pPr>
              <w:pStyle w:val="TableContents"/>
              <w:bidi w:val="0"/>
              <w:spacing w:before="0" w:after="283"/>
              <w:jc w:val="left"/>
              <w:rPr/>
            </w:pPr>
            <w:r>
              <w:rPr/>
              <w:t> </w:t>
            </w:r>
          </w:p>
        </w:tc>
      </w:tr>
      <w:tr>
        <w:trPr/>
        <w:tc>
          <w:tcPr>
            <w:tcW w:w="1145" w:type="dxa"/>
            <w:tcBorders/>
            <w:vAlign w:val="bottom"/>
          </w:tcPr>
          <w:p>
            <w:pPr>
              <w:pStyle w:val="TableContents"/>
              <w:bidi w:val="0"/>
              <w:spacing w:before="0" w:after="0"/>
              <w:ind w:left="180" w:right="0" w:hanging="180"/>
              <w:jc w:val="left"/>
              <w:rPr>
                <w:color w:val="000000"/>
              </w:rPr>
            </w:pPr>
            <w:r>
              <w:rPr>
                <w:color w:val="000000"/>
              </w:rPr>
              <w:t>Impairment</w:t>
            </w:r>
          </w:p>
        </w:tc>
        <w:tc>
          <w:tcPr>
            <w:tcW w:w="90" w:type="dxa"/>
            <w:tcBorders/>
            <w:vAlign w:val="bottom"/>
          </w:tcPr>
          <w:p>
            <w:pPr>
              <w:pStyle w:val="TableContents"/>
              <w:bidi w:val="0"/>
              <w:spacing w:before="0" w:after="283"/>
              <w:jc w:val="left"/>
              <w:rPr/>
            </w:pPr>
            <w:r>
              <w:rPr/>
              <w:t> </w:t>
            </w:r>
          </w:p>
        </w:tc>
        <w:tc>
          <w:tcPr>
            <w:tcW w:w="2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84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84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82" w:type="dxa"/>
            <w:tcBorders>
              <w:bottom w:val="single" w:sz="12" w:space="0" w:color="000000"/>
            </w:tcBorders>
            <w:tcMar>
              <w:bottom w:w="28" w:type="dxa"/>
            </w:tcMar>
            <w:vAlign w:val="bottom"/>
          </w:tcPr>
          <w:p>
            <w:pPr>
              <w:pStyle w:val="TableContents"/>
              <w:bidi w:val="0"/>
              <w:spacing w:before="0" w:after="283"/>
              <w:jc w:val="left"/>
              <w:rPr/>
            </w:pPr>
            <w:r>
              <w:rPr/>
              <w:t> </w:t>
            </w:r>
          </w:p>
        </w:tc>
        <w:tc>
          <w:tcPr>
            <w:tcW w:w="63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40"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08" w:type="dxa"/>
            <w:tcBorders>
              <w:bottom w:val="single" w:sz="12" w:space="0" w:color="000000"/>
            </w:tcBorders>
            <w:tcMar>
              <w:bottom w:w="28" w:type="dxa"/>
            </w:tcMar>
            <w:vAlign w:val="bottom"/>
          </w:tcPr>
          <w:p>
            <w:pPr>
              <w:pStyle w:val="TableContents"/>
              <w:bidi w:val="0"/>
              <w:spacing w:before="0" w:after="283"/>
              <w:jc w:val="left"/>
              <w:rPr/>
            </w:pPr>
            <w:r>
              <w:rPr/>
              <w:t> </w:t>
            </w:r>
          </w:p>
        </w:tc>
        <w:tc>
          <w:tcPr>
            <w:tcW w:w="1287"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78,875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bottom w:val="single" w:sz="12" w:space="0" w:color="000000"/>
            </w:tcBorders>
            <w:tcMar>
              <w:bottom w:w="28" w:type="dxa"/>
            </w:tcMar>
            <w:vAlign w:val="bottom"/>
          </w:tcPr>
          <w:p>
            <w:pPr>
              <w:pStyle w:val="TableContents"/>
              <w:bidi w:val="0"/>
              <w:spacing w:before="0" w:after="283"/>
              <w:jc w:val="left"/>
              <w:rPr/>
            </w:pPr>
            <w:r>
              <w:rPr/>
              <w:t> </w:t>
            </w:r>
          </w:p>
        </w:tc>
        <w:tc>
          <w:tcPr>
            <w:tcW w:w="83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78,875</w:t>
            </w:r>
          </w:p>
        </w:tc>
        <w:tc>
          <w:tcPr>
            <w:tcW w:w="135" w:type="dxa"/>
            <w:tcBorders/>
            <w:vAlign w:val="bottom"/>
          </w:tcPr>
          <w:p>
            <w:pPr>
              <w:pStyle w:val="TableContents"/>
              <w:bidi w:val="0"/>
              <w:spacing w:before="0" w:after="283"/>
              <w:jc w:val="left"/>
              <w:rPr/>
            </w:pPr>
            <w:r>
              <w:rPr/>
              <w:t> </w:t>
            </w:r>
          </w:p>
        </w:tc>
      </w:tr>
      <w:tr>
        <w:trPr/>
        <w:tc>
          <w:tcPr>
            <w:tcW w:w="1145" w:type="dxa"/>
            <w:tcBorders/>
            <w:shd w:fill="CCEEFF" w:val="clear"/>
            <w:vAlign w:val="bottom"/>
          </w:tcPr>
          <w:p>
            <w:pPr>
              <w:pStyle w:val="TableContents"/>
              <w:bidi w:val="0"/>
              <w:spacing w:before="0" w:after="0"/>
              <w:ind w:left="180" w:right="0" w:hanging="180"/>
              <w:jc w:val="left"/>
              <w:rPr>
                <w:color w:val="000000"/>
              </w:rPr>
            </w:pPr>
            <w:r>
              <w:rPr>
                <w:color w:val="000000"/>
              </w:rPr>
              <w:t>Accumulated impairment losses as of June 30, 2026</w:t>
            </w:r>
          </w:p>
        </w:tc>
        <w:tc>
          <w:tcPr>
            <w:tcW w:w="90" w:type="dxa"/>
            <w:tcBorders/>
            <w:shd w:fill="CCEEFF" w:val="clear"/>
            <w:vAlign w:val="bottom"/>
          </w:tcPr>
          <w:p>
            <w:pPr>
              <w:pStyle w:val="TableContents"/>
              <w:bidi w:val="0"/>
              <w:spacing w:before="0" w:after="283"/>
              <w:jc w:val="left"/>
              <w:rPr/>
            </w:pPr>
            <w:r>
              <w:rPr/>
              <w:t> </w:t>
            </w:r>
          </w:p>
        </w:tc>
        <w:tc>
          <w:tcPr>
            <w:tcW w:w="225"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8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9,449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4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18,537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4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32,179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16,019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82"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33"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2,875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29,261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4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59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6,634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08"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1287"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78,875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19,587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9"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213,416</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Intangibles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reviews long-lived assets for impairment when performance expectations, events or change in circumstances indicate that the assets’ carrying value may not be recoverable. The evaluation is performed at the lowest level of identifiable cash flows by comparing the carrying value of the asset group to the net undiscounted cash flows. If the evaluation indicates that the carrying amount of the assets may not be recoverable, any potential impairment is measured based upon the fair value of the related asset group.</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During the first quarter of 2025, the Company decided to make a strategic shift in how it operates the BeautyBio asset group. These strategy changes included exiting certain sales channels, which reduced the forecasted revenues for BeautyBio. The Company concluded these actions were an interim impairment triggering event. As a result, the Company performed an interim impairment test of the asset group and assessed the recoverability of the related asset group by comparing the carrying value of the asset group to the net undiscounted cash flow expected to be generated. The recoverability test indicated that the asset group was impaired. The Company concluded the asset group’s carrying value exceeded its estimated fair value, which was determined utilizing the discounted projected future cash flows, which resulted in an impairment charge. The estimated fair value was based on expected future cash flows using level 3 inputs and utilized management estimates related to revenue growth rates, profitability margins and discount rates. As a result, during the three months ended March 31, 2025, the Company recorded an impairment charge of $25.1 million on the BeautyBio asset group, which is part of its Rhyz Other segment within impairment expenses on the consolidated statement of income. As of the impairment date, the BeautyBio asset group had a remaining carrying value of $2.3 million with a remaining weighted-average amortization period of approximately 7 years.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During the first quarter of 2026, the Company decided to wind down its separate BeautyBio business. As a result of this decision, the Company recorded an impairment charge of $1.8 million on the BeautyBio asset group, which is part of its Rhyz Other segment, within impairment expenses on the consolidated statement of income. As of March 31, 2026, the BeautyBio asset group has no remaining carrying value.</w:t>
      </w:r>
    </w:p>
    <w:p>
      <w:pPr>
        <w:pStyle w:val="TextBody"/>
        <w:bidi w:val="0"/>
        <w:spacing w:before="0" w:after="0"/>
        <w:jc w:val="left"/>
        <w:rPr/>
      </w:pPr>
      <w:r>
        <w:rPr/>
      </w:r>
    </w:p>
    <w:tbl>
      <w:tblPr>
        <w:tblW w:w="835" w:type="dxa"/>
        <w:jc w:val="left"/>
        <w:tblInd w:w="0" w:type="dxa"/>
        <w:tblLayout w:type="fixed"/>
        <w:tblCellMar>
          <w:top w:w="0" w:type="dxa"/>
          <w:left w:w="0" w:type="dxa"/>
          <w:bottom w:w="0" w:type="dxa"/>
          <w:right w:w="0" w:type="dxa"/>
        </w:tblCellMar>
      </w:tblPr>
      <w:tblGrid>
        <w:gridCol w:w="245"/>
        <w:gridCol w:w="590"/>
      </w:tblGrid>
      <w:tr>
        <w:trPr/>
        <w:tc>
          <w:tcPr>
            <w:tcW w:w="245" w:type="dxa"/>
            <w:tcBorders/>
            <w:vAlign w:val="center"/>
          </w:tcPr>
          <w:p>
            <w:pPr>
              <w:pStyle w:val="TableContents"/>
              <w:bidi w:val="0"/>
              <w:spacing w:before="0" w:after="0"/>
              <w:jc w:val="left"/>
              <w:rPr>
                <w:b/>
              </w:rPr>
            </w:pPr>
            <w:r>
              <w:rPr>
                <w:b/>
              </w:rPr>
              <w:t>5.</w:t>
            </w:r>
          </w:p>
        </w:tc>
        <w:tc>
          <w:tcPr>
            <w:tcW w:w="590" w:type="dxa"/>
            <w:tcBorders/>
            <w:vAlign w:val="center"/>
          </w:tcPr>
          <w:p>
            <w:pPr>
              <w:pStyle w:val="TableContents"/>
              <w:bidi w:val="0"/>
              <w:spacing w:before="0" w:after="0"/>
              <w:jc w:val="left"/>
              <w:rPr>
                <w:b/>
              </w:rPr>
            </w:pPr>
            <w:r>
              <w:rPr>
                <w:b/>
              </w:rPr>
              <w:t>Debt</w:t>
            </w:r>
          </w:p>
        </w:tc>
      </w:tr>
    </w:tbl>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2022 Credit Agreement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June 14, 2022, the Company entered into an Amended and Restated Credit Agreement (the “2022 Credit Agreement”) with several financial institutions as lenders and Bank of America, N.A., as administrative agent, which amended and restated the 2018 Credit Agreement. The 2022 Credit Agreement provided for a $400 million term loan facility and a $500 million revolving credit facility, each with a term of five years. Both facilities bore interest at the SOFR, plus a margin based on the Company’s consolidated leverage ratio. Commitment fees payable under the 2022 Credit Agreement were also based on the consolidated leverage ratio as defined in the 2022 Credit Agreement and range from 0.175% to 0.30% on the unused portion of the total lender commitments then in effect. The term loan facility amortized in quarterly installments in amounts resulting in an annual amortization of 2.5% during the first year and 5.0% during the second, third, fourth and fifth years after the closing date of the 2022 Credit Agreement, with the remainder payable at final maturity. The 2022 Credit Agreement was guaranteed by certain of the Company’s domestic subsidiaries and collateralized by assets of such subsidiaries, including a pledge of 65% of the capital stock of certain foreign subsidiaries. The 2022 Credit Agreement required the Company to maintain a consolidated leverage ratio not exceeding 2.75 to 1.00 and a consolidated interest coverage ratio of no less than 3.00 to 1.00.</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Credit Agreement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March 27, 2026, the Company entered into an Amended and Restated Credit Agreement (the “Credit Agreement”) with several financial institutions as lenders and Bank of America, N.A., as administrative agent, which amended and restated the 2022 Credit Agreement. The Credit Agreement provides for a $175 million term loan facility and a $75 million revolving credit facility, each with a term of five years. Both facilities bear interest at the SOFR, plus a margin based on the Company’s consolidated leverage ratio. Commitment fees payable under the Credit Agreement are also based on the consolidated leverage ratio as defined in the Credit Agreement and range from 0.175% to 0.30% on the unused portion of the total lender commitments then in effect. The term loan facility will amortize in equal quarterly installments in amounts resulting in an annual amortization of $20 million per annum, with the remainder payable at final maturity. The Credit Agreement is guaranteed by certain of the Company’s domestic subsidiaries and collateralized by assets of such subsidiaries, including a pledge of 65% of the capital stock of certain foreign subsidiaries. The Credit Agreement requires the Company to maintain a consolidated leverage ratio not exceeding 2.25 to 1.00 and a consolidated interest coverage ratio of no less than 3.00 to 1.00. As of June 30, 2026, the Company was in compliance with all covenants under the Credit Agreement.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summarizes the Company’s debt facilities as of June 30, 2026 and December 31, 2025:</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1931"/>
        <w:gridCol w:w="90"/>
        <w:gridCol w:w="1046"/>
        <w:gridCol w:w="90"/>
        <w:gridCol w:w="944"/>
        <w:gridCol w:w="90"/>
        <w:gridCol w:w="1198"/>
        <w:gridCol w:w="90"/>
        <w:gridCol w:w="1072"/>
        <w:gridCol w:w="90"/>
        <w:gridCol w:w="3564"/>
      </w:tblGrid>
      <w:tr>
        <w:trPr/>
        <w:tc>
          <w:tcPr>
            <w:tcW w:w="1931" w:type="dxa"/>
            <w:tcBorders>
              <w:bottom w:val="single" w:sz="12" w:space="0" w:color="000000"/>
            </w:tcBorders>
            <w:vAlign w:val="center"/>
          </w:tcPr>
          <w:p>
            <w:pPr>
              <w:pStyle w:val="TableContents"/>
              <w:bidi w:val="0"/>
              <w:spacing w:before="0" w:after="0"/>
              <w:jc w:val="center"/>
              <w:rPr>
                <w:b/>
                <w:color w:val="000000"/>
              </w:rPr>
            </w:pPr>
            <w:r>
              <w:rPr>
                <w:b/>
                <w:color w:val="000000"/>
              </w:rPr>
              <w:t>Facility or</w:t>
            </w:r>
          </w:p>
          <w:p>
            <w:pPr>
              <w:pStyle w:val="TableContents"/>
              <w:bidi w:val="0"/>
              <w:spacing w:before="0" w:after="0"/>
              <w:jc w:val="center"/>
              <w:rPr>
                <w:b/>
                <w:color w:val="000000"/>
              </w:rPr>
            </w:pPr>
            <w:r>
              <w:rPr>
                <w:b/>
                <w:color w:val="000000"/>
              </w:rPr>
              <w:t>Arrangement</w:t>
            </w:r>
          </w:p>
        </w:tc>
        <w:tc>
          <w:tcPr>
            <w:tcW w:w="90" w:type="dxa"/>
            <w:tcBorders/>
            <w:tcMar>
              <w:bottom w:w="0" w:type="dxa"/>
            </w:tcMar>
            <w:vAlign w:val="center"/>
          </w:tcPr>
          <w:p>
            <w:pPr>
              <w:pStyle w:val="TableContents"/>
              <w:bidi w:val="0"/>
              <w:spacing w:before="0" w:after="283"/>
              <w:jc w:val="left"/>
              <w:rPr/>
            </w:pPr>
            <w:r>
              <w:rPr/>
              <w:t> </w:t>
            </w:r>
          </w:p>
        </w:tc>
        <w:tc>
          <w:tcPr>
            <w:tcW w:w="1046" w:type="dxa"/>
            <w:tcBorders>
              <w:bottom w:val="single" w:sz="12" w:space="0" w:color="000000"/>
            </w:tcBorders>
            <w:vAlign w:val="center"/>
          </w:tcPr>
          <w:p>
            <w:pPr>
              <w:pStyle w:val="TableContents"/>
              <w:bidi w:val="0"/>
              <w:spacing w:before="0" w:after="0"/>
              <w:jc w:val="center"/>
              <w:rPr>
                <w:b/>
                <w:color w:val="000000"/>
              </w:rPr>
            </w:pPr>
            <w:r>
              <w:rPr>
                <w:b/>
                <w:color w:val="000000"/>
              </w:rPr>
              <w:t>Original</w:t>
            </w:r>
          </w:p>
          <w:p>
            <w:pPr>
              <w:pStyle w:val="TableContents"/>
              <w:bidi w:val="0"/>
              <w:spacing w:before="0" w:after="0"/>
              <w:jc w:val="center"/>
              <w:rPr>
                <w:b/>
                <w:color w:val="000000"/>
              </w:rPr>
            </w:pPr>
            <w:r>
              <w:rPr>
                <w:b/>
                <w:color w:val="000000"/>
              </w:rPr>
              <w:t>Principal</w:t>
            </w:r>
          </w:p>
          <w:p>
            <w:pPr>
              <w:pStyle w:val="TableContents"/>
              <w:bidi w:val="0"/>
              <w:spacing w:before="0" w:after="0"/>
              <w:jc w:val="center"/>
              <w:rPr>
                <w:color w:val="000000"/>
              </w:rPr>
            </w:pPr>
            <w:r>
              <w:rPr>
                <w:color w:val="000000"/>
              </w:rPr>
              <w:t> </w:t>
            </w:r>
            <w:r>
              <w:rPr>
                <w:b/>
                <w:color w:val="000000"/>
              </w:rPr>
              <w:t>Amount</w:t>
            </w:r>
          </w:p>
        </w:tc>
        <w:tc>
          <w:tcPr>
            <w:tcW w:w="90" w:type="dxa"/>
            <w:tcBorders/>
            <w:tcMar>
              <w:bottom w:w="0" w:type="dxa"/>
            </w:tcMar>
            <w:vAlign w:val="center"/>
          </w:tcPr>
          <w:p>
            <w:pPr>
              <w:pStyle w:val="TableContents"/>
              <w:bidi w:val="0"/>
              <w:spacing w:before="0" w:after="283"/>
              <w:jc w:val="left"/>
              <w:rPr/>
            </w:pPr>
            <w:r>
              <w:rPr/>
              <w:t> </w:t>
            </w:r>
          </w:p>
        </w:tc>
        <w:tc>
          <w:tcPr>
            <w:tcW w:w="944" w:type="dxa"/>
            <w:tcBorders>
              <w:bottom w:val="single" w:sz="12" w:space="0" w:color="000000"/>
            </w:tcBorders>
            <w:vAlign w:val="center"/>
          </w:tcPr>
          <w:p>
            <w:pPr>
              <w:pStyle w:val="TableContents"/>
              <w:bidi w:val="0"/>
              <w:spacing w:before="0" w:after="0"/>
              <w:jc w:val="center"/>
              <w:rPr>
                <w:b/>
                <w:color w:val="000000"/>
              </w:rPr>
            </w:pPr>
            <w:r>
              <w:rPr>
                <w:b/>
                <w:color w:val="000000"/>
              </w:rPr>
              <w:t>Balance as of</w:t>
            </w:r>
          </w:p>
          <w:p>
            <w:pPr>
              <w:pStyle w:val="TableContents"/>
              <w:bidi w:val="0"/>
              <w:spacing w:before="0" w:after="0"/>
              <w:jc w:val="center"/>
              <w:rPr>
                <w:b/>
                <w:color w:val="000000"/>
              </w:rPr>
            </w:pPr>
            <w:r>
              <w:rPr>
                <w:b/>
                <w:color w:val="000000"/>
              </w:rPr>
              <w:t>June 30,</w:t>
            </w:r>
          </w:p>
          <w:p>
            <w:pPr>
              <w:pStyle w:val="TableContents"/>
              <w:bidi w:val="0"/>
              <w:spacing w:lineRule="auto" w:line="240" w:before="0" w:after="0"/>
              <w:jc w:val="center"/>
              <w:rPr>
                <w:color w:val="000000"/>
              </w:rPr>
            </w:pPr>
            <w:r>
              <w:rPr>
                <w:color w:val="000000"/>
              </w:rPr>
              <w:t> </w:t>
            </w:r>
            <w:r>
              <w:rPr>
                <w:b/>
                <w:color w:val="000000"/>
              </w:rPr>
              <w:t>2026 (1)(2)</w:t>
            </w:r>
          </w:p>
        </w:tc>
        <w:tc>
          <w:tcPr>
            <w:tcW w:w="90" w:type="dxa"/>
            <w:tcBorders/>
            <w:tcMar>
              <w:bottom w:w="0" w:type="dxa"/>
            </w:tcMar>
            <w:vAlign w:val="center"/>
          </w:tcPr>
          <w:p>
            <w:pPr>
              <w:pStyle w:val="TableContents"/>
              <w:bidi w:val="0"/>
              <w:spacing w:before="0" w:after="283"/>
              <w:jc w:val="left"/>
              <w:rPr/>
            </w:pPr>
            <w:r>
              <w:rPr/>
              <w:t> </w:t>
            </w:r>
          </w:p>
        </w:tc>
        <w:tc>
          <w:tcPr>
            <w:tcW w:w="1198" w:type="dxa"/>
            <w:tcBorders>
              <w:bottom w:val="single" w:sz="12" w:space="0" w:color="000000"/>
            </w:tcBorders>
            <w:vAlign w:val="center"/>
          </w:tcPr>
          <w:p>
            <w:pPr>
              <w:pStyle w:val="TableContents"/>
              <w:bidi w:val="0"/>
              <w:spacing w:before="0" w:after="0"/>
              <w:jc w:val="center"/>
              <w:rPr>
                <w:b/>
                <w:color w:val="000000"/>
              </w:rPr>
            </w:pPr>
            <w:r>
              <w:rPr>
                <w:b/>
                <w:color w:val="000000"/>
              </w:rPr>
              <w:t>Balance as of</w:t>
            </w:r>
          </w:p>
          <w:p>
            <w:pPr>
              <w:pStyle w:val="TableContents"/>
              <w:bidi w:val="0"/>
              <w:spacing w:before="0" w:after="0"/>
              <w:jc w:val="center"/>
              <w:rPr>
                <w:color w:val="000000"/>
              </w:rPr>
            </w:pPr>
            <w:r>
              <w:rPr>
                <w:color w:val="000000"/>
              </w:rPr>
              <w:t> </w:t>
            </w:r>
            <w:r>
              <w:rPr>
                <w:b/>
                <w:color w:val="000000"/>
              </w:rPr>
              <w:t>December 31,</w:t>
            </w:r>
          </w:p>
          <w:p>
            <w:pPr>
              <w:pStyle w:val="TableContents"/>
              <w:bidi w:val="0"/>
              <w:spacing w:lineRule="auto" w:line="240" w:before="0" w:after="0"/>
              <w:jc w:val="center"/>
              <w:rPr>
                <w:b/>
                <w:color w:val="000000"/>
              </w:rPr>
            </w:pPr>
            <w:r>
              <w:rPr>
                <w:b/>
                <w:color w:val="000000"/>
              </w:rPr>
              <w:t>2025(1)(2)</w:t>
            </w:r>
          </w:p>
        </w:tc>
        <w:tc>
          <w:tcPr>
            <w:tcW w:w="90" w:type="dxa"/>
            <w:tcBorders/>
            <w:tcMar>
              <w:bottom w:w="0" w:type="dxa"/>
            </w:tcMar>
            <w:vAlign w:val="center"/>
          </w:tcPr>
          <w:p>
            <w:pPr>
              <w:pStyle w:val="TableContents"/>
              <w:bidi w:val="0"/>
              <w:spacing w:before="0" w:after="283"/>
              <w:jc w:val="left"/>
              <w:rPr/>
            </w:pPr>
            <w:r>
              <w:rPr/>
              <w:t> </w:t>
            </w:r>
          </w:p>
        </w:tc>
        <w:tc>
          <w:tcPr>
            <w:tcW w:w="1072" w:type="dxa"/>
            <w:tcBorders>
              <w:bottom w:val="single" w:sz="12" w:space="0" w:color="000000"/>
            </w:tcBorders>
            <w:vAlign w:val="center"/>
          </w:tcPr>
          <w:p>
            <w:pPr>
              <w:pStyle w:val="TableContents"/>
              <w:bidi w:val="0"/>
              <w:spacing w:before="0" w:after="0"/>
              <w:jc w:val="center"/>
              <w:rPr>
                <w:b/>
                <w:color w:val="000000"/>
              </w:rPr>
            </w:pPr>
            <w:r>
              <w:rPr>
                <w:b/>
                <w:color w:val="000000"/>
              </w:rPr>
              <w:t>Interest Rate</w:t>
            </w:r>
          </w:p>
        </w:tc>
        <w:tc>
          <w:tcPr>
            <w:tcW w:w="90" w:type="dxa"/>
            <w:tcBorders/>
            <w:tcMar>
              <w:bottom w:w="0" w:type="dxa"/>
            </w:tcMar>
            <w:vAlign w:val="center"/>
          </w:tcPr>
          <w:p>
            <w:pPr>
              <w:pStyle w:val="TableContents"/>
              <w:bidi w:val="0"/>
              <w:spacing w:before="0" w:after="283"/>
              <w:jc w:val="left"/>
              <w:rPr/>
            </w:pPr>
            <w:r>
              <w:rPr/>
              <w:t> </w:t>
            </w:r>
          </w:p>
        </w:tc>
        <w:tc>
          <w:tcPr>
            <w:tcW w:w="3564" w:type="dxa"/>
            <w:tcBorders>
              <w:bottom w:val="single" w:sz="12" w:space="0" w:color="000000"/>
            </w:tcBorders>
            <w:vAlign w:val="center"/>
          </w:tcPr>
          <w:p>
            <w:pPr>
              <w:pStyle w:val="TableContents"/>
              <w:bidi w:val="0"/>
              <w:spacing w:before="0" w:after="0"/>
              <w:jc w:val="center"/>
              <w:rPr>
                <w:b/>
                <w:color w:val="000000"/>
              </w:rPr>
            </w:pPr>
            <w:r>
              <w:rPr>
                <w:b/>
                <w:color w:val="000000"/>
              </w:rPr>
              <w:t>Repayment Terms</w:t>
            </w:r>
          </w:p>
        </w:tc>
      </w:tr>
      <w:tr>
        <w:trPr/>
        <w:tc>
          <w:tcPr>
            <w:tcW w:w="1931" w:type="dxa"/>
            <w:tcBorders/>
            <w:shd w:fill="CCEEFF" w:val="clear"/>
            <w:tcMar>
              <w:bottom w:w="0" w:type="dxa"/>
            </w:tcMar>
            <w:vAlign w:val="center"/>
          </w:tcPr>
          <w:p>
            <w:pPr>
              <w:pStyle w:val="TableContents"/>
              <w:bidi w:val="0"/>
              <w:spacing w:before="0" w:after="0"/>
              <w:ind w:left="180" w:right="0" w:hanging="180"/>
              <w:jc w:val="left"/>
              <w:rPr>
                <w:b/>
                <w:color w:val="000000"/>
              </w:rPr>
            </w:pPr>
            <w:r>
              <w:rPr>
                <w:b/>
                <w:color w:val="000000"/>
              </w:rPr>
              <w:t>2022 Credit Agreement term loan facility</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46" w:type="dxa"/>
            <w:tcBorders/>
            <w:shd w:fill="CCEEFF" w:val="clear"/>
            <w:tcMar>
              <w:bottom w:w="0" w:type="dxa"/>
            </w:tcMar>
            <w:vAlign w:val="center"/>
          </w:tcPr>
          <w:p>
            <w:pPr>
              <w:pStyle w:val="TableContents"/>
              <w:bidi w:val="0"/>
              <w:spacing w:before="0" w:after="0"/>
              <w:jc w:val="right"/>
              <w:rPr>
                <w:color w:val="000000"/>
              </w:rPr>
            </w:pPr>
            <w:r>
              <w:rPr>
                <w:color w:val="000000"/>
              </w:rPr>
              <w:t>$400.0 million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944" w:type="dxa"/>
            <w:tcBorders/>
            <w:shd w:fill="CCEEFF" w:val="clear"/>
            <w:tcMar>
              <w:bottom w:w="0" w:type="dxa"/>
            </w:tcMar>
            <w:vAlign w:val="center"/>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98" w:type="dxa"/>
            <w:tcBorders/>
            <w:shd w:fill="CCEEFF" w:val="clear"/>
            <w:tcMar>
              <w:bottom w:w="0" w:type="dxa"/>
            </w:tcMar>
            <w:vAlign w:val="center"/>
          </w:tcPr>
          <w:p>
            <w:pPr>
              <w:pStyle w:val="TableContents"/>
              <w:bidi w:val="0"/>
              <w:spacing w:before="0" w:after="0"/>
              <w:jc w:val="right"/>
              <w:rPr>
                <w:color w:val="000000"/>
              </w:rPr>
            </w:pPr>
            <w:r>
              <w:rPr>
                <w:color w:val="000000"/>
              </w:rPr>
              <w:t>$225.0 million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72" w:type="dxa"/>
            <w:tcBorders/>
            <w:shd w:fill="CCEEFF" w:val="clear"/>
            <w:tcMar>
              <w:bottom w:w="0" w:type="dxa"/>
            </w:tcMar>
            <w:vAlign w:val="center"/>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3564" w:type="dxa"/>
            <w:tcBorders/>
            <w:shd w:fill="CCEEFF" w:val="clear"/>
            <w:tcMar>
              <w:bottom w:w="0" w:type="dxa"/>
            </w:tcMar>
            <w:vAlign w:val="center"/>
          </w:tcPr>
          <w:p>
            <w:pPr>
              <w:pStyle w:val="TableContents"/>
              <w:bidi w:val="0"/>
              <w:spacing w:before="0" w:after="0"/>
              <w:jc w:val="left"/>
              <w:rPr>
                <w:color w:val="000000"/>
              </w:rPr>
            </w:pPr>
            <w:r>
              <w:rPr>
                <w:color w:val="000000"/>
              </w:rPr>
              <w:t>Principal amount was paid in full during March 2026.</w:t>
            </w:r>
          </w:p>
        </w:tc>
      </w:tr>
      <w:tr>
        <w:trPr/>
        <w:tc>
          <w:tcPr>
            <w:tcW w:w="1931" w:type="dxa"/>
            <w:tcBorders/>
            <w:tcMar>
              <w:bottom w:w="0" w:type="dxa"/>
            </w:tcMar>
            <w:vAlign w:val="center"/>
          </w:tcPr>
          <w:p>
            <w:pPr>
              <w:pStyle w:val="TableContents"/>
              <w:bidi w:val="0"/>
              <w:spacing w:before="0" w:after="0"/>
              <w:ind w:left="180" w:right="0" w:hanging="180"/>
              <w:jc w:val="left"/>
              <w:rPr>
                <w:b/>
                <w:color w:val="000000"/>
              </w:rPr>
            </w:pPr>
            <w:r>
              <w:rPr>
                <w:b/>
                <w:color w:val="000000"/>
              </w:rPr>
              <w:t>2022 Credit Agreement revolving credit facility</w:t>
            </w:r>
          </w:p>
        </w:tc>
        <w:tc>
          <w:tcPr>
            <w:tcW w:w="90" w:type="dxa"/>
            <w:tcBorders/>
            <w:tcMar>
              <w:bottom w:w="0" w:type="dxa"/>
            </w:tcMar>
            <w:vAlign w:val="center"/>
          </w:tcPr>
          <w:p>
            <w:pPr>
              <w:pStyle w:val="TableContents"/>
              <w:bidi w:val="0"/>
              <w:spacing w:before="0" w:after="283"/>
              <w:jc w:val="left"/>
              <w:rPr/>
            </w:pPr>
            <w:r>
              <w:rPr/>
              <w:t> </w:t>
            </w:r>
          </w:p>
        </w:tc>
        <w:tc>
          <w:tcPr>
            <w:tcW w:w="1046"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44" w:type="dxa"/>
            <w:tcBorders/>
            <w:tcMar>
              <w:bottom w:w="0" w:type="dxa"/>
            </w:tcMar>
            <w:vAlign w:val="center"/>
          </w:tcPr>
          <w:p>
            <w:pPr>
              <w:pStyle w:val="TableContents"/>
              <w:bidi w:val="0"/>
              <w:spacing w:before="0" w:after="0"/>
              <w:jc w:val="right"/>
              <w:rPr>
                <w:color w:val="000000"/>
              </w:rPr>
            </w:pPr>
            <w:r>
              <w:rPr>
                <w:color w:val="000000"/>
              </w:rPr>
              <w:t>-</w:t>
            </w:r>
          </w:p>
        </w:tc>
        <w:tc>
          <w:tcPr>
            <w:tcW w:w="90" w:type="dxa"/>
            <w:tcBorders/>
            <w:tcMar>
              <w:bottom w:w="0" w:type="dxa"/>
            </w:tcMar>
            <w:vAlign w:val="center"/>
          </w:tcPr>
          <w:p>
            <w:pPr>
              <w:pStyle w:val="TableContents"/>
              <w:bidi w:val="0"/>
              <w:spacing w:before="0" w:after="283"/>
              <w:jc w:val="left"/>
              <w:rPr/>
            </w:pPr>
            <w:r>
              <w:rPr/>
              <w:t> </w:t>
            </w:r>
          </w:p>
        </w:tc>
        <w:tc>
          <w:tcPr>
            <w:tcW w:w="1198" w:type="dxa"/>
            <w:tcBorders/>
            <w:tcMar>
              <w:bottom w:w="0" w:type="dxa"/>
            </w:tcMar>
            <w:vAlign w:val="center"/>
          </w:tcPr>
          <w:p>
            <w:pPr>
              <w:pStyle w:val="TableContents"/>
              <w:bidi w:val="0"/>
              <w:spacing w:before="0" w:after="0"/>
              <w:jc w:val="right"/>
              <w:rPr>
                <w:color w:val="000000"/>
              </w:rPr>
            </w:pPr>
            <w:r>
              <w:rPr>
                <w:color w:val="000000"/>
              </w:rPr>
              <w:t>-</w:t>
            </w:r>
          </w:p>
        </w:tc>
        <w:tc>
          <w:tcPr>
            <w:tcW w:w="90" w:type="dxa"/>
            <w:tcBorders/>
            <w:tcMar>
              <w:bottom w:w="0" w:type="dxa"/>
            </w:tcMar>
            <w:vAlign w:val="center"/>
          </w:tcPr>
          <w:p>
            <w:pPr>
              <w:pStyle w:val="TableContents"/>
              <w:bidi w:val="0"/>
              <w:spacing w:before="0" w:after="283"/>
              <w:jc w:val="left"/>
              <w:rPr/>
            </w:pPr>
            <w:r>
              <w:rPr/>
              <w:t> </w:t>
            </w:r>
          </w:p>
        </w:tc>
        <w:tc>
          <w:tcPr>
            <w:tcW w:w="1072" w:type="dxa"/>
            <w:tcBorders/>
            <w:tcMar>
              <w:bottom w:w="0" w:type="dxa"/>
            </w:tcMar>
            <w:vAlign w:val="center"/>
          </w:tcPr>
          <w:p>
            <w:pPr>
              <w:pStyle w:val="TableContents"/>
              <w:bidi w:val="0"/>
              <w:spacing w:before="0" w:after="0"/>
              <w:jc w:val="right"/>
              <w:rPr>
                <w:color w:val="000000"/>
              </w:rPr>
            </w:pPr>
            <w:r>
              <w:rPr>
                <w:color w:val="000000"/>
              </w:rPr>
              <w:t>-</w:t>
            </w:r>
          </w:p>
        </w:tc>
        <w:tc>
          <w:tcPr>
            <w:tcW w:w="90" w:type="dxa"/>
            <w:tcBorders/>
            <w:tcMar>
              <w:bottom w:w="0" w:type="dxa"/>
            </w:tcMar>
            <w:vAlign w:val="center"/>
          </w:tcPr>
          <w:p>
            <w:pPr>
              <w:pStyle w:val="TableContents"/>
              <w:bidi w:val="0"/>
              <w:spacing w:before="0" w:after="283"/>
              <w:jc w:val="left"/>
              <w:rPr/>
            </w:pPr>
            <w:r>
              <w:rPr/>
              <w:t> </w:t>
            </w:r>
          </w:p>
        </w:tc>
        <w:tc>
          <w:tcPr>
            <w:tcW w:w="3564" w:type="dxa"/>
            <w:tcBorders/>
            <w:tcMar>
              <w:bottom w:w="0" w:type="dxa"/>
            </w:tcMar>
            <w:vAlign w:val="center"/>
          </w:tcPr>
          <w:p>
            <w:pPr>
              <w:pStyle w:val="TableContents"/>
              <w:bidi w:val="0"/>
              <w:spacing w:before="0" w:after="0"/>
              <w:jc w:val="both"/>
              <w:rPr>
                <w:color w:val="000000"/>
              </w:rPr>
            </w:pPr>
            <w:r>
              <w:rPr>
                <w:color w:val="000000"/>
              </w:rPr>
              <w:t>Revolving line of credit was paid in full during September 2025 and credit line was closed during March 2026.</w:t>
            </w:r>
          </w:p>
        </w:tc>
      </w:tr>
      <w:tr>
        <w:trPr/>
        <w:tc>
          <w:tcPr>
            <w:tcW w:w="1931" w:type="dxa"/>
            <w:tcBorders/>
            <w:shd w:fill="CCEEFF" w:val="clear"/>
            <w:tcMar>
              <w:bottom w:w="0" w:type="dxa"/>
            </w:tcMar>
            <w:vAlign w:val="center"/>
          </w:tcPr>
          <w:p>
            <w:pPr>
              <w:pStyle w:val="TableContents"/>
              <w:bidi w:val="0"/>
              <w:spacing w:before="0" w:after="0"/>
              <w:ind w:left="180" w:right="0" w:hanging="180"/>
              <w:jc w:val="left"/>
              <w:rPr>
                <w:b/>
                <w:color w:val="000000"/>
              </w:rPr>
            </w:pPr>
            <w:r>
              <w:rPr>
                <w:b/>
                <w:color w:val="000000"/>
              </w:rPr>
              <w:t>Credit Agreement term loan facility</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46" w:type="dxa"/>
            <w:tcBorders/>
            <w:shd w:fill="CCEEFF" w:val="clear"/>
            <w:tcMar>
              <w:bottom w:w="0" w:type="dxa"/>
            </w:tcMar>
            <w:vAlign w:val="center"/>
          </w:tcPr>
          <w:p>
            <w:pPr>
              <w:pStyle w:val="TableContents"/>
              <w:bidi w:val="0"/>
              <w:spacing w:before="0" w:after="0"/>
              <w:jc w:val="right"/>
              <w:rPr>
                <w:color w:val="000000"/>
              </w:rPr>
            </w:pPr>
            <w:r>
              <w:rPr>
                <w:color w:val="000000"/>
              </w:rPr>
              <w:t>$175.0 million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944" w:type="dxa"/>
            <w:tcBorders/>
            <w:shd w:fill="CCEEFF" w:val="clear"/>
            <w:tcMar>
              <w:bottom w:w="0" w:type="dxa"/>
            </w:tcMar>
            <w:vAlign w:val="center"/>
          </w:tcPr>
          <w:p>
            <w:pPr>
              <w:pStyle w:val="TableContents"/>
              <w:bidi w:val="0"/>
              <w:spacing w:before="0" w:after="0"/>
              <w:jc w:val="right"/>
              <w:rPr>
                <w:color w:val="000000"/>
              </w:rPr>
            </w:pPr>
            <w:r>
              <w:rPr>
                <w:color w:val="000000"/>
              </w:rPr>
              <w:t>$170.0 million</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98" w:type="dxa"/>
            <w:tcBorders/>
            <w:shd w:fill="CCEEFF" w:val="clear"/>
            <w:tcMar>
              <w:bottom w:w="0" w:type="dxa"/>
            </w:tcMar>
            <w:vAlign w:val="center"/>
          </w:tcPr>
          <w:p>
            <w:pPr>
              <w:pStyle w:val="TableContents"/>
              <w:bidi w:val="0"/>
              <w:spacing w:before="0" w:after="0"/>
              <w:jc w:val="right"/>
              <w:rPr>
                <w:color w:val="000000"/>
              </w:rPr>
            </w:pPr>
            <w:r>
              <w:rPr>
                <w:color w:val="000000"/>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72" w:type="dxa"/>
            <w:tcBorders/>
            <w:shd w:fill="CCEEFF" w:val="clear"/>
            <w:tcMar>
              <w:bottom w:w="0" w:type="dxa"/>
            </w:tcMar>
            <w:vAlign w:val="center"/>
          </w:tcPr>
          <w:p>
            <w:pPr>
              <w:pStyle w:val="TableContents"/>
              <w:bidi w:val="0"/>
              <w:spacing w:before="0" w:after="0"/>
              <w:jc w:val="right"/>
              <w:rPr>
                <w:color w:val="000000"/>
              </w:rPr>
            </w:pPr>
            <w:r>
              <w:rPr>
                <w:color w:val="000000"/>
              </w:rPr>
              <w:t>Variable 30 day: 5.39%</w:t>
            </w:r>
          </w:p>
        </w:tc>
        <w:tc>
          <w:tcPr>
            <w:tcW w:w="90" w:type="dxa"/>
            <w:tcBorders/>
            <w:shd w:fill="CCEEFF" w:val="clear"/>
            <w:tcMar>
              <w:bottom w:w="0" w:type="dxa"/>
            </w:tcMar>
            <w:vAlign w:val="center"/>
          </w:tcPr>
          <w:p>
            <w:pPr>
              <w:pStyle w:val="TableContents"/>
              <w:bidi w:val="0"/>
              <w:spacing w:before="0" w:after="283"/>
              <w:jc w:val="left"/>
              <w:rPr/>
            </w:pPr>
            <w:r>
              <w:rPr/>
              <w:t> </w:t>
            </w:r>
          </w:p>
        </w:tc>
        <w:tc>
          <w:tcPr>
            <w:tcW w:w="3564" w:type="dxa"/>
            <w:tcBorders/>
            <w:shd w:fill="CCEEFF" w:val="clear"/>
            <w:tcMar>
              <w:bottom w:w="0" w:type="dxa"/>
            </w:tcMar>
            <w:vAlign w:val="center"/>
          </w:tcPr>
          <w:p>
            <w:pPr>
              <w:pStyle w:val="TableContents"/>
              <w:bidi w:val="0"/>
              <w:spacing w:before="0" w:after="0"/>
              <w:jc w:val="both"/>
              <w:rPr>
                <w:color w:val="000000"/>
              </w:rPr>
            </w:pPr>
            <w:r>
              <w:rPr>
                <w:color w:val="000000"/>
              </w:rPr>
              <w:t>54.3% of the principal amount is payable in quarterly installments over a five-year period that began on June 30, 2026, with the remainder payable at the end of the five-year term.</w:t>
            </w:r>
          </w:p>
        </w:tc>
      </w:tr>
      <w:tr>
        <w:trPr/>
        <w:tc>
          <w:tcPr>
            <w:tcW w:w="1931" w:type="dxa"/>
            <w:tcBorders/>
            <w:tcMar>
              <w:bottom w:w="0" w:type="dxa"/>
            </w:tcMar>
            <w:vAlign w:val="center"/>
          </w:tcPr>
          <w:p>
            <w:pPr>
              <w:pStyle w:val="TableContents"/>
              <w:bidi w:val="0"/>
              <w:spacing w:before="0" w:after="0"/>
              <w:ind w:left="180" w:right="0" w:hanging="180"/>
              <w:jc w:val="left"/>
              <w:rPr>
                <w:b/>
                <w:color w:val="000000"/>
              </w:rPr>
            </w:pPr>
            <w:r>
              <w:rPr>
                <w:b/>
                <w:color w:val="000000"/>
              </w:rPr>
              <w:t>Credit Agreement revolving credit facility</w:t>
            </w:r>
          </w:p>
        </w:tc>
        <w:tc>
          <w:tcPr>
            <w:tcW w:w="90" w:type="dxa"/>
            <w:tcBorders/>
            <w:tcMar>
              <w:bottom w:w="0" w:type="dxa"/>
            </w:tcMar>
            <w:vAlign w:val="center"/>
          </w:tcPr>
          <w:p>
            <w:pPr>
              <w:pStyle w:val="TableContents"/>
              <w:bidi w:val="0"/>
              <w:spacing w:before="0" w:after="283"/>
              <w:jc w:val="left"/>
              <w:rPr/>
            </w:pPr>
            <w:r>
              <w:rPr/>
              <w:t> </w:t>
            </w:r>
          </w:p>
        </w:tc>
        <w:tc>
          <w:tcPr>
            <w:tcW w:w="1046"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44" w:type="dxa"/>
            <w:tcBorders/>
            <w:tcMar>
              <w:bottom w:w="0" w:type="dxa"/>
            </w:tcMar>
            <w:vAlign w:val="center"/>
          </w:tcPr>
          <w:p>
            <w:pPr>
              <w:pStyle w:val="TableContents"/>
              <w:bidi w:val="0"/>
              <w:spacing w:before="0" w:after="0"/>
              <w:jc w:val="right"/>
              <w:rPr>
                <w:color w:val="000000"/>
              </w:rPr>
            </w:pPr>
            <w:r>
              <w:rPr>
                <w:color w:val="000000"/>
              </w:rPr>
              <w:t>$45.0 million</w:t>
            </w:r>
          </w:p>
        </w:tc>
        <w:tc>
          <w:tcPr>
            <w:tcW w:w="90" w:type="dxa"/>
            <w:tcBorders/>
            <w:tcMar>
              <w:bottom w:w="0" w:type="dxa"/>
            </w:tcMar>
            <w:vAlign w:val="center"/>
          </w:tcPr>
          <w:p>
            <w:pPr>
              <w:pStyle w:val="TableContents"/>
              <w:bidi w:val="0"/>
              <w:spacing w:before="0" w:after="283"/>
              <w:jc w:val="left"/>
              <w:rPr/>
            </w:pPr>
            <w:r>
              <w:rPr/>
              <w:t> </w:t>
            </w:r>
          </w:p>
        </w:tc>
        <w:tc>
          <w:tcPr>
            <w:tcW w:w="1198" w:type="dxa"/>
            <w:tcBorders/>
            <w:tcMar>
              <w:bottom w:w="0" w:type="dxa"/>
            </w:tcMar>
            <w:vAlign w:val="center"/>
          </w:tcPr>
          <w:p>
            <w:pPr>
              <w:pStyle w:val="TableContents"/>
              <w:bidi w:val="0"/>
              <w:spacing w:before="0" w:after="0"/>
              <w:jc w:val="right"/>
              <w:rPr>
                <w:color w:val="000000"/>
              </w:rPr>
            </w:pPr>
            <w:r>
              <w:rPr>
                <w:color w:val="000000"/>
              </w:rPr>
              <w:t>-</w:t>
            </w:r>
          </w:p>
        </w:tc>
        <w:tc>
          <w:tcPr>
            <w:tcW w:w="90" w:type="dxa"/>
            <w:tcBorders/>
            <w:tcMar>
              <w:bottom w:w="0" w:type="dxa"/>
            </w:tcMar>
            <w:vAlign w:val="center"/>
          </w:tcPr>
          <w:p>
            <w:pPr>
              <w:pStyle w:val="TableContents"/>
              <w:bidi w:val="0"/>
              <w:spacing w:before="0" w:after="283"/>
              <w:jc w:val="left"/>
              <w:rPr/>
            </w:pPr>
            <w:r>
              <w:rPr/>
              <w:t> </w:t>
            </w:r>
          </w:p>
        </w:tc>
        <w:tc>
          <w:tcPr>
            <w:tcW w:w="1072" w:type="dxa"/>
            <w:tcBorders/>
            <w:tcMar>
              <w:bottom w:w="0" w:type="dxa"/>
            </w:tcMar>
            <w:vAlign w:val="center"/>
          </w:tcPr>
          <w:p>
            <w:pPr>
              <w:pStyle w:val="TableContents"/>
              <w:bidi w:val="0"/>
              <w:spacing w:before="0" w:after="0"/>
              <w:jc w:val="right"/>
              <w:rPr>
                <w:color w:val="000000"/>
              </w:rPr>
            </w:pPr>
            <w:r>
              <w:rPr>
                <w:color w:val="000000"/>
              </w:rPr>
              <w:t>Variable 30 day: 5.39%</w:t>
            </w:r>
          </w:p>
        </w:tc>
        <w:tc>
          <w:tcPr>
            <w:tcW w:w="90" w:type="dxa"/>
            <w:tcBorders/>
            <w:tcMar>
              <w:bottom w:w="0" w:type="dxa"/>
            </w:tcMar>
            <w:vAlign w:val="center"/>
          </w:tcPr>
          <w:p>
            <w:pPr>
              <w:pStyle w:val="TableContents"/>
              <w:bidi w:val="0"/>
              <w:spacing w:before="0" w:after="283"/>
              <w:jc w:val="left"/>
              <w:rPr/>
            </w:pPr>
            <w:r>
              <w:rPr/>
              <w:t> </w:t>
            </w:r>
          </w:p>
        </w:tc>
        <w:tc>
          <w:tcPr>
            <w:tcW w:w="3564" w:type="dxa"/>
            <w:tcBorders/>
            <w:tcMar>
              <w:bottom w:w="0" w:type="dxa"/>
            </w:tcMar>
            <w:vAlign w:val="center"/>
          </w:tcPr>
          <w:p>
            <w:pPr>
              <w:pStyle w:val="TableContents"/>
              <w:bidi w:val="0"/>
              <w:spacing w:before="0" w:after="0"/>
              <w:jc w:val="left"/>
              <w:rPr>
                <w:color w:val="000000"/>
              </w:rPr>
            </w:pPr>
            <w:r>
              <w:rPr>
                <w:color w:val="000000"/>
              </w:rPr>
              <w:t>Revolving line of credit expires March 27, 2031.</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pPr>
            <w:r>
              <w:rPr/>
              <w:t>(1)</w:t>
            </w:r>
          </w:p>
        </w:tc>
        <w:tc>
          <w:tcPr>
            <w:tcW w:w="9919" w:type="dxa"/>
            <w:tcBorders/>
            <w:vAlign w:val="center"/>
          </w:tcPr>
          <w:p>
            <w:pPr>
              <w:pStyle w:val="TableContents"/>
              <w:bidi w:val="0"/>
              <w:spacing w:before="0" w:after="0"/>
              <w:jc w:val="both"/>
              <w:rPr/>
            </w:pPr>
            <w:r>
              <w:rPr/>
              <w:t>As of June 30, 2026 and December 31, 2025, the current portion of the Company’s debt (i.e., becoming due in the next 12 months) included $20.0 million and $20.0 million, respectively, of the balance of its term loan under the Credit Agreement and 2022 Credit Agreement.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pPr>
            <w:r>
              <w:rPr/>
              <w:t>(2)</w:t>
            </w:r>
          </w:p>
        </w:tc>
        <w:tc>
          <w:tcPr>
            <w:tcW w:w="9920" w:type="dxa"/>
            <w:tcBorders/>
            <w:vAlign w:val="center"/>
          </w:tcPr>
          <w:p>
            <w:pPr>
              <w:pStyle w:val="TableContents"/>
              <w:bidi w:val="0"/>
              <w:spacing w:before="0" w:after="0"/>
              <w:jc w:val="both"/>
              <w:rPr/>
            </w:pPr>
            <w:r>
              <w:rPr/>
              <w:t>The carrying value of the debt reflects the amounts stated in the above table, less debt issuance costs of $1.3 million and $0.8 million as of June 30, 2026 and December 31, 2025, respectively, related to the Credit Agreement and 2022 Credit Agreement, which are not reflected in this table.</w:t>
            </w:r>
          </w:p>
        </w:tc>
      </w:tr>
    </w:tbl>
    <w:p>
      <w:pPr>
        <w:pStyle w:val="TextBody"/>
        <w:bidi w:val="0"/>
        <w:spacing w:before="0" w:after="0"/>
        <w:jc w:val="left"/>
        <w:rPr/>
      </w:pPr>
      <w:r>
        <w:rPr/>
      </w:r>
    </w:p>
    <w:tbl>
      <w:tblPr>
        <w:tblW w:w="1015" w:type="dxa"/>
        <w:jc w:val="left"/>
        <w:tblInd w:w="0" w:type="dxa"/>
        <w:tblLayout w:type="fixed"/>
        <w:tblCellMar>
          <w:top w:w="0" w:type="dxa"/>
          <w:left w:w="0" w:type="dxa"/>
          <w:bottom w:w="0" w:type="dxa"/>
          <w:right w:w="0" w:type="dxa"/>
        </w:tblCellMar>
      </w:tblPr>
      <w:tblGrid>
        <w:gridCol w:w="245"/>
        <w:gridCol w:w="770"/>
      </w:tblGrid>
      <w:tr>
        <w:trPr/>
        <w:tc>
          <w:tcPr>
            <w:tcW w:w="245" w:type="dxa"/>
            <w:tcBorders/>
            <w:vAlign w:val="center"/>
          </w:tcPr>
          <w:p>
            <w:pPr>
              <w:pStyle w:val="TableContents"/>
              <w:bidi w:val="0"/>
              <w:spacing w:before="0" w:after="0"/>
              <w:jc w:val="left"/>
              <w:rPr>
                <w:b/>
              </w:rPr>
            </w:pPr>
            <w:r>
              <w:rPr>
                <w:b/>
              </w:rPr>
              <w:t>6.</w:t>
            </w:r>
          </w:p>
        </w:tc>
        <w:tc>
          <w:tcPr>
            <w:tcW w:w="770" w:type="dxa"/>
            <w:tcBorders/>
            <w:vAlign w:val="center"/>
          </w:tcPr>
          <w:p>
            <w:pPr>
              <w:pStyle w:val="TableContents"/>
              <w:bidi w:val="0"/>
              <w:spacing w:before="0" w:after="0"/>
              <w:jc w:val="left"/>
              <w:rPr>
                <w:b/>
              </w:rPr>
            </w:pPr>
            <w:r>
              <w:rPr>
                <w:b/>
              </w:rPr>
              <w:t>Leases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June 30, 2026, the weighted-average remaining lease term was 6.1 and 3.4 years for operating and finance leases, respectively. As of June 30, 2026, the weighted-average discount rate was 3.7% and 6.6% for operating and finance leases, respectively.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components of lease expense were as follows (U.S. dollars in thousands):</w:t>
      </w:r>
    </w:p>
    <w:p>
      <w:pPr>
        <w:pStyle w:val="TextBody"/>
        <w:bidi w:val="0"/>
        <w:spacing w:before="0" w:after="0"/>
        <w:jc w:val="left"/>
        <w:rPr/>
      </w:pPr>
      <w:r>
        <w:rPr/>
      </w:r>
    </w:p>
    <w:tbl>
      <w:tblPr>
        <w:tblW w:w="7903" w:type="dxa"/>
        <w:jc w:val="left"/>
        <w:tblInd w:w="0" w:type="dxa"/>
        <w:tblLayout w:type="fixed"/>
        <w:tblCellMar>
          <w:top w:w="0" w:type="dxa"/>
          <w:left w:w="0" w:type="dxa"/>
          <w:bottom w:w="0" w:type="dxa"/>
          <w:right w:w="0" w:type="dxa"/>
        </w:tblCellMar>
      </w:tblPr>
      <w:tblGrid>
        <w:gridCol w:w="3320"/>
        <w:gridCol w:w="90"/>
        <w:gridCol w:w="224"/>
        <w:gridCol w:w="777"/>
        <w:gridCol w:w="118"/>
        <w:gridCol w:w="118"/>
        <w:gridCol w:w="224"/>
        <w:gridCol w:w="777"/>
        <w:gridCol w:w="90"/>
        <w:gridCol w:w="90"/>
        <w:gridCol w:w="170"/>
        <w:gridCol w:w="710"/>
        <w:gridCol w:w="90"/>
        <w:gridCol w:w="90"/>
        <w:gridCol w:w="170"/>
        <w:gridCol w:w="710"/>
        <w:gridCol w:w="135"/>
      </w:tblGrid>
      <w:tr>
        <w:trPr/>
        <w:tc>
          <w:tcPr>
            <w:tcW w:w="33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38" w:type="dxa"/>
            <w:gridSpan w:val="6"/>
            <w:tcBorders>
              <w:bottom w:val="single" w:sz="12" w:space="0" w:color="000000"/>
            </w:tcBorders>
            <w:tcMar>
              <w:bottom w:w="28" w:type="dxa"/>
            </w:tcMar>
            <w:vAlign w:val="bottom"/>
          </w:tcPr>
          <w:p>
            <w:pPr>
              <w:pStyle w:val="TableContents"/>
              <w:bidi w:val="0"/>
              <w:spacing w:before="0" w:after="0"/>
              <w:jc w:val="center"/>
              <w:rPr>
                <w:b/>
              </w:rPr>
            </w:pPr>
            <w:r>
              <w:rPr>
                <w:b/>
              </w:rPr>
              <w:t>Three Months Ended</w:t>
            </w:r>
          </w:p>
          <w:p>
            <w:pPr>
              <w:pStyle w:val="TableContents"/>
              <w:bidi w:val="0"/>
              <w:spacing w:before="0" w:after="0"/>
              <w:jc w:val="center"/>
              <w:rPr>
                <w:b/>
              </w:rPr>
            </w:pPr>
            <w:r>
              <w:rPr>
                <w:b/>
              </w:rPr>
              <w:t>June 30,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40" w:type="dxa"/>
            <w:gridSpan w:val="6"/>
            <w:tcBorders>
              <w:bottom w:val="single" w:sz="12" w:space="0" w:color="000000"/>
            </w:tcBorders>
            <w:tcMar>
              <w:bottom w:w="28" w:type="dxa"/>
            </w:tcMar>
            <w:vAlign w:val="bottom"/>
          </w:tcPr>
          <w:p>
            <w:pPr>
              <w:pStyle w:val="TableContents"/>
              <w:bidi w:val="0"/>
              <w:spacing w:before="0" w:after="0"/>
              <w:jc w:val="center"/>
              <w:rPr>
                <w:b/>
              </w:rPr>
            </w:pPr>
            <w:r>
              <w:rPr>
                <w:b/>
              </w:rPr>
              <w:t>Six Months Ended</w:t>
            </w:r>
          </w:p>
          <w:p>
            <w:pPr>
              <w:pStyle w:val="TableContents"/>
              <w:bidi w:val="0"/>
              <w:spacing w:before="0" w:after="0"/>
              <w:jc w:val="center"/>
              <w:rPr>
                <w:b/>
              </w:rPr>
            </w:pPr>
            <w:r>
              <w:rPr>
                <w:b/>
              </w:rPr>
              <w:t>June 30,</w:t>
            </w:r>
          </w:p>
        </w:tc>
        <w:tc>
          <w:tcPr>
            <w:tcW w:w="135" w:type="dxa"/>
            <w:tcBorders/>
            <w:vAlign w:val="bottom"/>
          </w:tcPr>
          <w:p>
            <w:pPr>
              <w:pStyle w:val="TableContents"/>
              <w:bidi w:val="0"/>
              <w:spacing w:before="0" w:after="283"/>
              <w:jc w:val="left"/>
              <w:rPr/>
            </w:pPr>
            <w:r>
              <w:rPr/>
              <w:t> </w:t>
            </w:r>
          </w:p>
        </w:tc>
      </w:tr>
      <w:tr>
        <w:trPr/>
        <w:tc>
          <w:tcPr>
            <w:tcW w:w="332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1"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2026</w:t>
            </w:r>
          </w:p>
        </w:tc>
        <w:tc>
          <w:tcPr>
            <w:tcW w:w="118"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001"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135" w:type="dxa"/>
            <w:tcBorders/>
            <w:vAlign w:val="bottom"/>
          </w:tcPr>
          <w:p>
            <w:pPr>
              <w:pStyle w:val="TableContents"/>
              <w:bidi w:val="0"/>
              <w:spacing w:before="0" w:after="283"/>
              <w:jc w:val="left"/>
              <w:rPr/>
            </w:pPr>
            <w:r>
              <w:rPr/>
              <w:t> </w:t>
            </w:r>
          </w:p>
        </w:tc>
      </w:tr>
      <w:tr>
        <w:trPr/>
        <w:tc>
          <w:tcPr>
            <w:tcW w:w="3320" w:type="dxa"/>
            <w:tcBorders/>
            <w:vAlign w:val="bottom"/>
          </w:tcPr>
          <w:p>
            <w:pPr>
              <w:pStyle w:val="TableContents"/>
              <w:bidi w:val="0"/>
              <w:spacing w:before="0" w:after="283"/>
              <w:jc w:val="left"/>
              <w:rPr/>
            </w:pPr>
            <w:r>
              <w:rPr/>
              <w:t>Operating lease expense</w:t>
            </w:r>
          </w:p>
        </w:tc>
        <w:tc>
          <w:tcPr>
            <w:tcW w:w="90" w:type="dxa"/>
            <w:tcBorders/>
            <w:vAlign w:val="bottom"/>
          </w:tcPr>
          <w:p>
            <w:pPr>
              <w:pStyle w:val="TableContents"/>
              <w:bidi w:val="0"/>
              <w:spacing w:before="0" w:after="283"/>
              <w:jc w:val="left"/>
              <w:rPr/>
            </w:pPr>
            <w:r>
              <w:rPr/>
              <w:t> </w:t>
            </w:r>
          </w:p>
        </w:tc>
        <w:tc>
          <w:tcPr>
            <w:tcW w:w="1001" w:type="dxa"/>
            <w:gridSpan w:val="2"/>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001"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3320" w:type="dxa"/>
            <w:tcBorders/>
            <w:shd w:fill="CCEEFF" w:val="clear"/>
            <w:vAlign w:val="bottom"/>
          </w:tcPr>
          <w:p>
            <w:pPr>
              <w:pStyle w:val="TableContents"/>
              <w:bidi w:val="0"/>
              <w:spacing w:before="0" w:after="0"/>
              <w:ind w:left="180" w:right="0" w:hanging="0"/>
              <w:jc w:val="left"/>
              <w:rPr/>
            </w:pPr>
            <w:r>
              <w:rPr/>
              <w:t>Operating lease cost</w:t>
            </w:r>
          </w:p>
        </w:tc>
        <w:tc>
          <w:tcPr>
            <w:tcW w:w="9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w:t>
            </w:r>
          </w:p>
        </w:tc>
        <w:tc>
          <w:tcPr>
            <w:tcW w:w="777" w:type="dxa"/>
            <w:tcBorders/>
            <w:shd w:fill="CCEEFF" w:val="clear"/>
            <w:vAlign w:val="bottom"/>
          </w:tcPr>
          <w:p>
            <w:pPr>
              <w:pStyle w:val="TableContents"/>
              <w:bidi w:val="0"/>
              <w:spacing w:before="0" w:after="283"/>
              <w:jc w:val="right"/>
              <w:rPr/>
            </w:pPr>
            <w:r>
              <w:rPr/>
              <w:t>5,552</w:t>
            </w:r>
          </w:p>
        </w:tc>
        <w:tc>
          <w:tcPr>
            <w:tcW w:w="118"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w:t>
            </w:r>
          </w:p>
        </w:tc>
        <w:tc>
          <w:tcPr>
            <w:tcW w:w="777" w:type="dxa"/>
            <w:tcBorders/>
            <w:shd w:fill="CCEEFF" w:val="clear"/>
            <w:vAlign w:val="bottom"/>
          </w:tcPr>
          <w:p>
            <w:pPr>
              <w:pStyle w:val="TableContents"/>
              <w:bidi w:val="0"/>
              <w:spacing w:before="0" w:after="283"/>
              <w:jc w:val="right"/>
              <w:rPr/>
            </w:pPr>
            <w:r>
              <w:rPr/>
              <w:t>5,956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710" w:type="dxa"/>
            <w:tcBorders/>
            <w:shd w:fill="CCEEFF" w:val="clear"/>
            <w:vAlign w:val="bottom"/>
          </w:tcPr>
          <w:p>
            <w:pPr>
              <w:pStyle w:val="TableContents"/>
              <w:bidi w:val="0"/>
              <w:spacing w:before="0" w:after="283"/>
              <w:jc w:val="right"/>
              <w:rPr/>
            </w:pPr>
            <w:r>
              <w:rPr/>
              <w:t>11,374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w:t>
            </w:r>
          </w:p>
        </w:tc>
        <w:tc>
          <w:tcPr>
            <w:tcW w:w="710" w:type="dxa"/>
            <w:tcBorders/>
            <w:shd w:fill="CCEEFF" w:val="clear"/>
            <w:vAlign w:val="bottom"/>
          </w:tcPr>
          <w:p>
            <w:pPr>
              <w:pStyle w:val="TableContents"/>
              <w:bidi w:val="0"/>
              <w:spacing w:before="0" w:after="283"/>
              <w:jc w:val="right"/>
              <w:rPr/>
            </w:pPr>
            <w:r>
              <w:rPr/>
              <w:t>11,872</w:t>
            </w:r>
          </w:p>
        </w:tc>
        <w:tc>
          <w:tcPr>
            <w:tcW w:w="135" w:type="dxa"/>
            <w:tcBorders/>
            <w:shd w:fill="CCEEFF" w:val="clear"/>
            <w:vAlign w:val="bottom"/>
          </w:tcPr>
          <w:p>
            <w:pPr>
              <w:pStyle w:val="TableContents"/>
              <w:bidi w:val="0"/>
              <w:spacing w:before="0" w:after="283"/>
              <w:jc w:val="left"/>
              <w:rPr/>
            </w:pPr>
            <w:r>
              <w:rPr/>
              <w:t> </w:t>
            </w:r>
          </w:p>
        </w:tc>
      </w:tr>
      <w:tr>
        <w:trPr/>
        <w:tc>
          <w:tcPr>
            <w:tcW w:w="3320" w:type="dxa"/>
            <w:tcBorders/>
            <w:vAlign w:val="bottom"/>
          </w:tcPr>
          <w:p>
            <w:pPr>
              <w:pStyle w:val="TableContents"/>
              <w:bidi w:val="0"/>
              <w:spacing w:before="0" w:after="0"/>
              <w:ind w:left="180" w:right="0" w:hanging="0"/>
              <w:jc w:val="left"/>
              <w:rPr/>
            </w:pPr>
            <w:r>
              <w:rPr/>
              <w:t>Variable lease cost</w:t>
            </w:r>
          </w:p>
        </w:tc>
        <w:tc>
          <w:tcPr>
            <w:tcW w:w="9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881</w:t>
            </w:r>
          </w:p>
        </w:tc>
        <w:tc>
          <w:tcPr>
            <w:tcW w:w="118"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1,273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1,744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2,234</w:t>
            </w:r>
          </w:p>
        </w:tc>
        <w:tc>
          <w:tcPr>
            <w:tcW w:w="135" w:type="dxa"/>
            <w:tcBorders/>
            <w:vAlign w:val="bottom"/>
          </w:tcPr>
          <w:p>
            <w:pPr>
              <w:pStyle w:val="TableContents"/>
              <w:bidi w:val="0"/>
              <w:spacing w:before="0" w:after="283"/>
              <w:jc w:val="left"/>
              <w:rPr/>
            </w:pPr>
            <w:r>
              <w:rPr/>
              <w:t> </w:t>
            </w:r>
          </w:p>
        </w:tc>
      </w:tr>
      <w:tr>
        <w:trPr/>
        <w:tc>
          <w:tcPr>
            <w:tcW w:w="3320" w:type="dxa"/>
            <w:tcBorders/>
            <w:shd w:fill="CCEEFF" w:val="clear"/>
            <w:vAlign w:val="bottom"/>
          </w:tcPr>
          <w:p>
            <w:pPr>
              <w:pStyle w:val="TableContents"/>
              <w:bidi w:val="0"/>
              <w:spacing w:before="0" w:after="283"/>
              <w:jc w:val="left"/>
              <w:rPr/>
            </w:pPr>
            <w:r>
              <w:rPr/>
              <w:t>Finance lease expense</w:t>
            </w:r>
          </w:p>
        </w:tc>
        <w:tc>
          <w:tcPr>
            <w:tcW w:w="9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 </w:t>
            </w:r>
          </w:p>
        </w:tc>
        <w:tc>
          <w:tcPr>
            <w:tcW w:w="118"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r>
      <w:tr>
        <w:trPr/>
        <w:tc>
          <w:tcPr>
            <w:tcW w:w="3320" w:type="dxa"/>
            <w:tcBorders/>
            <w:vAlign w:val="bottom"/>
          </w:tcPr>
          <w:p>
            <w:pPr>
              <w:pStyle w:val="TableContents"/>
              <w:bidi w:val="0"/>
              <w:spacing w:before="0" w:after="0"/>
              <w:ind w:left="180" w:right="0" w:hanging="0"/>
              <w:jc w:val="left"/>
              <w:rPr/>
            </w:pPr>
            <w:r>
              <w:rPr/>
              <w:t>Amortization of right-of-use assets</w:t>
            </w:r>
          </w:p>
        </w:tc>
        <w:tc>
          <w:tcPr>
            <w:tcW w:w="9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499</w:t>
            </w:r>
          </w:p>
        </w:tc>
        <w:tc>
          <w:tcPr>
            <w:tcW w:w="118"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pPr>
            <w:r>
              <w:rPr/>
              <w:t>551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1,011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right"/>
              <w:rPr/>
            </w:pPr>
            <w:r>
              <w:rPr/>
              <w:t>1,081</w:t>
            </w:r>
          </w:p>
        </w:tc>
        <w:tc>
          <w:tcPr>
            <w:tcW w:w="135" w:type="dxa"/>
            <w:tcBorders/>
            <w:vAlign w:val="bottom"/>
          </w:tcPr>
          <w:p>
            <w:pPr>
              <w:pStyle w:val="TableContents"/>
              <w:bidi w:val="0"/>
              <w:spacing w:before="0" w:after="283"/>
              <w:jc w:val="left"/>
              <w:rPr/>
            </w:pPr>
            <w:r>
              <w:rPr/>
              <w:t> </w:t>
            </w:r>
          </w:p>
        </w:tc>
      </w:tr>
      <w:tr>
        <w:trPr/>
        <w:tc>
          <w:tcPr>
            <w:tcW w:w="3320" w:type="dxa"/>
            <w:tcBorders/>
            <w:shd w:fill="CCEEFF" w:val="clear"/>
            <w:vAlign w:val="bottom"/>
          </w:tcPr>
          <w:p>
            <w:pPr>
              <w:pStyle w:val="TableContents"/>
              <w:bidi w:val="0"/>
              <w:spacing w:before="0" w:after="0"/>
              <w:ind w:left="180" w:right="0" w:hanging="0"/>
              <w:jc w:val="left"/>
              <w:rPr/>
            </w:pPr>
            <w:r>
              <w:rPr/>
              <w:t>Interest on lease liabilities</w:t>
            </w:r>
          </w:p>
        </w:tc>
        <w:tc>
          <w:tcPr>
            <w:tcW w:w="90" w:type="dxa"/>
            <w:tcBorders/>
            <w:shd w:fill="CCEEFF" w:val="clear"/>
            <w:vAlign w:val="bottom"/>
          </w:tcPr>
          <w:p>
            <w:pPr>
              <w:pStyle w:val="TableContents"/>
              <w:bidi w:val="0"/>
              <w:spacing w:before="0" w:after="283"/>
              <w:jc w:val="left"/>
              <w:rPr/>
            </w:pPr>
            <w:r>
              <w:rPr/>
              <w:t> </w:t>
            </w:r>
          </w:p>
        </w:tc>
        <w:tc>
          <w:tcPr>
            <w:tcW w:w="22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77" w:type="dxa"/>
            <w:tcBorders>
              <w:bottom w:val="single" w:sz="12" w:space="0" w:color="000000"/>
            </w:tcBorders>
            <w:shd w:fill="CCEEFF" w:val="clear"/>
            <w:tcMar>
              <w:bottom w:w="28" w:type="dxa"/>
            </w:tcMar>
            <w:vAlign w:val="bottom"/>
          </w:tcPr>
          <w:p>
            <w:pPr>
              <w:pStyle w:val="TableContents"/>
              <w:bidi w:val="0"/>
              <w:spacing w:before="0" w:after="283"/>
              <w:jc w:val="right"/>
              <w:rPr/>
            </w:pPr>
            <w:r>
              <w:rPr/>
              <w:t>123</w:t>
            </w:r>
          </w:p>
        </w:tc>
        <w:tc>
          <w:tcPr>
            <w:tcW w:w="118"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22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77" w:type="dxa"/>
            <w:tcBorders>
              <w:bottom w:val="single" w:sz="12" w:space="0" w:color="000000"/>
            </w:tcBorders>
            <w:shd w:fill="CCEEFF" w:val="clear"/>
            <w:tcMar>
              <w:bottom w:w="28" w:type="dxa"/>
            </w:tcMar>
            <w:vAlign w:val="bottom"/>
          </w:tcPr>
          <w:p>
            <w:pPr>
              <w:pStyle w:val="TableContents"/>
              <w:bidi w:val="0"/>
              <w:spacing w:before="0" w:after="283"/>
              <w:jc w:val="right"/>
              <w:rPr/>
            </w:pPr>
            <w:r>
              <w:rPr/>
              <w:t>165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283"/>
              <w:jc w:val="right"/>
              <w:rPr/>
            </w:pPr>
            <w:r>
              <w:rPr/>
              <w:t>256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283"/>
              <w:jc w:val="right"/>
              <w:rPr/>
            </w:pPr>
            <w:r>
              <w:rPr/>
              <w:t>333</w:t>
            </w:r>
          </w:p>
        </w:tc>
        <w:tc>
          <w:tcPr>
            <w:tcW w:w="135" w:type="dxa"/>
            <w:tcBorders/>
            <w:shd w:fill="CCEEFF" w:val="clear"/>
            <w:vAlign w:val="bottom"/>
          </w:tcPr>
          <w:p>
            <w:pPr>
              <w:pStyle w:val="TableContents"/>
              <w:bidi w:val="0"/>
              <w:spacing w:before="0" w:after="283"/>
              <w:jc w:val="left"/>
              <w:rPr/>
            </w:pPr>
            <w:r>
              <w:rPr/>
              <w:t> </w:t>
            </w:r>
          </w:p>
        </w:tc>
      </w:tr>
      <w:tr>
        <w:trPr/>
        <w:tc>
          <w:tcPr>
            <w:tcW w:w="3320" w:type="dxa"/>
            <w:tcBorders/>
            <w:vAlign w:val="bottom"/>
          </w:tcPr>
          <w:p>
            <w:pPr>
              <w:pStyle w:val="TableContents"/>
              <w:bidi w:val="0"/>
              <w:spacing w:before="0" w:after="0"/>
              <w:ind w:left="360" w:right="0" w:hanging="0"/>
              <w:jc w:val="left"/>
              <w:rPr>
                <w:b/>
              </w:rPr>
            </w:pPr>
            <w:r>
              <w:rPr>
                <w:b/>
              </w:rPr>
              <w:t>Total lease expense</w:t>
            </w:r>
          </w:p>
        </w:tc>
        <w:tc>
          <w:tcPr>
            <w:tcW w:w="90" w:type="dxa"/>
            <w:tcBorders/>
            <w:vAlign w:val="bottom"/>
          </w:tcPr>
          <w:p>
            <w:pPr>
              <w:pStyle w:val="TableContents"/>
              <w:bidi w:val="0"/>
              <w:spacing w:before="0" w:after="283"/>
              <w:jc w:val="left"/>
              <w:rPr/>
            </w:pPr>
            <w:r>
              <w:rPr/>
              <w:t> </w:t>
            </w:r>
          </w:p>
        </w:tc>
        <w:tc>
          <w:tcPr>
            <w:tcW w:w="224" w:type="dxa"/>
            <w:tcBorders>
              <w:bottom w:val="double" w:sz="8" w:space="0" w:color="000000"/>
            </w:tcBorders>
            <w:tcMar>
              <w:bottom w:w="28" w:type="dxa"/>
            </w:tcMar>
            <w:vAlign w:val="bottom"/>
          </w:tcPr>
          <w:p>
            <w:pPr>
              <w:pStyle w:val="TableContents"/>
              <w:bidi w:val="0"/>
              <w:spacing w:before="0" w:after="283"/>
              <w:jc w:val="left"/>
              <w:rPr/>
            </w:pPr>
            <w:r>
              <w:rPr/>
              <w:t>$</w:t>
            </w:r>
          </w:p>
        </w:tc>
        <w:tc>
          <w:tcPr>
            <w:tcW w:w="777" w:type="dxa"/>
            <w:tcBorders>
              <w:bottom w:val="double" w:sz="8" w:space="0" w:color="000000"/>
            </w:tcBorders>
            <w:tcMar>
              <w:bottom w:w="28" w:type="dxa"/>
            </w:tcMar>
            <w:vAlign w:val="bottom"/>
          </w:tcPr>
          <w:p>
            <w:pPr>
              <w:pStyle w:val="TableContents"/>
              <w:bidi w:val="0"/>
              <w:spacing w:before="0" w:after="283"/>
              <w:jc w:val="right"/>
              <w:rPr/>
            </w:pPr>
            <w:r>
              <w:rPr/>
              <w:t>7,055</w:t>
            </w:r>
          </w:p>
        </w:tc>
        <w:tc>
          <w:tcPr>
            <w:tcW w:w="118"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224" w:type="dxa"/>
            <w:tcBorders>
              <w:bottom w:val="double" w:sz="8" w:space="0" w:color="000000"/>
            </w:tcBorders>
            <w:tcMar>
              <w:bottom w:w="28" w:type="dxa"/>
            </w:tcMar>
            <w:vAlign w:val="bottom"/>
          </w:tcPr>
          <w:p>
            <w:pPr>
              <w:pStyle w:val="TableContents"/>
              <w:bidi w:val="0"/>
              <w:spacing w:before="0" w:after="283"/>
              <w:jc w:val="left"/>
              <w:rPr/>
            </w:pPr>
            <w:r>
              <w:rPr/>
              <w:t>$</w:t>
            </w:r>
          </w:p>
        </w:tc>
        <w:tc>
          <w:tcPr>
            <w:tcW w:w="777" w:type="dxa"/>
            <w:tcBorders>
              <w:bottom w:val="double" w:sz="8" w:space="0" w:color="000000"/>
            </w:tcBorders>
            <w:tcMar>
              <w:bottom w:w="28" w:type="dxa"/>
            </w:tcMar>
            <w:vAlign w:val="bottom"/>
          </w:tcPr>
          <w:p>
            <w:pPr>
              <w:pStyle w:val="TableContents"/>
              <w:bidi w:val="0"/>
              <w:spacing w:before="0" w:after="283"/>
              <w:jc w:val="right"/>
              <w:rPr/>
            </w:pPr>
            <w:r>
              <w:rPr/>
              <w:t>7,945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283"/>
              <w:jc w:val="left"/>
              <w:rPr/>
            </w:pPr>
            <w:r>
              <w:rPr/>
              <w:t>$</w:t>
            </w:r>
          </w:p>
        </w:tc>
        <w:tc>
          <w:tcPr>
            <w:tcW w:w="710" w:type="dxa"/>
            <w:tcBorders>
              <w:bottom w:val="double" w:sz="8" w:space="0" w:color="000000"/>
            </w:tcBorders>
            <w:tcMar>
              <w:bottom w:w="28" w:type="dxa"/>
            </w:tcMar>
            <w:vAlign w:val="bottom"/>
          </w:tcPr>
          <w:p>
            <w:pPr>
              <w:pStyle w:val="TableContents"/>
              <w:bidi w:val="0"/>
              <w:spacing w:before="0" w:after="283"/>
              <w:jc w:val="right"/>
              <w:rPr/>
            </w:pPr>
            <w:r>
              <w:rPr/>
              <w:t>14,385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283"/>
              <w:jc w:val="left"/>
              <w:rPr/>
            </w:pPr>
            <w:r>
              <w:rPr/>
              <w:t>$</w:t>
            </w:r>
          </w:p>
        </w:tc>
        <w:tc>
          <w:tcPr>
            <w:tcW w:w="710" w:type="dxa"/>
            <w:tcBorders>
              <w:bottom w:val="double" w:sz="8" w:space="0" w:color="000000"/>
            </w:tcBorders>
            <w:tcMar>
              <w:bottom w:w="28" w:type="dxa"/>
            </w:tcMar>
            <w:vAlign w:val="bottom"/>
          </w:tcPr>
          <w:p>
            <w:pPr>
              <w:pStyle w:val="TableContents"/>
              <w:bidi w:val="0"/>
              <w:spacing w:before="0" w:after="283"/>
              <w:jc w:val="right"/>
              <w:rPr/>
            </w:pPr>
            <w:r>
              <w:rPr/>
              <w:t>15,520</w:t>
            </w:r>
          </w:p>
        </w:tc>
        <w:tc>
          <w:tcPr>
            <w:tcW w:w="13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Supplemental cash flow information related to leases was as follows (U.S. dollars in thousands):</w:t>
      </w:r>
    </w:p>
    <w:p>
      <w:pPr>
        <w:pStyle w:val="TextBody"/>
        <w:bidi w:val="0"/>
        <w:spacing w:before="0" w:after="0"/>
        <w:jc w:val="left"/>
        <w:rPr/>
      </w:pPr>
      <w:r>
        <w:rPr/>
      </w:r>
    </w:p>
    <w:tbl>
      <w:tblPr>
        <w:tblW w:w="8980" w:type="dxa"/>
        <w:jc w:val="left"/>
        <w:tblInd w:w="0" w:type="dxa"/>
        <w:tblLayout w:type="fixed"/>
        <w:tblCellMar>
          <w:top w:w="0" w:type="dxa"/>
          <w:left w:w="0" w:type="dxa"/>
          <w:bottom w:w="0" w:type="dxa"/>
          <w:right w:w="0" w:type="dxa"/>
        </w:tblCellMar>
      </w:tblPr>
      <w:tblGrid>
        <w:gridCol w:w="6815"/>
        <w:gridCol w:w="90"/>
        <w:gridCol w:w="170"/>
        <w:gridCol w:w="710"/>
        <w:gridCol w:w="90"/>
        <w:gridCol w:w="90"/>
        <w:gridCol w:w="170"/>
        <w:gridCol w:w="710"/>
        <w:gridCol w:w="135"/>
      </w:tblGrid>
      <w:tr>
        <w:trPr/>
        <w:tc>
          <w:tcPr>
            <w:tcW w:w="6815"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r>
          </w:p>
        </w:tc>
        <w:tc>
          <w:tcPr>
            <w:tcW w:w="194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Six Months Ended</w:t>
            </w:r>
          </w:p>
          <w:p>
            <w:pPr>
              <w:pStyle w:val="TableContents"/>
              <w:bidi w:val="0"/>
              <w:spacing w:before="0" w:after="0"/>
              <w:jc w:val="center"/>
              <w:rPr>
                <w:b/>
                <w:color w:val="000000"/>
              </w:rPr>
            </w:pPr>
            <w:r>
              <w:rPr>
                <w:b/>
                <w:color w:val="000000"/>
              </w:rPr>
              <w:t>June 30,</w:t>
            </w:r>
          </w:p>
        </w:tc>
        <w:tc>
          <w:tcPr>
            <w:tcW w:w="135" w:type="dxa"/>
            <w:tcBorders/>
            <w:vAlign w:val="bottom"/>
          </w:tcPr>
          <w:p>
            <w:pPr>
              <w:pStyle w:val="TableContents"/>
              <w:bidi w:val="0"/>
              <w:spacing w:before="0" w:after="283"/>
              <w:jc w:val="left"/>
              <w:rPr/>
            </w:pPr>
            <w:r>
              <w:rPr/>
            </w:r>
          </w:p>
        </w:tc>
      </w:tr>
      <w:tr>
        <w:trPr/>
        <w:tc>
          <w:tcPr>
            <w:tcW w:w="681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35" w:type="dxa"/>
            <w:tcBorders/>
            <w:vAlign w:val="bottom"/>
          </w:tcPr>
          <w:p>
            <w:pPr>
              <w:pStyle w:val="TableContents"/>
              <w:bidi w:val="0"/>
              <w:spacing w:before="0" w:after="283"/>
              <w:jc w:val="left"/>
              <w:rPr/>
            </w:pPr>
            <w:r>
              <w:rPr/>
              <w:t> </w:t>
            </w:r>
          </w:p>
        </w:tc>
      </w:tr>
      <w:tr>
        <w:trPr/>
        <w:tc>
          <w:tcPr>
            <w:tcW w:w="681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6815" w:type="dxa"/>
            <w:tcBorders/>
            <w:shd w:fill="CCEEFF" w:val="clear"/>
            <w:vAlign w:val="bottom"/>
          </w:tcPr>
          <w:p>
            <w:pPr>
              <w:pStyle w:val="TableContents"/>
              <w:bidi w:val="0"/>
              <w:spacing w:before="0" w:after="0"/>
              <w:jc w:val="left"/>
              <w:rPr>
                <w:color w:val="000000"/>
              </w:rPr>
            </w:pPr>
            <w:r>
              <w:rPr>
                <w:color w:val="000000"/>
              </w:rPr>
              <w:t>Operating cash outflow from operating leases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11,204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11,956</w:t>
            </w:r>
          </w:p>
        </w:tc>
        <w:tc>
          <w:tcPr>
            <w:tcW w:w="135" w:type="dxa"/>
            <w:tcBorders/>
            <w:shd w:fill="CCEEFF" w:val="clear"/>
            <w:vAlign w:val="bottom"/>
          </w:tcPr>
          <w:p>
            <w:pPr>
              <w:pStyle w:val="TableContents"/>
              <w:bidi w:val="0"/>
              <w:spacing w:before="0" w:after="283"/>
              <w:jc w:val="left"/>
              <w:rPr/>
            </w:pPr>
            <w:r>
              <w:rPr/>
              <w:t> </w:t>
            </w:r>
          </w:p>
        </w:tc>
      </w:tr>
      <w:tr>
        <w:trPr/>
        <w:tc>
          <w:tcPr>
            <w:tcW w:w="6815" w:type="dxa"/>
            <w:tcBorders/>
            <w:vAlign w:val="bottom"/>
          </w:tcPr>
          <w:p>
            <w:pPr>
              <w:pStyle w:val="TableContents"/>
              <w:bidi w:val="0"/>
              <w:spacing w:before="0" w:after="0"/>
              <w:jc w:val="left"/>
              <w:rPr>
                <w:color w:val="000000"/>
              </w:rPr>
            </w:pPr>
            <w:r>
              <w:rPr>
                <w:color w:val="000000"/>
              </w:rPr>
              <w:t>Operating cash outflow from finance leases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710" w:type="dxa"/>
            <w:tcBorders/>
            <w:vAlign w:val="bottom"/>
          </w:tcPr>
          <w:p>
            <w:pPr>
              <w:pStyle w:val="TableContents"/>
              <w:bidi w:val="0"/>
              <w:spacing w:before="0" w:after="0"/>
              <w:jc w:val="right"/>
              <w:rPr>
                <w:color w:val="000000"/>
              </w:rPr>
            </w:pPr>
            <w:r>
              <w:rPr>
                <w:color w:val="000000"/>
              </w:rPr>
              <w:t>244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710" w:type="dxa"/>
            <w:tcBorders/>
            <w:vAlign w:val="bottom"/>
          </w:tcPr>
          <w:p>
            <w:pPr>
              <w:pStyle w:val="TableContents"/>
              <w:bidi w:val="0"/>
              <w:spacing w:before="0" w:after="0"/>
              <w:jc w:val="right"/>
              <w:rPr>
                <w:color w:val="000000"/>
              </w:rPr>
            </w:pPr>
            <w:r>
              <w:rPr>
                <w:color w:val="000000"/>
              </w:rPr>
              <w:t>351</w:t>
            </w:r>
          </w:p>
        </w:tc>
        <w:tc>
          <w:tcPr>
            <w:tcW w:w="135" w:type="dxa"/>
            <w:tcBorders/>
            <w:vAlign w:val="bottom"/>
          </w:tcPr>
          <w:p>
            <w:pPr>
              <w:pStyle w:val="TableContents"/>
              <w:bidi w:val="0"/>
              <w:spacing w:before="0" w:after="283"/>
              <w:jc w:val="left"/>
              <w:rPr/>
            </w:pPr>
            <w:r>
              <w:rPr/>
              <w:t> </w:t>
            </w:r>
          </w:p>
        </w:tc>
      </w:tr>
      <w:tr>
        <w:trPr/>
        <w:tc>
          <w:tcPr>
            <w:tcW w:w="6815" w:type="dxa"/>
            <w:tcBorders/>
            <w:shd w:fill="CCEEFF" w:val="clear"/>
            <w:vAlign w:val="bottom"/>
          </w:tcPr>
          <w:p>
            <w:pPr>
              <w:pStyle w:val="TableContents"/>
              <w:bidi w:val="0"/>
              <w:spacing w:before="0" w:after="0"/>
              <w:jc w:val="left"/>
              <w:rPr>
                <w:color w:val="000000"/>
              </w:rPr>
            </w:pPr>
            <w:r>
              <w:rPr>
                <w:color w:val="000000"/>
              </w:rPr>
              <w:t>Financing cash outflow from finance leases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978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1,120</w:t>
            </w:r>
          </w:p>
        </w:tc>
        <w:tc>
          <w:tcPr>
            <w:tcW w:w="135" w:type="dxa"/>
            <w:tcBorders/>
            <w:shd w:fill="CCEEFF" w:val="clear"/>
            <w:vAlign w:val="bottom"/>
          </w:tcPr>
          <w:p>
            <w:pPr>
              <w:pStyle w:val="TableContents"/>
              <w:bidi w:val="0"/>
              <w:spacing w:before="0" w:after="283"/>
              <w:jc w:val="left"/>
              <w:rPr/>
            </w:pPr>
            <w:r>
              <w:rPr/>
              <w:t> </w:t>
            </w:r>
          </w:p>
        </w:tc>
      </w:tr>
      <w:tr>
        <w:trPr/>
        <w:tc>
          <w:tcPr>
            <w:tcW w:w="6815" w:type="dxa"/>
            <w:tcBorders/>
            <w:vAlign w:val="bottom"/>
          </w:tcPr>
          <w:p>
            <w:pPr>
              <w:pStyle w:val="TableContents"/>
              <w:bidi w:val="0"/>
              <w:spacing w:before="0" w:after="0"/>
              <w:jc w:val="left"/>
              <w:rPr>
                <w:color w:val="000000"/>
              </w:rPr>
            </w:pPr>
            <w:r>
              <w:rPr>
                <w:color w:val="000000"/>
              </w:rPr>
              <w:t>Right-of-use assets obtained in exchange for operating lease obligations</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710" w:type="dxa"/>
            <w:tcBorders/>
            <w:vAlign w:val="bottom"/>
          </w:tcPr>
          <w:p>
            <w:pPr>
              <w:pStyle w:val="TableContents"/>
              <w:bidi w:val="0"/>
              <w:spacing w:before="0" w:after="0"/>
              <w:jc w:val="right"/>
              <w:rPr>
                <w:color w:val="000000"/>
              </w:rPr>
            </w:pPr>
            <w:r>
              <w:rPr>
                <w:color w:val="000000"/>
              </w:rPr>
              <w:t>2,850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color w:val="000000"/>
              </w:rPr>
            </w:pPr>
            <w:r>
              <w:rPr>
                <w:color w:val="000000"/>
              </w:rPr>
              <w:t>$</w:t>
            </w:r>
          </w:p>
        </w:tc>
        <w:tc>
          <w:tcPr>
            <w:tcW w:w="710" w:type="dxa"/>
            <w:tcBorders/>
            <w:vAlign w:val="bottom"/>
          </w:tcPr>
          <w:p>
            <w:pPr>
              <w:pStyle w:val="TableContents"/>
              <w:bidi w:val="0"/>
              <w:spacing w:before="0" w:after="0"/>
              <w:jc w:val="right"/>
              <w:rPr>
                <w:color w:val="000000"/>
              </w:rPr>
            </w:pPr>
            <w:r>
              <w:rPr>
                <w:color w:val="000000"/>
              </w:rPr>
              <w:t>15,201</w:t>
            </w:r>
          </w:p>
        </w:tc>
        <w:tc>
          <w:tcPr>
            <w:tcW w:w="135" w:type="dxa"/>
            <w:tcBorders/>
            <w:vAlign w:val="bottom"/>
          </w:tcPr>
          <w:p>
            <w:pPr>
              <w:pStyle w:val="TableContents"/>
              <w:bidi w:val="0"/>
              <w:spacing w:before="0" w:after="283"/>
              <w:jc w:val="left"/>
              <w:rPr/>
            </w:pPr>
            <w:r>
              <w:rPr/>
              <w:t> </w:t>
            </w:r>
          </w:p>
        </w:tc>
      </w:tr>
      <w:tr>
        <w:trPr/>
        <w:tc>
          <w:tcPr>
            <w:tcW w:w="6815" w:type="dxa"/>
            <w:tcBorders/>
            <w:shd w:fill="CCEEFF" w:val="clear"/>
            <w:vAlign w:val="bottom"/>
          </w:tcPr>
          <w:p>
            <w:pPr>
              <w:pStyle w:val="TableContents"/>
              <w:bidi w:val="0"/>
              <w:spacing w:before="0" w:after="0"/>
              <w:jc w:val="left"/>
              <w:rPr>
                <w:color w:val="000000"/>
              </w:rPr>
            </w:pPr>
            <w:r>
              <w:rPr>
                <w:color w:val="000000"/>
              </w:rPr>
              <w:t>Right-of-use assets obtained in exchange for finance lease obligations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38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47</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Maturities of lease liabilities were as follows (U.S. dollars in thousands):</w:t>
      </w:r>
    </w:p>
    <w:p>
      <w:pPr>
        <w:pStyle w:val="TextBody"/>
        <w:bidi w:val="0"/>
        <w:spacing w:before="0" w:after="0"/>
        <w:jc w:val="left"/>
        <w:rPr/>
      </w:pPr>
      <w:r>
        <w:rPr/>
      </w:r>
    </w:p>
    <w:tbl>
      <w:tblPr>
        <w:tblW w:w="5310" w:type="dxa"/>
        <w:jc w:val="left"/>
        <w:tblInd w:w="0" w:type="dxa"/>
        <w:tblLayout w:type="fixed"/>
        <w:tblCellMar>
          <w:top w:w="0" w:type="dxa"/>
          <w:left w:w="0" w:type="dxa"/>
          <w:bottom w:w="0" w:type="dxa"/>
          <w:right w:w="0" w:type="dxa"/>
        </w:tblCellMar>
      </w:tblPr>
      <w:tblGrid>
        <w:gridCol w:w="2840"/>
        <w:gridCol w:w="90"/>
        <w:gridCol w:w="209"/>
        <w:gridCol w:w="876"/>
        <w:gridCol w:w="150"/>
        <w:gridCol w:w="150"/>
        <w:gridCol w:w="192"/>
        <w:gridCol w:w="668"/>
        <w:gridCol w:w="135"/>
      </w:tblGrid>
      <w:tr>
        <w:trPr/>
        <w:tc>
          <w:tcPr>
            <w:tcW w:w="2840" w:type="dxa"/>
            <w:tcBorders/>
            <w:vAlign w:val="center"/>
          </w:tcPr>
          <w:p>
            <w:pPr>
              <w:pStyle w:val="TableContents"/>
              <w:bidi w:val="0"/>
              <w:spacing w:before="0" w:after="0"/>
              <w:jc w:val="left"/>
              <w:rPr>
                <w:b/>
                <w:color w:val="000000"/>
              </w:rPr>
            </w:pPr>
            <w:r>
              <w:rPr>
                <w:b/>
                <w:color w:val="000000"/>
              </w:rPr>
              <w:t>Year Ending December 31,</w:t>
            </w:r>
          </w:p>
        </w:tc>
        <w:tc>
          <w:tcPr>
            <w:tcW w:w="90" w:type="dxa"/>
            <w:tcBorders/>
            <w:vAlign w:val="bottom"/>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Operating</w:t>
            </w:r>
          </w:p>
          <w:p>
            <w:pPr>
              <w:pStyle w:val="TableContents"/>
              <w:bidi w:val="0"/>
              <w:spacing w:before="0" w:after="0"/>
              <w:jc w:val="center"/>
              <w:rPr>
                <w:b/>
                <w:color w:val="000000"/>
              </w:rPr>
            </w:pPr>
            <w:r>
              <w:rPr>
                <w:b/>
                <w:color w:val="000000"/>
              </w:rPr>
              <w:t>Leases</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Finance</w:t>
            </w:r>
          </w:p>
          <w:p>
            <w:pPr>
              <w:pStyle w:val="TableContents"/>
              <w:bidi w:val="0"/>
              <w:spacing w:before="0" w:after="0"/>
              <w:jc w:val="center"/>
              <w:rPr>
                <w:b/>
                <w:color w:val="000000"/>
              </w:rPr>
            </w:pPr>
            <w:r>
              <w:rPr>
                <w:b/>
                <w:color w:val="000000"/>
              </w:rPr>
              <w:t>Leases</w:t>
            </w:r>
          </w:p>
        </w:tc>
        <w:tc>
          <w:tcPr>
            <w:tcW w:w="135" w:type="dxa"/>
            <w:tcBorders/>
            <w:vAlign w:val="bottom"/>
          </w:tcPr>
          <w:p>
            <w:pPr>
              <w:pStyle w:val="TableContents"/>
              <w:bidi w:val="0"/>
              <w:spacing w:before="0" w:after="283"/>
              <w:jc w:val="left"/>
              <w:rPr/>
            </w:pPr>
            <w:r>
              <w:rPr/>
            </w:r>
          </w:p>
        </w:tc>
      </w:tr>
      <w:tr>
        <w:trPr/>
        <w:tc>
          <w:tcPr>
            <w:tcW w:w="2840" w:type="dxa"/>
            <w:tcBorders/>
            <w:shd w:fill="CCEEFF" w:val="clear"/>
            <w:vAlign w:val="bottom"/>
          </w:tcPr>
          <w:p>
            <w:pPr>
              <w:pStyle w:val="TableContents"/>
              <w:bidi w:val="0"/>
              <w:spacing w:before="0" w:after="0"/>
              <w:jc w:val="left"/>
              <w:rPr>
                <w:color w:val="000000"/>
              </w:rPr>
            </w:pPr>
            <w:r>
              <w:rPr>
                <w:color w:val="000000"/>
              </w:rPr>
              <w:t>2026</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0"/>
              <w:jc w:val="left"/>
              <w:rPr>
                <w:color w:val="000000"/>
              </w:rPr>
            </w:pPr>
            <w:r>
              <w:rPr>
                <w:color w:val="000000"/>
              </w:rPr>
              <w:t>$</w:t>
            </w:r>
          </w:p>
        </w:tc>
        <w:tc>
          <w:tcPr>
            <w:tcW w:w="876" w:type="dxa"/>
            <w:tcBorders/>
            <w:shd w:fill="CCEEFF" w:val="clear"/>
            <w:vAlign w:val="bottom"/>
          </w:tcPr>
          <w:p>
            <w:pPr>
              <w:pStyle w:val="TableContents"/>
              <w:bidi w:val="0"/>
              <w:spacing w:before="0" w:after="0"/>
              <w:jc w:val="right"/>
              <w:rPr>
                <w:color w:val="000000"/>
              </w:rPr>
            </w:pPr>
            <w:r>
              <w:rPr>
                <w:color w:val="000000"/>
              </w:rPr>
              <w:t>10,548</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0"/>
              <w:jc w:val="left"/>
              <w:rPr>
                <w:color w:val="000000"/>
              </w:rPr>
            </w:pPr>
            <w:r>
              <w:rPr>
                <w:color w:val="000000"/>
              </w:rPr>
              <w:t>$</w:t>
            </w:r>
          </w:p>
        </w:tc>
        <w:tc>
          <w:tcPr>
            <w:tcW w:w="668" w:type="dxa"/>
            <w:tcBorders/>
            <w:shd w:fill="CCEEFF" w:val="clear"/>
            <w:vAlign w:val="bottom"/>
          </w:tcPr>
          <w:p>
            <w:pPr>
              <w:pStyle w:val="TableContents"/>
              <w:bidi w:val="0"/>
              <w:spacing w:before="0" w:after="0"/>
              <w:jc w:val="right"/>
              <w:rPr>
                <w:color w:val="000000"/>
              </w:rPr>
            </w:pPr>
            <w:r>
              <w:rPr>
                <w:color w:val="000000"/>
              </w:rPr>
              <w:t>1,183</w:t>
            </w:r>
          </w:p>
        </w:tc>
        <w:tc>
          <w:tcPr>
            <w:tcW w:w="135" w:type="dxa"/>
            <w:tcBorders/>
            <w:shd w:fill="CCEEFF" w:val="clear"/>
            <w:vAlign w:val="bottom"/>
          </w:tcPr>
          <w:p>
            <w:pPr>
              <w:pStyle w:val="TableContents"/>
              <w:bidi w:val="0"/>
              <w:spacing w:before="0" w:after="283"/>
              <w:jc w:val="left"/>
              <w:rPr/>
            </w:pPr>
            <w:r>
              <w:rPr/>
              <w:t> </w:t>
            </w:r>
          </w:p>
        </w:tc>
      </w:tr>
      <w:tr>
        <w:trPr/>
        <w:tc>
          <w:tcPr>
            <w:tcW w:w="2840" w:type="dxa"/>
            <w:tcBorders/>
            <w:vAlign w:val="bottom"/>
          </w:tcPr>
          <w:p>
            <w:pPr>
              <w:pStyle w:val="TableContents"/>
              <w:bidi w:val="0"/>
              <w:spacing w:before="0" w:after="0"/>
              <w:jc w:val="left"/>
              <w:rPr>
                <w:color w:val="000000"/>
              </w:rPr>
            </w:pPr>
            <w:r>
              <w:rPr>
                <w:color w:val="000000"/>
              </w:rPr>
              <w:t>2027</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0"/>
              <w:jc w:val="right"/>
              <w:rPr>
                <w:color w:val="000000"/>
              </w:rPr>
            </w:pPr>
            <w:r>
              <w:rPr>
                <w:color w:val="000000"/>
              </w:rPr>
              <w:t>16,662</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0"/>
              <w:jc w:val="right"/>
              <w:rPr>
                <w:color w:val="000000"/>
              </w:rPr>
            </w:pPr>
            <w:r>
              <w:rPr>
                <w:color w:val="000000"/>
              </w:rPr>
              <w:t>2,346</w:t>
            </w:r>
          </w:p>
        </w:tc>
        <w:tc>
          <w:tcPr>
            <w:tcW w:w="135" w:type="dxa"/>
            <w:tcBorders/>
            <w:vAlign w:val="bottom"/>
          </w:tcPr>
          <w:p>
            <w:pPr>
              <w:pStyle w:val="TableContents"/>
              <w:bidi w:val="0"/>
              <w:spacing w:before="0" w:after="283"/>
              <w:jc w:val="left"/>
              <w:rPr/>
            </w:pPr>
            <w:r>
              <w:rPr/>
              <w:t> </w:t>
            </w:r>
          </w:p>
        </w:tc>
      </w:tr>
      <w:tr>
        <w:trPr/>
        <w:tc>
          <w:tcPr>
            <w:tcW w:w="2840" w:type="dxa"/>
            <w:tcBorders/>
            <w:shd w:fill="CCEEFF" w:val="clear"/>
            <w:vAlign w:val="bottom"/>
          </w:tcPr>
          <w:p>
            <w:pPr>
              <w:pStyle w:val="TableContents"/>
              <w:bidi w:val="0"/>
              <w:spacing w:before="0" w:after="0"/>
              <w:jc w:val="left"/>
              <w:rPr>
                <w:color w:val="000000"/>
              </w:rPr>
            </w:pPr>
            <w:r>
              <w:rPr>
                <w:color w:val="000000"/>
              </w:rPr>
              <w:t>2028</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color w:val="000000"/>
              </w:rPr>
            </w:pPr>
            <w:r>
              <w:rPr>
                <w:color w:val="000000"/>
              </w:rPr>
              <w:t>12,420</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0"/>
              <w:jc w:val="right"/>
              <w:rPr>
                <w:color w:val="000000"/>
              </w:rPr>
            </w:pPr>
            <w:r>
              <w:rPr>
                <w:color w:val="000000"/>
              </w:rPr>
              <w:t>2,310</w:t>
            </w:r>
          </w:p>
        </w:tc>
        <w:tc>
          <w:tcPr>
            <w:tcW w:w="135" w:type="dxa"/>
            <w:tcBorders/>
            <w:shd w:fill="CCEEFF" w:val="clear"/>
            <w:vAlign w:val="bottom"/>
          </w:tcPr>
          <w:p>
            <w:pPr>
              <w:pStyle w:val="TableContents"/>
              <w:bidi w:val="0"/>
              <w:spacing w:before="0" w:after="283"/>
              <w:jc w:val="left"/>
              <w:rPr/>
            </w:pPr>
            <w:r>
              <w:rPr/>
              <w:t> </w:t>
            </w:r>
          </w:p>
        </w:tc>
      </w:tr>
      <w:tr>
        <w:trPr/>
        <w:tc>
          <w:tcPr>
            <w:tcW w:w="2840" w:type="dxa"/>
            <w:tcBorders/>
            <w:vAlign w:val="bottom"/>
          </w:tcPr>
          <w:p>
            <w:pPr>
              <w:pStyle w:val="TableContents"/>
              <w:bidi w:val="0"/>
              <w:spacing w:before="0" w:after="0"/>
              <w:jc w:val="left"/>
              <w:rPr>
                <w:color w:val="000000"/>
              </w:rPr>
            </w:pPr>
            <w:r>
              <w:rPr>
                <w:color w:val="000000"/>
              </w:rPr>
              <w:t>2029</w:t>
            </w:r>
          </w:p>
        </w:tc>
        <w:tc>
          <w:tcPr>
            <w:tcW w:w="90"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0"/>
              <w:jc w:val="right"/>
              <w:rPr>
                <w:color w:val="000000"/>
              </w:rPr>
            </w:pPr>
            <w:r>
              <w:rPr>
                <w:color w:val="000000"/>
              </w:rPr>
              <w:t>10,328</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668" w:type="dxa"/>
            <w:tcBorders/>
            <w:vAlign w:val="bottom"/>
          </w:tcPr>
          <w:p>
            <w:pPr>
              <w:pStyle w:val="TableContents"/>
              <w:bidi w:val="0"/>
              <w:spacing w:before="0" w:after="0"/>
              <w:jc w:val="right"/>
              <w:rPr>
                <w:color w:val="000000"/>
              </w:rPr>
            </w:pPr>
            <w:r>
              <w:rPr>
                <w:color w:val="000000"/>
              </w:rPr>
              <w:t>1,879</w:t>
            </w:r>
          </w:p>
        </w:tc>
        <w:tc>
          <w:tcPr>
            <w:tcW w:w="135" w:type="dxa"/>
            <w:tcBorders/>
            <w:vAlign w:val="bottom"/>
          </w:tcPr>
          <w:p>
            <w:pPr>
              <w:pStyle w:val="TableContents"/>
              <w:bidi w:val="0"/>
              <w:spacing w:before="0" w:after="283"/>
              <w:jc w:val="left"/>
              <w:rPr/>
            </w:pPr>
            <w:r>
              <w:rPr/>
              <w:t> </w:t>
            </w:r>
          </w:p>
        </w:tc>
      </w:tr>
      <w:tr>
        <w:trPr/>
        <w:tc>
          <w:tcPr>
            <w:tcW w:w="2840" w:type="dxa"/>
            <w:tcBorders/>
            <w:shd w:fill="CCEEFF" w:val="clear"/>
            <w:vAlign w:val="bottom"/>
          </w:tcPr>
          <w:p>
            <w:pPr>
              <w:pStyle w:val="TableContents"/>
              <w:bidi w:val="0"/>
              <w:spacing w:before="0" w:after="0"/>
              <w:jc w:val="left"/>
              <w:rPr>
                <w:color w:val="000000"/>
              </w:rPr>
            </w:pPr>
            <w:r>
              <w:rPr>
                <w:color w:val="000000"/>
              </w:rPr>
              <w:t>2030</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color w:val="000000"/>
              </w:rPr>
            </w:pPr>
            <w:r>
              <w:rPr>
                <w:color w:val="000000"/>
              </w:rPr>
              <w:t>5,424</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0"/>
              <w:jc w:val="right"/>
              <w:rPr>
                <w:color w:val="000000"/>
              </w:rPr>
            </w:pPr>
            <w:r>
              <w:rPr>
                <w:color w:val="000000"/>
              </w:rPr>
              <w:t>9</w:t>
            </w:r>
          </w:p>
        </w:tc>
        <w:tc>
          <w:tcPr>
            <w:tcW w:w="135" w:type="dxa"/>
            <w:tcBorders/>
            <w:shd w:fill="CCEEFF" w:val="clear"/>
            <w:vAlign w:val="bottom"/>
          </w:tcPr>
          <w:p>
            <w:pPr>
              <w:pStyle w:val="TableContents"/>
              <w:bidi w:val="0"/>
              <w:spacing w:before="0" w:after="283"/>
              <w:jc w:val="left"/>
              <w:rPr/>
            </w:pPr>
            <w:r>
              <w:rPr/>
              <w:t> </w:t>
            </w:r>
          </w:p>
        </w:tc>
      </w:tr>
      <w:tr>
        <w:trPr/>
        <w:tc>
          <w:tcPr>
            <w:tcW w:w="2840" w:type="dxa"/>
            <w:tcBorders/>
            <w:vAlign w:val="bottom"/>
          </w:tcPr>
          <w:p>
            <w:pPr>
              <w:pStyle w:val="TableContents"/>
              <w:bidi w:val="0"/>
              <w:spacing w:before="0" w:after="0"/>
              <w:jc w:val="left"/>
              <w:rPr>
                <w:color w:val="000000"/>
              </w:rPr>
            </w:pPr>
            <w:r>
              <w:rPr>
                <w:color w:val="000000"/>
              </w:rPr>
              <w:t>Thereafter</w:t>
            </w:r>
          </w:p>
        </w:tc>
        <w:tc>
          <w:tcPr>
            <w:tcW w:w="90" w:type="dxa"/>
            <w:tcBorders/>
            <w:vAlign w:val="bottom"/>
          </w:tcPr>
          <w:p>
            <w:pPr>
              <w:pStyle w:val="TableContents"/>
              <w:bidi w:val="0"/>
              <w:spacing w:before="0" w:after="283"/>
              <w:jc w:val="left"/>
              <w:rPr/>
            </w:pPr>
            <w:r>
              <w:rPr/>
              <w:t> </w:t>
            </w:r>
          </w:p>
        </w:tc>
        <w:tc>
          <w:tcPr>
            <w:tcW w:w="209" w:type="dxa"/>
            <w:tcBorders>
              <w:bottom w:val="single" w:sz="12" w:space="0" w:color="000000"/>
            </w:tcBorders>
            <w:tcMar>
              <w:bottom w:w="28" w:type="dxa"/>
            </w:tcMar>
            <w:vAlign w:val="bottom"/>
          </w:tcPr>
          <w:p>
            <w:pPr>
              <w:pStyle w:val="TableContents"/>
              <w:bidi w:val="0"/>
              <w:spacing w:before="0" w:after="283"/>
              <w:jc w:val="left"/>
              <w:rPr/>
            </w:pPr>
            <w:r>
              <w:rPr/>
              <w:t> </w:t>
            </w:r>
          </w:p>
        </w:tc>
        <w:tc>
          <w:tcPr>
            <w:tcW w:w="87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19,277</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92" w:type="dxa"/>
            <w:tcBorders>
              <w:bottom w:val="single" w:sz="12" w:space="0" w:color="000000"/>
            </w:tcBorders>
            <w:tcMar>
              <w:bottom w:w="28" w:type="dxa"/>
            </w:tcMar>
            <w:vAlign w:val="bottom"/>
          </w:tcPr>
          <w:p>
            <w:pPr>
              <w:pStyle w:val="TableContents"/>
              <w:bidi w:val="0"/>
              <w:spacing w:before="0" w:after="283"/>
              <w:jc w:val="left"/>
              <w:rPr/>
            </w:pPr>
            <w:r>
              <w:rPr/>
              <w:t> </w:t>
            </w:r>
          </w:p>
        </w:tc>
        <w:tc>
          <w:tcPr>
            <w:tcW w:w="66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135" w:type="dxa"/>
            <w:tcBorders/>
            <w:vAlign w:val="bottom"/>
          </w:tcPr>
          <w:p>
            <w:pPr>
              <w:pStyle w:val="TableContents"/>
              <w:bidi w:val="0"/>
              <w:spacing w:before="0" w:after="283"/>
              <w:jc w:val="left"/>
              <w:rPr/>
            </w:pPr>
            <w:r>
              <w:rPr/>
              <w:t> </w:t>
            </w:r>
          </w:p>
        </w:tc>
      </w:tr>
      <w:tr>
        <w:trPr/>
        <w:tc>
          <w:tcPr>
            <w:tcW w:w="2840" w:type="dxa"/>
            <w:tcBorders/>
            <w:shd w:fill="CCEEFF" w:val="clear"/>
            <w:vAlign w:val="bottom"/>
          </w:tcPr>
          <w:p>
            <w:pPr>
              <w:pStyle w:val="TableContents"/>
              <w:bidi w:val="0"/>
              <w:spacing w:before="0" w:after="0"/>
              <w:jc w:val="left"/>
              <w:rPr>
                <w:b/>
                <w:color w:val="000000"/>
              </w:rPr>
            </w:pPr>
            <w:r>
              <w:rPr>
                <w:b/>
                <w:color w:val="000000"/>
              </w:rPr>
              <w:t>Total</w:t>
            </w:r>
          </w:p>
        </w:tc>
        <w:tc>
          <w:tcPr>
            <w:tcW w:w="90"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0"/>
              <w:jc w:val="right"/>
              <w:rPr>
                <w:color w:val="000000"/>
              </w:rPr>
            </w:pPr>
            <w:r>
              <w:rPr>
                <w:color w:val="000000"/>
              </w:rPr>
              <w:t>74,659</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668" w:type="dxa"/>
            <w:tcBorders/>
            <w:shd w:fill="CCEEFF" w:val="clear"/>
            <w:vAlign w:val="bottom"/>
          </w:tcPr>
          <w:p>
            <w:pPr>
              <w:pStyle w:val="TableContents"/>
              <w:bidi w:val="0"/>
              <w:spacing w:before="0" w:after="0"/>
              <w:jc w:val="right"/>
              <w:rPr>
                <w:color w:val="000000"/>
              </w:rPr>
            </w:pPr>
            <w:r>
              <w:rPr>
                <w:color w:val="000000"/>
              </w:rPr>
              <w:t>7,727</w:t>
            </w:r>
          </w:p>
        </w:tc>
        <w:tc>
          <w:tcPr>
            <w:tcW w:w="135" w:type="dxa"/>
            <w:tcBorders/>
            <w:shd w:fill="CCEEFF" w:val="clear"/>
            <w:vAlign w:val="bottom"/>
          </w:tcPr>
          <w:p>
            <w:pPr>
              <w:pStyle w:val="TableContents"/>
              <w:bidi w:val="0"/>
              <w:spacing w:before="0" w:after="283"/>
              <w:jc w:val="left"/>
              <w:rPr/>
            </w:pPr>
            <w:r>
              <w:rPr/>
              <w:t> </w:t>
            </w:r>
          </w:p>
        </w:tc>
      </w:tr>
      <w:tr>
        <w:trPr/>
        <w:tc>
          <w:tcPr>
            <w:tcW w:w="2840" w:type="dxa"/>
            <w:tcBorders/>
            <w:vAlign w:val="bottom"/>
          </w:tcPr>
          <w:p>
            <w:pPr>
              <w:pStyle w:val="TableContents"/>
              <w:bidi w:val="0"/>
              <w:spacing w:before="0" w:after="0"/>
              <w:jc w:val="left"/>
              <w:rPr>
                <w:color w:val="000000"/>
              </w:rPr>
            </w:pPr>
            <w:r>
              <w:rPr>
                <w:color w:val="000000"/>
              </w:rPr>
              <w:t>Less: Finance Charges</w:t>
            </w:r>
          </w:p>
        </w:tc>
        <w:tc>
          <w:tcPr>
            <w:tcW w:w="90" w:type="dxa"/>
            <w:tcBorders/>
            <w:vAlign w:val="bottom"/>
          </w:tcPr>
          <w:p>
            <w:pPr>
              <w:pStyle w:val="TableContents"/>
              <w:bidi w:val="0"/>
              <w:spacing w:before="0" w:after="283"/>
              <w:jc w:val="left"/>
              <w:rPr/>
            </w:pPr>
            <w:r>
              <w:rPr/>
              <w:t> </w:t>
            </w:r>
          </w:p>
        </w:tc>
        <w:tc>
          <w:tcPr>
            <w:tcW w:w="209" w:type="dxa"/>
            <w:tcBorders>
              <w:bottom w:val="single" w:sz="12" w:space="0" w:color="000000"/>
            </w:tcBorders>
            <w:tcMar>
              <w:bottom w:w="28" w:type="dxa"/>
            </w:tcMar>
            <w:vAlign w:val="bottom"/>
          </w:tcPr>
          <w:p>
            <w:pPr>
              <w:pStyle w:val="TableContents"/>
              <w:bidi w:val="0"/>
              <w:spacing w:before="0" w:after="283"/>
              <w:jc w:val="left"/>
              <w:rPr/>
            </w:pPr>
            <w:r>
              <w:rPr/>
              <w:t> </w:t>
            </w:r>
          </w:p>
        </w:tc>
        <w:tc>
          <w:tcPr>
            <w:tcW w:w="876"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7,153</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92" w:type="dxa"/>
            <w:tcBorders>
              <w:bottom w:val="single" w:sz="12" w:space="0" w:color="000000"/>
            </w:tcBorders>
            <w:tcMar>
              <w:bottom w:w="28" w:type="dxa"/>
            </w:tcMar>
            <w:vAlign w:val="bottom"/>
          </w:tcPr>
          <w:p>
            <w:pPr>
              <w:pStyle w:val="TableContents"/>
              <w:bidi w:val="0"/>
              <w:spacing w:before="0" w:after="283"/>
              <w:jc w:val="left"/>
              <w:rPr/>
            </w:pPr>
            <w:r>
              <w:rPr/>
              <w:t> </w:t>
            </w:r>
          </w:p>
        </w:tc>
        <w:tc>
          <w:tcPr>
            <w:tcW w:w="668"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801</w:t>
            </w:r>
          </w:p>
        </w:tc>
        <w:tc>
          <w:tcPr>
            <w:tcW w:w="135" w:type="dxa"/>
            <w:tcBorders/>
            <w:vAlign w:val="bottom"/>
          </w:tcPr>
          <w:p>
            <w:pPr>
              <w:pStyle w:val="TableContents"/>
              <w:bidi w:val="0"/>
              <w:spacing w:before="0" w:after="283"/>
              <w:jc w:val="left"/>
              <w:rPr/>
            </w:pPr>
            <w:r>
              <w:rPr/>
              <w:t> </w:t>
            </w:r>
          </w:p>
        </w:tc>
      </w:tr>
      <w:tr>
        <w:trPr/>
        <w:tc>
          <w:tcPr>
            <w:tcW w:w="2840" w:type="dxa"/>
            <w:tcBorders/>
            <w:shd w:fill="CCEEFF" w:val="clear"/>
            <w:vAlign w:val="bottom"/>
          </w:tcPr>
          <w:p>
            <w:pPr>
              <w:pStyle w:val="TableContents"/>
              <w:bidi w:val="0"/>
              <w:spacing w:before="0" w:after="0"/>
              <w:jc w:val="left"/>
              <w:rPr>
                <w:b/>
                <w:color w:val="000000"/>
              </w:rPr>
            </w:pPr>
            <w:r>
              <w:rPr>
                <w:b/>
                <w:color w:val="000000"/>
              </w:rPr>
              <w:t>Total Principal Liability</w:t>
            </w:r>
          </w:p>
        </w:tc>
        <w:tc>
          <w:tcPr>
            <w:tcW w:w="90" w:type="dxa"/>
            <w:tcBorders/>
            <w:shd w:fill="CCEEFF" w:val="clear"/>
            <w:vAlign w:val="bottom"/>
          </w:tcPr>
          <w:p>
            <w:pPr>
              <w:pStyle w:val="TableContents"/>
              <w:bidi w:val="0"/>
              <w:spacing w:before="0" w:after="283"/>
              <w:jc w:val="left"/>
              <w:rPr/>
            </w:pPr>
            <w:r>
              <w:rPr/>
              <w:t> </w:t>
            </w:r>
          </w:p>
        </w:tc>
        <w:tc>
          <w:tcPr>
            <w:tcW w:w="209"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76"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67,506</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92"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668"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6,926</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Company has additional lease liabilities of $37.6 million which have not yet commenced as of June 30, 2026, and as such, have not been recognized on the consolidated balance sheets.</w:t>
      </w:r>
    </w:p>
    <w:p>
      <w:pPr>
        <w:pStyle w:val="TextBody"/>
        <w:bidi w:val="0"/>
        <w:spacing w:before="0" w:after="0"/>
        <w:jc w:val="left"/>
        <w:rPr/>
      </w:pPr>
      <w:r>
        <w:rPr/>
      </w:r>
    </w:p>
    <w:tbl>
      <w:tblPr>
        <w:tblW w:w="1720" w:type="dxa"/>
        <w:jc w:val="left"/>
        <w:tblInd w:w="0" w:type="dxa"/>
        <w:tblLayout w:type="fixed"/>
        <w:tblCellMar>
          <w:top w:w="0" w:type="dxa"/>
          <w:left w:w="0" w:type="dxa"/>
          <w:bottom w:w="0" w:type="dxa"/>
          <w:right w:w="0" w:type="dxa"/>
        </w:tblCellMar>
      </w:tblPr>
      <w:tblGrid>
        <w:gridCol w:w="245"/>
        <w:gridCol w:w="1475"/>
      </w:tblGrid>
      <w:tr>
        <w:trPr/>
        <w:tc>
          <w:tcPr>
            <w:tcW w:w="245" w:type="dxa"/>
            <w:tcBorders/>
            <w:vAlign w:val="center"/>
          </w:tcPr>
          <w:p>
            <w:pPr>
              <w:pStyle w:val="TableContents"/>
              <w:bidi w:val="0"/>
              <w:spacing w:before="0" w:after="0"/>
              <w:jc w:val="left"/>
              <w:rPr>
                <w:b/>
              </w:rPr>
            </w:pPr>
            <w:r>
              <w:rPr>
                <w:b/>
              </w:rPr>
              <w:t>7.</w:t>
            </w:r>
          </w:p>
        </w:tc>
        <w:tc>
          <w:tcPr>
            <w:tcW w:w="1475" w:type="dxa"/>
            <w:tcBorders/>
            <w:vAlign w:val="center"/>
          </w:tcPr>
          <w:p>
            <w:pPr>
              <w:pStyle w:val="TableContents"/>
              <w:bidi w:val="0"/>
              <w:spacing w:before="0" w:after="0"/>
              <w:jc w:val="left"/>
              <w:rPr>
                <w:b/>
              </w:rPr>
            </w:pPr>
            <w:r>
              <w:rPr>
                <w:b/>
              </w:rPr>
              <w:t>Capital Stock</w:t>
            </w:r>
          </w:p>
        </w:tc>
      </w:tr>
    </w:tbl>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Net income (loss) per share</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Net income per share is computed based on the weighted-average number of common shares outstanding during the periods presented. Additionally, diluted earnings per share data gives effect to all potentially dilutive common shares that were outstanding during the periods presented. For the three-month periods ended June 30, 2026 and 2025, stock awards and options of 3.5 million and 1.8 million, respectively, and for the six-month periods ended June 30, 2026 and 2025, stock awards and options of 1.8 million and 1.8 million, respectively, were excluded from the calculation of diluted earnings per share because they were anti-dilutive.</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Dividends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February and May 2026, the Company’s board of directors declared quarterly cash dividends of $0.06 per share. These quarterly cash dividends of $2.9 million were paid on March 11, 2026 and June 10, 2026, respectively, to stockholders of record on February 27, 2026 and May 29, 2026, respectively. In August 2026, the Company’s board of directors declared a quarterly cash dividend of $0.06 per share to be paid on September 9, 2026 to stockholders of record on August 28, 2026.</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Repurchase of common stock</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During the six-month periods ended June 30, 2026 and 2025, the Company repurchased 0.5 million and 0.6 million shares of its Class A common stock under its stock repurchase plan for $5.0 million and $5.0 million, respectively. The Company repurchased no shares of its Class A common stock under its stock repurchase plan during the three-month periods ended June 30, 2026 and 2025. As of June 30, 2026, $137.3 million was available for repurchases under the Company’s stock repurchase plan.</w:t>
      </w:r>
    </w:p>
    <w:p>
      <w:pPr>
        <w:pStyle w:val="TextBody"/>
        <w:bidi w:val="0"/>
        <w:spacing w:before="0" w:after="0"/>
        <w:jc w:val="left"/>
        <w:rPr/>
      </w:pPr>
      <w:r>
        <w:rPr/>
      </w:r>
    </w:p>
    <w:tbl>
      <w:tblPr>
        <w:tblW w:w="3910" w:type="dxa"/>
        <w:jc w:val="left"/>
        <w:tblInd w:w="0" w:type="dxa"/>
        <w:tblLayout w:type="fixed"/>
        <w:tblCellMar>
          <w:top w:w="0" w:type="dxa"/>
          <w:left w:w="0" w:type="dxa"/>
          <w:bottom w:w="0" w:type="dxa"/>
          <w:right w:w="0" w:type="dxa"/>
        </w:tblCellMar>
      </w:tblPr>
      <w:tblGrid>
        <w:gridCol w:w="245"/>
        <w:gridCol w:w="3665"/>
      </w:tblGrid>
      <w:tr>
        <w:trPr/>
        <w:tc>
          <w:tcPr>
            <w:tcW w:w="245" w:type="dxa"/>
            <w:tcBorders/>
            <w:vAlign w:val="center"/>
          </w:tcPr>
          <w:p>
            <w:pPr>
              <w:pStyle w:val="TableContents"/>
              <w:bidi w:val="0"/>
              <w:spacing w:before="0" w:after="0"/>
              <w:jc w:val="left"/>
              <w:rPr>
                <w:b/>
              </w:rPr>
            </w:pPr>
            <w:r>
              <w:rPr>
                <w:b/>
              </w:rPr>
              <w:t>8.</w:t>
            </w:r>
          </w:p>
        </w:tc>
        <w:tc>
          <w:tcPr>
            <w:tcW w:w="3665" w:type="dxa"/>
            <w:tcBorders/>
            <w:vAlign w:val="center"/>
          </w:tcPr>
          <w:p>
            <w:pPr>
              <w:pStyle w:val="TableContents"/>
              <w:bidi w:val="0"/>
              <w:spacing w:before="0" w:after="0"/>
              <w:jc w:val="left"/>
              <w:rPr>
                <w:b/>
              </w:rPr>
            </w:pPr>
            <w:r>
              <w:rPr>
                <w:b/>
              </w:rPr>
              <w:t>Fair Value and Equity Investments</w:t>
            </w:r>
          </w:p>
        </w:tc>
      </w:tr>
    </w:tbl>
    <w:p>
      <w:pPr>
        <w:pStyle w:val="TextBody"/>
        <w:bidi w:val="0"/>
        <w:spacing w:before="0" w:after="0"/>
        <w:ind w:left="720" w:right="0" w:hanging="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Fair Value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carrying value of financial instruments including cash and cash equivalents, accounts receivable and accounts payable approximates fair values due to the short-term nature of these instruments. The carrying value of debt approximates fair value due to the variable 30-day interest rate. Fair value estimates are made at a specific point in time, based on relevant market information.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FASB Codification defines fair value as the price that would be received to sell an asset or paid to transfer a liability in the principal or most advantageous market for the asset or liability in an orderly transaction between market participants at the measurement date. On a quarterly basis, the Company measures at fair value certain financial assets, including cash equivalents. Accounting standards specify a hierarchy of valuation techniques based on whether the inputs to those valuation techniques are observable or unobservable. Observable inputs reflect data obtained from independent sources, while unobservable inputs reflect the Company’s market assumptions. These two types of inputs have created the following fair-value hierarchy:</w:t>
      </w:r>
    </w:p>
    <w:p>
      <w:pPr>
        <w:pStyle w:val="TextBody"/>
        <w:bidi w:val="0"/>
        <w:spacing w:before="0" w:after="0"/>
        <w:jc w:val="left"/>
        <w:rPr/>
      </w:pPr>
      <w:r>
        <w:rPr/>
      </w:r>
    </w:p>
    <w:tbl>
      <w:tblPr>
        <w:tblW w:w="7233" w:type="dxa"/>
        <w:jc w:val="left"/>
        <w:tblInd w:w="0" w:type="dxa"/>
        <w:tblLayout w:type="fixed"/>
        <w:tblCellMar>
          <w:top w:w="0" w:type="dxa"/>
          <w:left w:w="0" w:type="dxa"/>
          <w:bottom w:w="0" w:type="dxa"/>
          <w:right w:w="0" w:type="dxa"/>
        </w:tblCellMar>
      </w:tblPr>
      <w:tblGrid>
        <w:gridCol w:w="68"/>
        <w:gridCol w:w="200"/>
        <w:gridCol w:w="6965"/>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w:t>
            </w:r>
          </w:p>
        </w:tc>
        <w:tc>
          <w:tcPr>
            <w:tcW w:w="6965" w:type="dxa"/>
            <w:tcBorders/>
            <w:vAlign w:val="center"/>
          </w:tcPr>
          <w:p>
            <w:pPr>
              <w:pStyle w:val="TableContents"/>
              <w:bidi w:val="0"/>
              <w:spacing w:before="0" w:after="0"/>
              <w:jc w:val="both"/>
              <w:rPr/>
            </w:pPr>
            <w:r>
              <w:rPr/>
              <w:t>Level 1 – quoted prices in active markets for identical assets or liabilities;</w:t>
            </w:r>
          </w:p>
        </w:tc>
      </w:tr>
    </w:tbl>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0"/>
              <w:jc w:val="both"/>
              <w:rPr/>
            </w:pPr>
            <w:r>
              <w:rPr/>
              <w:t>Level 2 – inputs, other than the quoted prices in active markets, that are observable either directly or indirectly; and</w:t>
            </w:r>
          </w:p>
        </w:tc>
      </w:tr>
    </w:tbl>
    <w:tbl>
      <w:tblPr>
        <w:tblW w:w="7368" w:type="dxa"/>
        <w:jc w:val="left"/>
        <w:tblInd w:w="0" w:type="dxa"/>
        <w:tblLayout w:type="fixed"/>
        <w:tblCellMar>
          <w:top w:w="0" w:type="dxa"/>
          <w:left w:w="0" w:type="dxa"/>
          <w:bottom w:w="0" w:type="dxa"/>
          <w:right w:w="0" w:type="dxa"/>
        </w:tblCellMar>
      </w:tblPr>
      <w:tblGrid>
        <w:gridCol w:w="68"/>
        <w:gridCol w:w="200"/>
        <w:gridCol w:w="7100"/>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w:t>
            </w:r>
          </w:p>
        </w:tc>
        <w:tc>
          <w:tcPr>
            <w:tcW w:w="7100" w:type="dxa"/>
            <w:tcBorders/>
            <w:vAlign w:val="center"/>
          </w:tcPr>
          <w:p>
            <w:pPr>
              <w:pStyle w:val="TableContents"/>
              <w:bidi w:val="0"/>
              <w:spacing w:before="0" w:after="0"/>
              <w:jc w:val="both"/>
              <w:rPr/>
            </w:pPr>
            <w:r>
              <w:rPr/>
              <w:t>Level 3 – unobservable inputs based on the Company’s own assumptions.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Accounting standards permit companies, at their option, to measure certain financial instruments and other eligible items at fair value. The Company has elected not to apply the fair value option to existing eligible items beyond what is required by US GAAP.</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tables present the fair value hierarchy for those assets and liabilities measured at fair value on a recurring basis (U.S. dollars in thousands):</w:t>
      </w:r>
    </w:p>
    <w:p>
      <w:pPr>
        <w:pStyle w:val="TextBody"/>
        <w:bidi w:val="0"/>
        <w:spacing w:before="0" w:after="0"/>
        <w:jc w:val="left"/>
        <w:rPr/>
      </w:pPr>
      <w:r>
        <w:rPr/>
      </w:r>
    </w:p>
    <w:tbl>
      <w:tblPr>
        <w:tblW w:w="8154" w:type="dxa"/>
        <w:jc w:val="left"/>
        <w:tblInd w:w="0" w:type="dxa"/>
        <w:tblLayout w:type="fixed"/>
        <w:tblCellMar>
          <w:top w:w="0" w:type="dxa"/>
          <w:left w:w="0" w:type="dxa"/>
          <w:bottom w:w="0" w:type="dxa"/>
          <w:right w:w="0" w:type="dxa"/>
        </w:tblCellMar>
      </w:tblPr>
      <w:tblGrid>
        <w:gridCol w:w="3965"/>
        <w:gridCol w:w="90"/>
        <w:gridCol w:w="170"/>
        <w:gridCol w:w="710"/>
        <w:gridCol w:w="90"/>
        <w:gridCol w:w="90"/>
        <w:gridCol w:w="451"/>
        <w:gridCol w:w="333"/>
        <w:gridCol w:w="90"/>
        <w:gridCol w:w="90"/>
        <w:gridCol w:w="170"/>
        <w:gridCol w:w="710"/>
        <w:gridCol w:w="90"/>
        <w:gridCol w:w="90"/>
        <w:gridCol w:w="170"/>
        <w:gridCol w:w="710"/>
        <w:gridCol w:w="135"/>
      </w:tblGrid>
      <w:tr>
        <w:trPr/>
        <w:tc>
          <w:tcPr>
            <w:tcW w:w="396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4" w:type="dxa"/>
            <w:gridSpan w:val="14"/>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Fair Value at June 30, 2026</w:t>
            </w:r>
          </w:p>
        </w:tc>
        <w:tc>
          <w:tcPr>
            <w:tcW w:w="135" w:type="dxa"/>
            <w:tcBorders/>
            <w:vAlign w:val="bottom"/>
          </w:tcPr>
          <w:p>
            <w:pPr>
              <w:pStyle w:val="TableContents"/>
              <w:bidi w:val="0"/>
              <w:spacing w:before="0" w:after="283"/>
              <w:jc w:val="left"/>
              <w:rPr/>
            </w:pPr>
            <w:r>
              <w:rPr/>
              <w:t> </w:t>
            </w:r>
          </w:p>
        </w:tc>
      </w:tr>
      <w:tr>
        <w:trPr/>
        <w:tc>
          <w:tcPr>
            <w:tcW w:w="396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Level 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8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Level 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Level 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tc>
        <w:tc>
          <w:tcPr>
            <w:tcW w:w="135" w:type="dxa"/>
            <w:tcBorders/>
            <w:vAlign w:val="bottom"/>
          </w:tcPr>
          <w:p>
            <w:pPr>
              <w:pStyle w:val="TableContents"/>
              <w:bidi w:val="0"/>
              <w:spacing w:before="0" w:after="283"/>
              <w:jc w:val="left"/>
              <w:rPr/>
            </w:pPr>
            <w:r>
              <w:rPr/>
              <w:t> </w:t>
            </w:r>
          </w:p>
        </w:tc>
      </w:tr>
      <w:tr>
        <w:trPr/>
        <w:tc>
          <w:tcPr>
            <w:tcW w:w="3965" w:type="dxa"/>
            <w:tcBorders/>
            <w:vAlign w:val="bottom"/>
          </w:tcPr>
          <w:p>
            <w:pPr>
              <w:pStyle w:val="TableContents"/>
              <w:bidi w:val="0"/>
              <w:spacing w:before="0" w:after="0"/>
              <w:jc w:val="left"/>
              <w:rPr>
                <w:b/>
                <w:color w:val="000000"/>
              </w:rPr>
            </w:pPr>
            <w:r>
              <w:rPr>
                <w:b/>
                <w:color w:val="000000"/>
              </w:rPr>
              <w:t>Financial assets:</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84"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3965" w:type="dxa"/>
            <w:tcBorders/>
            <w:shd w:fill="CCEEFF" w:val="clear"/>
            <w:vAlign w:val="bottom"/>
          </w:tcPr>
          <w:p>
            <w:pPr>
              <w:pStyle w:val="TableContents"/>
              <w:bidi w:val="0"/>
              <w:spacing w:before="0" w:after="0"/>
              <w:jc w:val="left"/>
              <w:rPr>
                <w:color w:val="000000"/>
              </w:rPr>
            </w:pPr>
            <w:r>
              <w:rPr>
                <w:color w:val="000000"/>
              </w:rPr>
              <w:t>Cash equivalents and current investments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20,752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0"/>
              <w:jc w:val="left"/>
              <w:rPr>
                <w:color w:val="000000"/>
              </w:rPr>
            </w:pPr>
            <w:r>
              <w:rPr>
                <w:color w:val="000000"/>
              </w:rPr>
              <w:t>$</w:t>
            </w:r>
          </w:p>
        </w:tc>
        <w:tc>
          <w:tcPr>
            <w:tcW w:w="333"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20,752</w:t>
            </w:r>
          </w:p>
        </w:tc>
        <w:tc>
          <w:tcPr>
            <w:tcW w:w="135" w:type="dxa"/>
            <w:tcBorders/>
            <w:shd w:fill="CCEEFF" w:val="clear"/>
            <w:vAlign w:val="bottom"/>
          </w:tcPr>
          <w:p>
            <w:pPr>
              <w:pStyle w:val="TableContents"/>
              <w:bidi w:val="0"/>
              <w:spacing w:before="0" w:after="283"/>
              <w:jc w:val="left"/>
              <w:rPr/>
            </w:pPr>
            <w:r>
              <w:rPr/>
              <w:t> </w:t>
            </w:r>
          </w:p>
        </w:tc>
      </w:tr>
      <w:tr>
        <w:trPr/>
        <w:tc>
          <w:tcPr>
            <w:tcW w:w="3965" w:type="dxa"/>
            <w:tcBorders/>
            <w:vAlign w:val="bottom"/>
          </w:tcPr>
          <w:p>
            <w:pPr>
              <w:pStyle w:val="TableContents"/>
              <w:bidi w:val="0"/>
              <w:spacing w:before="0" w:after="0"/>
              <w:jc w:val="left"/>
              <w:rPr>
                <w:color w:val="000000"/>
              </w:rPr>
            </w:pPr>
            <w:r>
              <w:rPr>
                <w:color w:val="000000"/>
              </w:rPr>
              <w:t>Life insurance contracts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51" w:type="dxa"/>
            <w:tcBorders>
              <w:bottom w:val="single" w:sz="12" w:space="0" w:color="000000"/>
            </w:tcBorders>
            <w:tcMar>
              <w:bottom w:w="28" w:type="dxa"/>
            </w:tcMar>
            <w:vAlign w:val="bottom"/>
          </w:tcPr>
          <w:p>
            <w:pPr>
              <w:pStyle w:val="TableContents"/>
              <w:bidi w:val="0"/>
              <w:spacing w:before="0" w:after="283"/>
              <w:jc w:val="left"/>
              <w:rPr/>
            </w:pPr>
            <w:r>
              <w:rPr/>
              <w:t> </w:t>
            </w:r>
          </w:p>
        </w:tc>
        <w:tc>
          <w:tcPr>
            <w:tcW w:w="33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52,149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52,149</w:t>
            </w:r>
          </w:p>
        </w:tc>
        <w:tc>
          <w:tcPr>
            <w:tcW w:w="135" w:type="dxa"/>
            <w:tcBorders/>
            <w:vAlign w:val="bottom"/>
          </w:tcPr>
          <w:p>
            <w:pPr>
              <w:pStyle w:val="TableContents"/>
              <w:bidi w:val="0"/>
              <w:spacing w:before="0" w:after="283"/>
              <w:jc w:val="left"/>
              <w:rPr/>
            </w:pPr>
            <w:r>
              <w:rPr/>
              <w:t> </w:t>
            </w:r>
          </w:p>
        </w:tc>
      </w:tr>
      <w:tr>
        <w:trPr/>
        <w:tc>
          <w:tcPr>
            <w:tcW w:w="3965" w:type="dxa"/>
            <w:tcBorders/>
            <w:shd w:fill="CCEEFF" w:val="clear"/>
            <w:vAlign w:val="bottom"/>
          </w:tcPr>
          <w:p>
            <w:pPr>
              <w:pStyle w:val="TableContents"/>
              <w:bidi w:val="0"/>
              <w:spacing w:before="0" w:after="0"/>
              <w:ind w:left="180" w:right="0" w:hanging="0"/>
              <w:jc w:val="left"/>
              <w:rPr>
                <w:color w:val="000000"/>
              </w:rPr>
            </w:pPr>
            <w:r>
              <w:rPr>
                <w:color w:val="000000"/>
              </w:rPr>
              <w:t>Total</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20,752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51"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333"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52,149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72,901</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8154" w:type="dxa"/>
        <w:jc w:val="left"/>
        <w:tblInd w:w="0" w:type="dxa"/>
        <w:tblLayout w:type="fixed"/>
        <w:tblCellMar>
          <w:top w:w="0" w:type="dxa"/>
          <w:left w:w="0" w:type="dxa"/>
          <w:bottom w:w="0" w:type="dxa"/>
          <w:right w:w="0" w:type="dxa"/>
        </w:tblCellMar>
      </w:tblPr>
      <w:tblGrid>
        <w:gridCol w:w="3965"/>
        <w:gridCol w:w="90"/>
        <w:gridCol w:w="170"/>
        <w:gridCol w:w="710"/>
        <w:gridCol w:w="90"/>
        <w:gridCol w:w="90"/>
        <w:gridCol w:w="451"/>
        <w:gridCol w:w="333"/>
        <w:gridCol w:w="90"/>
        <w:gridCol w:w="90"/>
        <w:gridCol w:w="170"/>
        <w:gridCol w:w="710"/>
        <w:gridCol w:w="90"/>
        <w:gridCol w:w="90"/>
        <w:gridCol w:w="170"/>
        <w:gridCol w:w="710"/>
        <w:gridCol w:w="135"/>
      </w:tblGrid>
      <w:tr>
        <w:trPr/>
        <w:tc>
          <w:tcPr>
            <w:tcW w:w="396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64" w:type="dxa"/>
            <w:gridSpan w:val="14"/>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Fair Value at December 31, 2025</w:t>
            </w:r>
          </w:p>
        </w:tc>
        <w:tc>
          <w:tcPr>
            <w:tcW w:w="135" w:type="dxa"/>
            <w:tcBorders/>
            <w:vAlign w:val="bottom"/>
          </w:tcPr>
          <w:p>
            <w:pPr>
              <w:pStyle w:val="TableContents"/>
              <w:bidi w:val="0"/>
              <w:spacing w:before="0" w:after="283"/>
              <w:jc w:val="left"/>
              <w:rPr/>
            </w:pPr>
            <w:r>
              <w:rPr/>
              <w:t> </w:t>
            </w:r>
          </w:p>
        </w:tc>
      </w:tr>
      <w:tr>
        <w:trPr/>
        <w:tc>
          <w:tcPr>
            <w:tcW w:w="396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Level 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84"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Level 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Level 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tc>
        <w:tc>
          <w:tcPr>
            <w:tcW w:w="135" w:type="dxa"/>
            <w:tcBorders/>
            <w:vAlign w:val="bottom"/>
          </w:tcPr>
          <w:p>
            <w:pPr>
              <w:pStyle w:val="TableContents"/>
              <w:bidi w:val="0"/>
              <w:spacing w:before="0" w:after="283"/>
              <w:jc w:val="left"/>
              <w:rPr/>
            </w:pPr>
            <w:r>
              <w:rPr/>
              <w:t> </w:t>
            </w:r>
          </w:p>
        </w:tc>
      </w:tr>
      <w:tr>
        <w:trPr/>
        <w:tc>
          <w:tcPr>
            <w:tcW w:w="3965" w:type="dxa"/>
            <w:tcBorders/>
            <w:vAlign w:val="bottom"/>
          </w:tcPr>
          <w:p>
            <w:pPr>
              <w:pStyle w:val="TableContents"/>
              <w:bidi w:val="0"/>
              <w:spacing w:before="0" w:after="0"/>
              <w:jc w:val="left"/>
              <w:rPr>
                <w:b/>
                <w:color w:val="000000"/>
              </w:rPr>
            </w:pPr>
            <w:r>
              <w:rPr>
                <w:b/>
                <w:color w:val="000000"/>
              </w:rPr>
              <w:t>Financial assets:</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84"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3965" w:type="dxa"/>
            <w:tcBorders/>
            <w:shd w:fill="CCEEFF" w:val="clear"/>
            <w:vAlign w:val="bottom"/>
          </w:tcPr>
          <w:p>
            <w:pPr>
              <w:pStyle w:val="TableContents"/>
              <w:bidi w:val="0"/>
              <w:spacing w:before="0" w:after="0"/>
              <w:jc w:val="left"/>
              <w:rPr>
                <w:color w:val="000000"/>
              </w:rPr>
            </w:pPr>
            <w:r>
              <w:rPr>
                <w:color w:val="000000"/>
              </w:rPr>
              <w:t>Cash equivalents and current investments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39,084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51" w:type="dxa"/>
            <w:tcBorders/>
            <w:shd w:fill="CCEEFF" w:val="clear"/>
            <w:vAlign w:val="bottom"/>
          </w:tcPr>
          <w:p>
            <w:pPr>
              <w:pStyle w:val="TableContents"/>
              <w:bidi w:val="0"/>
              <w:spacing w:before="0" w:after="0"/>
              <w:jc w:val="left"/>
              <w:rPr>
                <w:color w:val="000000"/>
              </w:rPr>
            </w:pPr>
            <w:r>
              <w:rPr>
                <w:color w:val="000000"/>
              </w:rPr>
              <w:t>$</w:t>
            </w:r>
          </w:p>
        </w:tc>
        <w:tc>
          <w:tcPr>
            <w:tcW w:w="333"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39,084</w:t>
            </w:r>
          </w:p>
        </w:tc>
        <w:tc>
          <w:tcPr>
            <w:tcW w:w="135" w:type="dxa"/>
            <w:tcBorders/>
            <w:shd w:fill="CCEEFF" w:val="clear"/>
            <w:vAlign w:val="bottom"/>
          </w:tcPr>
          <w:p>
            <w:pPr>
              <w:pStyle w:val="TableContents"/>
              <w:bidi w:val="0"/>
              <w:spacing w:before="0" w:after="283"/>
              <w:jc w:val="left"/>
              <w:rPr/>
            </w:pPr>
            <w:r>
              <w:rPr/>
              <w:t> </w:t>
            </w:r>
          </w:p>
        </w:tc>
      </w:tr>
      <w:tr>
        <w:trPr/>
        <w:tc>
          <w:tcPr>
            <w:tcW w:w="3965" w:type="dxa"/>
            <w:tcBorders/>
            <w:vAlign w:val="bottom"/>
          </w:tcPr>
          <w:p>
            <w:pPr>
              <w:pStyle w:val="TableContents"/>
              <w:bidi w:val="0"/>
              <w:spacing w:before="0" w:after="0"/>
              <w:jc w:val="left"/>
              <w:rPr>
                <w:color w:val="000000"/>
              </w:rPr>
            </w:pPr>
            <w:r>
              <w:rPr>
                <w:color w:val="000000"/>
              </w:rPr>
              <w:t>Life insurance contracts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51" w:type="dxa"/>
            <w:tcBorders>
              <w:bottom w:val="single" w:sz="12" w:space="0" w:color="000000"/>
            </w:tcBorders>
            <w:tcMar>
              <w:bottom w:w="28" w:type="dxa"/>
            </w:tcMar>
            <w:vAlign w:val="bottom"/>
          </w:tcPr>
          <w:p>
            <w:pPr>
              <w:pStyle w:val="TableContents"/>
              <w:bidi w:val="0"/>
              <w:spacing w:before="0" w:after="283"/>
              <w:jc w:val="left"/>
              <w:rPr/>
            </w:pPr>
            <w:r>
              <w:rPr/>
              <w:t> </w:t>
            </w:r>
          </w:p>
        </w:tc>
        <w:tc>
          <w:tcPr>
            <w:tcW w:w="333"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48,410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48,410</w:t>
            </w:r>
          </w:p>
        </w:tc>
        <w:tc>
          <w:tcPr>
            <w:tcW w:w="135" w:type="dxa"/>
            <w:tcBorders/>
            <w:vAlign w:val="bottom"/>
          </w:tcPr>
          <w:p>
            <w:pPr>
              <w:pStyle w:val="TableContents"/>
              <w:bidi w:val="0"/>
              <w:spacing w:before="0" w:after="283"/>
              <w:jc w:val="left"/>
              <w:rPr/>
            </w:pPr>
            <w:r>
              <w:rPr/>
              <w:t> </w:t>
            </w:r>
          </w:p>
        </w:tc>
      </w:tr>
      <w:tr>
        <w:trPr/>
        <w:tc>
          <w:tcPr>
            <w:tcW w:w="3965" w:type="dxa"/>
            <w:tcBorders/>
            <w:shd w:fill="CCEEFF" w:val="clear"/>
            <w:vAlign w:val="bottom"/>
          </w:tcPr>
          <w:p>
            <w:pPr>
              <w:pStyle w:val="TableContents"/>
              <w:bidi w:val="0"/>
              <w:spacing w:before="0" w:after="0"/>
              <w:ind w:left="180" w:right="0" w:hanging="0"/>
              <w:jc w:val="left"/>
              <w:rPr>
                <w:color w:val="000000"/>
              </w:rPr>
            </w:pPr>
            <w:r>
              <w:rPr>
                <w:color w:val="000000"/>
              </w:rPr>
              <w:t>Total</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39,084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451"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333"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48,410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87,494</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provides a summary of changes in fair value of the Company’s Level 3 life insurance contracts (U.S. dollars in thousands):</w:t>
      </w:r>
    </w:p>
    <w:p>
      <w:pPr>
        <w:pStyle w:val="TextBody"/>
        <w:bidi w:val="0"/>
        <w:spacing w:before="0" w:after="0"/>
        <w:jc w:val="left"/>
        <w:rPr/>
      </w:pPr>
      <w:r>
        <w:rPr/>
      </w:r>
    </w:p>
    <w:tbl>
      <w:tblPr>
        <w:tblW w:w="5200" w:type="dxa"/>
        <w:jc w:val="left"/>
        <w:tblInd w:w="0" w:type="dxa"/>
        <w:tblLayout w:type="fixed"/>
        <w:tblCellMar>
          <w:top w:w="0" w:type="dxa"/>
          <w:left w:w="0" w:type="dxa"/>
          <w:bottom w:w="0" w:type="dxa"/>
          <w:right w:w="0" w:type="dxa"/>
        </w:tblCellMar>
      </w:tblPr>
      <w:tblGrid>
        <w:gridCol w:w="3035"/>
        <w:gridCol w:w="90"/>
        <w:gridCol w:w="170"/>
        <w:gridCol w:w="710"/>
        <w:gridCol w:w="90"/>
        <w:gridCol w:w="90"/>
        <w:gridCol w:w="170"/>
        <w:gridCol w:w="710"/>
        <w:gridCol w:w="135"/>
      </w:tblGrid>
      <w:tr>
        <w:trPr/>
        <w:tc>
          <w:tcPr>
            <w:tcW w:w="303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35" w:type="dxa"/>
            <w:tcBorders/>
            <w:vAlign w:val="bottom"/>
          </w:tcPr>
          <w:p>
            <w:pPr>
              <w:pStyle w:val="TableContents"/>
              <w:bidi w:val="0"/>
              <w:spacing w:before="0" w:after="283"/>
              <w:jc w:val="left"/>
              <w:rPr/>
            </w:pPr>
            <w:r>
              <w:rPr/>
              <w:t> </w:t>
            </w:r>
          </w:p>
        </w:tc>
      </w:tr>
      <w:tr>
        <w:trPr/>
        <w:tc>
          <w:tcPr>
            <w:tcW w:w="3035" w:type="dxa"/>
            <w:tcBorders/>
            <w:shd w:fill="CCEEFF" w:val="clear"/>
            <w:vAlign w:val="bottom"/>
          </w:tcPr>
          <w:p>
            <w:pPr>
              <w:pStyle w:val="TableContents"/>
              <w:bidi w:val="0"/>
              <w:spacing w:before="0" w:after="0"/>
              <w:jc w:val="left"/>
              <w:rPr>
                <w:color w:val="000000"/>
              </w:rPr>
            </w:pPr>
            <w:r>
              <w:rPr>
                <w:color w:val="000000"/>
              </w:rPr>
              <w:t>Beginning balance at January 1</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48,410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44,091</w:t>
            </w:r>
          </w:p>
        </w:tc>
        <w:tc>
          <w:tcPr>
            <w:tcW w:w="135" w:type="dxa"/>
            <w:tcBorders/>
            <w:shd w:fill="CCEEFF" w:val="clear"/>
            <w:vAlign w:val="bottom"/>
          </w:tcPr>
          <w:p>
            <w:pPr>
              <w:pStyle w:val="TableContents"/>
              <w:bidi w:val="0"/>
              <w:spacing w:before="0" w:after="283"/>
              <w:jc w:val="left"/>
              <w:rPr/>
            </w:pPr>
            <w:r>
              <w:rPr/>
              <w:t> </w:t>
            </w:r>
          </w:p>
        </w:tc>
      </w:tr>
      <w:tr>
        <w:trPr/>
        <w:tc>
          <w:tcPr>
            <w:tcW w:w="3035" w:type="dxa"/>
            <w:tcBorders/>
            <w:vAlign w:val="bottom"/>
          </w:tcPr>
          <w:p>
            <w:pPr>
              <w:pStyle w:val="TableContents"/>
              <w:bidi w:val="0"/>
              <w:spacing w:before="0" w:after="0"/>
              <w:ind w:left="180" w:right="0" w:hanging="0"/>
              <w:jc w:val="left"/>
              <w:rPr>
                <w:color w:val="000000"/>
              </w:rPr>
            </w:pPr>
            <w:r>
              <w:rPr>
                <w:color w:val="000000"/>
              </w:rPr>
              <w:t>Actual return on plan assets</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3,739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1,935</w:t>
            </w:r>
          </w:p>
        </w:tc>
        <w:tc>
          <w:tcPr>
            <w:tcW w:w="135" w:type="dxa"/>
            <w:tcBorders/>
            <w:vAlign w:val="bottom"/>
          </w:tcPr>
          <w:p>
            <w:pPr>
              <w:pStyle w:val="TableContents"/>
              <w:bidi w:val="0"/>
              <w:spacing w:before="0" w:after="283"/>
              <w:jc w:val="left"/>
              <w:rPr/>
            </w:pPr>
            <w:r>
              <w:rPr/>
              <w:t> </w:t>
            </w:r>
          </w:p>
        </w:tc>
      </w:tr>
      <w:tr>
        <w:trPr/>
        <w:tc>
          <w:tcPr>
            <w:tcW w:w="3035" w:type="dxa"/>
            <w:tcBorders/>
            <w:shd w:fill="CCEEFF" w:val="clear"/>
            <w:vAlign w:val="bottom"/>
          </w:tcPr>
          <w:p>
            <w:pPr>
              <w:pStyle w:val="TableContents"/>
              <w:bidi w:val="0"/>
              <w:spacing w:before="0" w:after="0"/>
              <w:jc w:val="left"/>
              <w:rPr>
                <w:color w:val="000000"/>
              </w:rPr>
            </w:pPr>
            <w:r>
              <w:rPr>
                <w:color w:val="000000"/>
              </w:rPr>
              <w:t>Ending balance at June 30</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52,149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46,026</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i/>
          <w:color w:val="000000"/>
          <w:sz w:val="20"/>
          <w:shd w:fill="FFFFFF" w:val="clear"/>
        </w:rPr>
        <w:t>Life insurance contracts</w:t>
      </w:r>
      <w:r>
        <w:rPr>
          <w:rFonts w:ascii="Times New Roman" w:hAnsi="Times New Roman"/>
          <w:color w:val="000000"/>
          <w:sz w:val="20"/>
          <w:shd w:fill="FFFFFF" w:val="clear"/>
        </w:rPr>
        <w:t>: Accounting Standards Codification (“ASC”) 820 preserves practicability exceptions to fair value measurements provided by other applicable provisions of U.S. GAAP. The guidance in ASC 715-30-35-60 allows a reporting entity, as a practical expedient, to use cash surrender value or conversion value as an expedient for fair value when it is present. Accordingly, the Company determines the fair value of its life insurance contracts as the cash-surrender value of life insurance policies held in its Rabbi Trust.</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Equity Investments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maintains equity investments in companies which are accounted for under the measurement alternative described in ASC 321-10-35-2 for equity securities that lack readily determinable fair values. The carrying amount of an equity security held by the Company without readily determinable fair values was $0 both as of June 30, 2026 and December 31, 2025, respectively. In prior years, the Company recognized $18.1 million of cumulative upward fair value adjustments, based on the valuation of additional equity issued by the investee which was deemed to be an observable transaction of a similar investment under ASC 321. During the year ended December 31, 2025, based on significant deterioration of the business prospects of the investment, the Company recorded a $28.1 million impairment of the investment. These charges were recorded within Other income (expense), net on the Consolidated Statement of Income. The 2025 estimated fair value was determined using a market-based method with level 3 inputs, including revenue and earnings multiples. The Company also had equity securities held without readily determinable fair values of $14.6 million as of June 30, 2026 and $14.3 million as of December 31, 2025,</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tbl>
      <w:tblPr>
        <w:tblW w:w="1750" w:type="dxa"/>
        <w:jc w:val="left"/>
        <w:tblInd w:w="0" w:type="dxa"/>
        <w:tblLayout w:type="fixed"/>
        <w:tblCellMar>
          <w:top w:w="0" w:type="dxa"/>
          <w:left w:w="0" w:type="dxa"/>
          <w:bottom w:w="0" w:type="dxa"/>
          <w:right w:w="0" w:type="dxa"/>
        </w:tblCellMar>
      </w:tblPr>
      <w:tblGrid>
        <w:gridCol w:w="245"/>
        <w:gridCol w:w="1505"/>
      </w:tblGrid>
      <w:tr>
        <w:trPr/>
        <w:tc>
          <w:tcPr>
            <w:tcW w:w="245" w:type="dxa"/>
            <w:tcBorders/>
            <w:vAlign w:val="center"/>
          </w:tcPr>
          <w:p>
            <w:pPr>
              <w:pStyle w:val="TableContents"/>
              <w:bidi w:val="0"/>
              <w:spacing w:before="0" w:after="0"/>
              <w:jc w:val="left"/>
              <w:rPr>
                <w:b/>
              </w:rPr>
            </w:pPr>
            <w:r>
              <w:rPr>
                <w:b/>
              </w:rPr>
              <w:t>9.</w:t>
            </w:r>
          </w:p>
        </w:tc>
        <w:tc>
          <w:tcPr>
            <w:tcW w:w="1505" w:type="dxa"/>
            <w:tcBorders/>
            <w:vAlign w:val="center"/>
          </w:tcPr>
          <w:p>
            <w:pPr>
              <w:pStyle w:val="TableContents"/>
              <w:bidi w:val="0"/>
              <w:spacing w:before="0" w:after="0"/>
              <w:jc w:val="left"/>
              <w:rPr>
                <w:b/>
              </w:rPr>
            </w:pPr>
            <w:r>
              <w:rPr>
                <w:b/>
              </w:rPr>
              <w:t>Income Taxes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Provision for income taxes for the three- and six-month periods ended June 30, 2026 was $186.6 million and $187.4 million, respectively, compared to $6.3 million and $33.4 million for the prior-year periods. The effective tax rates for the three- and six-month periods ended June 30, 2026, were (295.4)% and (309.3)% of pre-tax income, respectively, compared to 23.0% and 20.6% in the prior-year periods. The change in the effective tax rate in the second quarter of 2026 is primarily due to a valuation allowance established on the Company’s U.S. deferred tax assets.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During the second quarter of 2026, the Company established a $167.5 million valuation allowance against its U.S. deferred tax assets as it was determined to be more likely than not that these assets will not be realized. This determination was made based on weighing all available evidence, positive and negative, including cumulative losses recognized in the U.S. entity over the past three years. These cumulative losses were mainly due to the impairment of goodwill and other intangibles assets. Therefore, the Company recorded a full valuation allowance against these U.S. deferred tax assets as of June 30, 2026.</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accounts for income taxes in accordance with ASC Topic 740 “Income Taxes.” These standards establish financial accounting and reporting standards for the effects of income taxes that result from an enterprise’s activities during the current and preceding years. The Company takes an asset and liability approach for financial accounting and reporting of income taxes. The Company pays income taxes in many foreign jurisdictions based on the profits realized in those jurisdictions, which can be significantly impacted by terms of intercompany transactions between the Company and its foreign affiliates. Deferred tax assets and liabilities are created in this process. The Company has netted these deferred tax assets and deferred tax liabilities by jurisdiction. Valuation allowances are established when necessary to reduce deferred tax assets to the amounts expected to be ultimately realized. The Company had net deferred tax assets of $6.7 million and $171.4 million as of June 30, 2026 and December 31, 2025, respectively.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evaluates its indefinite reinvestment assertions with respect to foreign earnings for each quarter. For all foreign earnings, the Company accrues the applicable foreign income taxes. For the earnings that have been indefinitely reinvested, the Company does not accrue foreign withholding taxes. Undistributed earnings that the Company has indefinitely reinvested, for which no foreign withholding taxes have been provided, aggregate to $60.0 million as of December 31, 2025. If the amount designated as indefinitely reinvested as of December 31, 2025 were repatriated to the United States, the amount of incremental taxes would be approximately $6.0 million. The Company intends to utilize the indefinitely reinvested offshore earnings to fund foreign investments, specifically capital expenditures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files income tax returns in the U.S. federal jurisdiction, and in various state and foreign jurisdictions. In 2009, the Company entered into a voluntary program with the IRS called Compliance Assurance Process (“CAP”). The objective of CAP is to contemporaneously work with the IRS to achieve federal tax compliance and resolve all or most of the issues prior to filing of the tax return. As of June 30, 2026, all tax years through 2024, with the exception of 2021, have been audited and are effectively closed to further examination. For tax year 2021, the Company was in the Bridge phase of the CAP program, pursuant to which the IRS will not accept disclosures, will not conduct reviews and will not provide letters of assurance for the Bridge years. There are limited circumstances that tax years in the Bridge phase will be opened for examination. For tax years 2025 and 2026, the Company has been accepted in the IRS’s Bridge Plus program. The Company may elect to continue participating in CAP for future tax years; the Company may withdraw from the program at any time. With a few exceptions, the Company is no longer subject to state and local income tax examination by tax authorities for the years before 2022. Foreign jurisdictions have varying lengths of statutes of limitations for income tax examinations. Some statutes are as short as three years and in certain markets may be as long as ten years. The Company is currently under examination in certain foreign jurisdictions; however, the outcomes of those reviews are not yet determinable.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2021, as part of the Organization for Economic Co-operation and Development’s (“OECD”) Inclusive Framework, 140 member countries agreed to the implementation of the Pillar Two Global Minimum Tax (“Pillar Two”) of 15%. The OECD continues to release additional guidance, including administrative guidance on how Pillar Two rules should be interpreted and applied by jurisdictions as they adopt Pillar Two. A number of countries have utilized the administrative guidance as a starting point for legislation that went into effect January 1, 2024. On January 5, 2026, the OECD announced the acceptance of a “side-by-side” safe harbor election that exempts U.S.-parented multinational groups from certain minimum taxes prescribed under the Pillar Two rules. Based on current enacted legislation, the Company anticipates the impact of Pillar Two to be immaterial for 2026.</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July 4, 2025, U.S. legislation formally titled “An Act to Provide for Reconciliation Pursuant to Title II of H. Con. Res. 14” (“the Act”) and commonly referred to as the One Big Beautiful Bill Act was signed into law. The Act, among other things, extended key provisions of the 2017 Tax Cuts and Jobs Act and introduced targeted changes to the U.S. federal income tax regime. The Act has not materially impacted the Company’s effective tax rate.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tbl>
      <w:tblPr>
        <w:tblW w:w="3955" w:type="dxa"/>
        <w:jc w:val="left"/>
        <w:tblInd w:w="0" w:type="dxa"/>
        <w:tblLayout w:type="fixed"/>
        <w:tblCellMar>
          <w:top w:w="0" w:type="dxa"/>
          <w:left w:w="0" w:type="dxa"/>
          <w:bottom w:w="0" w:type="dxa"/>
          <w:right w:w="0" w:type="dxa"/>
        </w:tblCellMar>
      </w:tblPr>
      <w:tblGrid>
        <w:gridCol w:w="365"/>
        <w:gridCol w:w="3590"/>
      </w:tblGrid>
      <w:tr>
        <w:trPr/>
        <w:tc>
          <w:tcPr>
            <w:tcW w:w="365" w:type="dxa"/>
            <w:tcBorders/>
            <w:vAlign w:val="center"/>
          </w:tcPr>
          <w:p>
            <w:pPr>
              <w:pStyle w:val="TableContents"/>
              <w:bidi w:val="0"/>
              <w:spacing w:before="0" w:after="0"/>
              <w:jc w:val="left"/>
              <w:rPr>
                <w:b/>
              </w:rPr>
            </w:pPr>
            <w:r>
              <w:rPr>
                <w:b/>
              </w:rPr>
              <w:t>10.</w:t>
            </w:r>
          </w:p>
        </w:tc>
        <w:tc>
          <w:tcPr>
            <w:tcW w:w="3590" w:type="dxa"/>
            <w:tcBorders/>
            <w:vAlign w:val="center"/>
          </w:tcPr>
          <w:p>
            <w:pPr>
              <w:pStyle w:val="TableContents"/>
              <w:bidi w:val="0"/>
              <w:spacing w:before="0" w:after="0"/>
              <w:jc w:val="left"/>
              <w:rPr>
                <w:b/>
              </w:rPr>
            </w:pPr>
            <w:r>
              <w:rPr>
                <w:b/>
              </w:rPr>
              <w:t>Derivatives and Hedging Activities</w:t>
            </w:r>
          </w:p>
        </w:tc>
      </w:tr>
    </w:tbl>
    <w:p>
      <w:pPr>
        <w:pStyle w:val="TextBody"/>
        <w:bidi w:val="0"/>
        <w:spacing w:before="0" w:after="0"/>
        <w:ind w:left="720" w:right="0" w:hanging="0"/>
        <w:jc w:val="left"/>
        <w:rPr/>
      </w:pPr>
      <w:r>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Risk Management Objective of Using Derivatives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assets and liabilities and the use of derivative financial instruments. Specifically, the Company enters into derivative financial instruments to manage exposures that arise from business activities that result in the receipt or payment of future known and uncertain cash amounts, the value of which are determined by interest rates. The Company’s derivative financial instruments are used to manage differences in the amount, timing, and duration of the Company’s known or expected cash receipts and its known or expected cash payments principally related to the Company’s borrowings.</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Cash Flow Hedges of Interest Rate Risk</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Company’s objectives in using interest rate derivatives are to add stability to interest expense and to manage its exposure to interest rate movements. To accomplish this objective, the Company primarily uses interest rate swaps as part of its interest rate risk management strategy. Interest rate swaps designated as cash flow hedges involve the receipt of variable-rate amounts from a counterparty in exchange for the Company making fixed-rate payments over the life of the agreements without exchange of the underlying notional amount. During 2025, such derivatives were used to hedge the variable cash flows associated with existing variable-rate debt.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 derivatives designated and that qualify as cash flow hedges of interest rate risk, the gain or loss on the derivative is recorded in Accumulated Other Comprehensive Income and subsequently reclassified into interest expense/income in the same period(s) during which the hedged transaction affects earnings. Amounts reported in accumulated other comprehensive income related to derivatives will be reclassified to interest expense/income as interest payments are made/received on the Company’s variable-rate debt.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During July of 2025, the Company’s four interest rate derivatives with a total notional amount of $200 million matured, leaving no outstanding derivatives as of June 30, 2026 and December 31, 2025.</w:t>
      </w:r>
    </w:p>
    <w:p>
      <w:pPr>
        <w:pStyle w:val="TextBody"/>
        <w:bidi w:val="0"/>
        <w:spacing w:before="0" w:after="0"/>
        <w:jc w:val="left"/>
        <w:rPr/>
      </w:pPr>
      <w:r>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Effect of Cash Flow Hedge Accounting on Accumulated Other Comprehensive Loss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tables below present the effect of cash flow hedge accounting on Accumulated Other Comprehensive Loss.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4829"/>
        <w:gridCol w:w="90"/>
        <w:gridCol w:w="414"/>
        <w:gridCol w:w="295"/>
        <w:gridCol w:w="213"/>
        <w:gridCol w:w="213"/>
        <w:gridCol w:w="405"/>
        <w:gridCol w:w="686"/>
        <w:gridCol w:w="213"/>
        <w:gridCol w:w="213"/>
        <w:gridCol w:w="414"/>
        <w:gridCol w:w="295"/>
        <w:gridCol w:w="213"/>
        <w:gridCol w:w="213"/>
        <w:gridCol w:w="402"/>
        <w:gridCol w:w="970"/>
        <w:gridCol w:w="127"/>
      </w:tblGrid>
      <w:tr>
        <w:trPr/>
        <w:tc>
          <w:tcPr>
            <w:tcW w:w="482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159" w:type="dxa"/>
            <w:gridSpan w:val="14"/>
            <w:tcBorders/>
            <w:vAlign w:val="center"/>
          </w:tcPr>
          <w:p>
            <w:pPr>
              <w:pStyle w:val="TableContents"/>
              <w:bidi w:val="0"/>
              <w:spacing w:before="0" w:after="283"/>
              <w:jc w:val="center"/>
              <w:rPr>
                <w:b/>
              </w:rPr>
            </w:pPr>
            <w:r>
              <w:rPr>
                <w:b/>
              </w:rPr>
              <w:t>Amount of Gain Recognized in</w:t>
            </w:r>
          </w:p>
        </w:tc>
        <w:tc>
          <w:tcPr>
            <w:tcW w:w="127" w:type="dxa"/>
            <w:tcBorders/>
            <w:vAlign w:val="bottom"/>
          </w:tcPr>
          <w:p>
            <w:pPr>
              <w:pStyle w:val="TableContents"/>
              <w:bidi w:val="0"/>
              <w:spacing w:before="0" w:after="283"/>
              <w:jc w:val="left"/>
              <w:rPr/>
            </w:pPr>
            <w:r>
              <w:rPr/>
              <w:t> </w:t>
            </w:r>
          </w:p>
        </w:tc>
      </w:tr>
      <w:tr>
        <w:trPr/>
        <w:tc>
          <w:tcPr>
            <w:tcW w:w="482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159" w:type="dxa"/>
            <w:gridSpan w:val="14"/>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Other Comprehensive Income (Loss) on Derivatives</w:t>
            </w:r>
          </w:p>
        </w:tc>
        <w:tc>
          <w:tcPr>
            <w:tcW w:w="127" w:type="dxa"/>
            <w:tcBorders/>
            <w:vAlign w:val="bottom"/>
          </w:tcPr>
          <w:p>
            <w:pPr>
              <w:pStyle w:val="TableContents"/>
              <w:bidi w:val="0"/>
              <w:spacing w:before="0" w:after="283"/>
              <w:jc w:val="left"/>
              <w:rPr/>
            </w:pPr>
            <w:r>
              <w:rPr/>
              <w:t> </w:t>
            </w:r>
          </w:p>
        </w:tc>
      </w:tr>
      <w:tr>
        <w:trPr/>
        <w:tc>
          <w:tcPr>
            <w:tcW w:w="4829"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t> </w:t>
            </w:r>
          </w:p>
        </w:tc>
        <w:tc>
          <w:tcPr>
            <w:tcW w:w="2226"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w:t>
            </w:r>
          </w:p>
          <w:p>
            <w:pPr>
              <w:pStyle w:val="TableContents"/>
              <w:bidi w:val="0"/>
              <w:spacing w:before="0" w:after="0"/>
              <w:jc w:val="center"/>
              <w:rPr>
                <w:b/>
                <w:color w:val="000000"/>
              </w:rPr>
            </w:pPr>
            <w:r>
              <w:rPr>
                <w:b/>
                <w:color w:val="000000"/>
              </w:rPr>
              <w:t>June 30,</w:t>
            </w:r>
          </w:p>
        </w:tc>
        <w:tc>
          <w:tcPr>
            <w:tcW w:w="21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2507"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Six Months Ended</w:t>
            </w:r>
          </w:p>
          <w:p>
            <w:pPr>
              <w:pStyle w:val="TableContents"/>
              <w:bidi w:val="0"/>
              <w:spacing w:before="0" w:after="0"/>
              <w:jc w:val="center"/>
              <w:rPr>
                <w:b/>
                <w:color w:val="000000"/>
              </w:rPr>
            </w:pPr>
            <w:r>
              <w:rPr>
                <w:b/>
                <w:color w:val="000000"/>
              </w:rPr>
              <w:t>June 30,</w:t>
            </w:r>
          </w:p>
        </w:tc>
        <w:tc>
          <w:tcPr>
            <w:tcW w:w="127" w:type="dxa"/>
            <w:tcBorders/>
            <w:vAlign w:val="bottom"/>
          </w:tcPr>
          <w:p>
            <w:pPr>
              <w:pStyle w:val="TableContents"/>
              <w:bidi w:val="0"/>
              <w:spacing w:before="0" w:after="283"/>
              <w:jc w:val="left"/>
              <w:rPr/>
            </w:pPr>
            <w:r>
              <w:rPr/>
              <w:t> </w:t>
            </w:r>
          </w:p>
        </w:tc>
      </w:tr>
      <w:tr>
        <w:trPr/>
        <w:tc>
          <w:tcPr>
            <w:tcW w:w="4829" w:type="dxa"/>
            <w:tcBorders>
              <w:bottom w:val="single" w:sz="12" w:space="0" w:color="000000"/>
            </w:tcBorders>
            <w:tcMar>
              <w:bottom w:w="28" w:type="dxa"/>
            </w:tcMar>
            <w:vAlign w:val="bottom"/>
          </w:tcPr>
          <w:p>
            <w:pPr>
              <w:pStyle w:val="TableContents"/>
              <w:bidi w:val="0"/>
              <w:spacing w:before="0" w:after="0"/>
              <w:jc w:val="left"/>
              <w:rPr>
                <w:b/>
                <w:color w:val="000000"/>
              </w:rPr>
            </w:pPr>
            <w:r>
              <w:rPr>
                <w:b/>
                <w:color w:val="000000"/>
              </w:rPr>
              <w:t>Derivatives in Cash Flow Hedging Relationships:</w:t>
            </w:r>
          </w:p>
        </w:tc>
        <w:tc>
          <w:tcPr>
            <w:tcW w:w="90" w:type="dxa"/>
            <w:tcBorders/>
            <w:vAlign w:val="bottom"/>
          </w:tcPr>
          <w:p>
            <w:pPr>
              <w:pStyle w:val="TableContents"/>
              <w:bidi w:val="0"/>
              <w:spacing w:before="0" w:after="283"/>
              <w:jc w:val="left"/>
              <w:rPr/>
            </w:pPr>
            <w:r>
              <w:rPr/>
              <w:t> </w:t>
            </w:r>
          </w:p>
        </w:tc>
        <w:tc>
          <w:tcPr>
            <w:tcW w:w="70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21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091"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21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70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21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372"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27" w:type="dxa"/>
            <w:tcBorders/>
            <w:vAlign w:val="bottom"/>
          </w:tcPr>
          <w:p>
            <w:pPr>
              <w:pStyle w:val="TableContents"/>
              <w:bidi w:val="0"/>
              <w:spacing w:before="0" w:after="283"/>
              <w:jc w:val="left"/>
              <w:rPr/>
            </w:pPr>
            <w:r>
              <w:rPr/>
              <w:t> </w:t>
            </w:r>
          </w:p>
        </w:tc>
      </w:tr>
      <w:tr>
        <w:trPr/>
        <w:tc>
          <w:tcPr>
            <w:tcW w:w="4829" w:type="dxa"/>
            <w:tcBorders/>
            <w:shd w:fill="CCEEFF" w:val="clear"/>
            <w:vAlign w:val="bottom"/>
          </w:tcPr>
          <w:p>
            <w:pPr>
              <w:pStyle w:val="TableContents"/>
              <w:bidi w:val="0"/>
              <w:spacing w:before="0" w:after="0"/>
              <w:jc w:val="left"/>
              <w:rPr>
                <w:color w:val="000000"/>
              </w:rPr>
            </w:pPr>
            <w:r>
              <w:rPr>
                <w:color w:val="000000"/>
              </w:rPr>
              <w:t>Interest Rate Swaps</w:t>
            </w:r>
          </w:p>
        </w:tc>
        <w:tc>
          <w:tcPr>
            <w:tcW w:w="90"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0"/>
              <w:jc w:val="left"/>
              <w:rPr>
                <w:color w:val="000000"/>
              </w:rPr>
            </w:pPr>
            <w:r>
              <w:rPr>
                <w:color w:val="000000"/>
              </w:rPr>
              <w:t>$</w:t>
            </w:r>
          </w:p>
        </w:tc>
        <w:tc>
          <w:tcPr>
            <w:tcW w:w="295" w:type="dxa"/>
            <w:tcBorders/>
            <w:shd w:fill="CCEEFF" w:val="clear"/>
            <w:vAlign w:val="bottom"/>
          </w:tcPr>
          <w:p>
            <w:pPr>
              <w:pStyle w:val="TableContents"/>
              <w:bidi w:val="0"/>
              <w:spacing w:before="0" w:after="0"/>
              <w:jc w:val="right"/>
              <w:rPr>
                <w:color w:val="000000"/>
              </w:rPr>
            </w:pPr>
            <w:r>
              <w:rPr>
                <w:color w:val="000000"/>
              </w:rPr>
              <w:t>-</w:t>
            </w:r>
          </w:p>
        </w:tc>
        <w:tc>
          <w:tcPr>
            <w:tcW w:w="213"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0"/>
              <w:jc w:val="left"/>
              <w:rPr>
                <w:color w:val="000000"/>
              </w:rPr>
            </w:pPr>
            <w:r>
              <w:rPr>
                <w:color w:val="000000"/>
              </w:rPr>
              <w:t>$</w:t>
            </w:r>
          </w:p>
        </w:tc>
        <w:tc>
          <w:tcPr>
            <w:tcW w:w="686" w:type="dxa"/>
            <w:tcBorders/>
            <w:shd w:fill="CCEEFF" w:val="clear"/>
            <w:vAlign w:val="bottom"/>
          </w:tcPr>
          <w:p>
            <w:pPr>
              <w:pStyle w:val="TableContents"/>
              <w:bidi w:val="0"/>
              <w:spacing w:before="0" w:after="0"/>
              <w:jc w:val="right"/>
              <w:rPr>
                <w:color w:val="000000"/>
              </w:rPr>
            </w:pPr>
            <w:r>
              <w:rPr>
                <w:color w:val="000000"/>
              </w:rPr>
              <w:t>82</w:t>
            </w:r>
          </w:p>
        </w:tc>
        <w:tc>
          <w:tcPr>
            <w:tcW w:w="213"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0"/>
              <w:jc w:val="left"/>
              <w:rPr>
                <w:color w:val="000000"/>
              </w:rPr>
            </w:pPr>
            <w:r>
              <w:rPr>
                <w:color w:val="000000"/>
              </w:rPr>
              <w:t>$</w:t>
            </w:r>
          </w:p>
        </w:tc>
        <w:tc>
          <w:tcPr>
            <w:tcW w:w="295" w:type="dxa"/>
            <w:tcBorders/>
            <w:shd w:fill="CCEEFF" w:val="clear"/>
            <w:vAlign w:val="bottom"/>
          </w:tcPr>
          <w:p>
            <w:pPr>
              <w:pStyle w:val="TableContents"/>
              <w:bidi w:val="0"/>
              <w:spacing w:before="0" w:after="0"/>
              <w:jc w:val="right"/>
              <w:rPr>
                <w:color w:val="000000"/>
              </w:rPr>
            </w:pPr>
            <w:r>
              <w:rPr>
                <w:color w:val="000000"/>
              </w:rPr>
              <w:t>-</w:t>
            </w:r>
          </w:p>
        </w:tc>
        <w:tc>
          <w:tcPr>
            <w:tcW w:w="213"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0"/>
              <w:jc w:val="left"/>
              <w:rPr>
                <w:color w:val="000000"/>
              </w:rPr>
            </w:pPr>
            <w:r>
              <w:rPr>
                <w:color w:val="000000"/>
              </w:rPr>
              <w:t>$</w:t>
            </w:r>
          </w:p>
        </w:tc>
        <w:tc>
          <w:tcPr>
            <w:tcW w:w="970" w:type="dxa"/>
            <w:tcBorders/>
            <w:shd w:fill="CCEEFF" w:val="clear"/>
            <w:vAlign w:val="bottom"/>
          </w:tcPr>
          <w:p>
            <w:pPr>
              <w:pStyle w:val="TableContents"/>
              <w:bidi w:val="0"/>
              <w:spacing w:before="0" w:after="0"/>
              <w:jc w:val="right"/>
              <w:rPr>
                <w:color w:val="000000"/>
              </w:rPr>
            </w:pPr>
            <w:r>
              <w:rPr>
                <w:color w:val="000000"/>
              </w:rPr>
              <w:t>233</w:t>
            </w:r>
          </w:p>
        </w:tc>
        <w:tc>
          <w:tcPr>
            <w:tcW w:w="127"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258"/>
        <w:gridCol w:w="90"/>
        <w:gridCol w:w="2269"/>
        <w:gridCol w:w="90"/>
        <w:gridCol w:w="411"/>
        <w:gridCol w:w="246"/>
        <w:gridCol w:w="176"/>
        <w:gridCol w:w="176"/>
        <w:gridCol w:w="335"/>
        <w:gridCol w:w="1165"/>
        <w:gridCol w:w="176"/>
        <w:gridCol w:w="176"/>
        <w:gridCol w:w="411"/>
        <w:gridCol w:w="246"/>
        <w:gridCol w:w="176"/>
        <w:gridCol w:w="176"/>
        <w:gridCol w:w="335"/>
        <w:gridCol w:w="1165"/>
        <w:gridCol w:w="128"/>
      </w:tblGrid>
      <w:tr>
        <w:trPr/>
        <w:tc>
          <w:tcPr>
            <w:tcW w:w="225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6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370" w:type="dxa"/>
            <w:gridSpan w:val="14"/>
            <w:tcBorders/>
            <w:vAlign w:val="center"/>
          </w:tcPr>
          <w:p>
            <w:pPr>
              <w:pStyle w:val="TableContents"/>
              <w:bidi w:val="0"/>
              <w:spacing w:before="0" w:after="283"/>
              <w:jc w:val="center"/>
              <w:rPr>
                <w:b/>
              </w:rPr>
            </w:pPr>
            <w:r>
              <w:rPr>
                <w:b/>
              </w:rPr>
              <w:t>Amount of Gain Reclassified from</w:t>
            </w:r>
          </w:p>
        </w:tc>
        <w:tc>
          <w:tcPr>
            <w:tcW w:w="128" w:type="dxa"/>
            <w:tcBorders/>
            <w:vAlign w:val="bottom"/>
          </w:tcPr>
          <w:p>
            <w:pPr>
              <w:pStyle w:val="TableContents"/>
              <w:bidi w:val="0"/>
              <w:spacing w:before="0" w:after="283"/>
              <w:jc w:val="left"/>
              <w:rPr/>
            </w:pPr>
            <w:r>
              <w:rPr/>
              <w:t> </w:t>
            </w:r>
          </w:p>
        </w:tc>
      </w:tr>
      <w:tr>
        <w:trPr/>
        <w:tc>
          <w:tcPr>
            <w:tcW w:w="225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6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5370" w:type="dxa"/>
            <w:gridSpan w:val="14"/>
            <w:tcBorders>
              <w:bottom w:val="single" w:sz="12" w:space="0" w:color="000000"/>
            </w:tcBorders>
            <w:tcMar>
              <w:bottom w:w="28" w:type="dxa"/>
            </w:tcMar>
            <w:vAlign w:val="bottom"/>
          </w:tcPr>
          <w:p>
            <w:pPr>
              <w:pStyle w:val="TableContents"/>
              <w:bidi w:val="0"/>
              <w:spacing w:before="0" w:after="0"/>
              <w:jc w:val="center"/>
              <w:rPr>
                <w:b/>
              </w:rPr>
            </w:pPr>
            <w:r>
              <w:rPr>
                <w:b/>
              </w:rPr>
              <w:t>Accumulated Other Comprehensive Income (Loss) into Income</w:t>
            </w:r>
          </w:p>
        </w:tc>
        <w:tc>
          <w:tcPr>
            <w:tcW w:w="128" w:type="dxa"/>
            <w:tcBorders/>
            <w:vAlign w:val="bottom"/>
          </w:tcPr>
          <w:p>
            <w:pPr>
              <w:pStyle w:val="TableContents"/>
              <w:bidi w:val="0"/>
              <w:spacing w:before="0" w:after="283"/>
              <w:jc w:val="left"/>
              <w:rPr/>
            </w:pPr>
            <w:r>
              <w:rPr/>
              <w:t> </w:t>
            </w:r>
          </w:p>
        </w:tc>
      </w:tr>
      <w:tr>
        <w:trPr/>
        <w:tc>
          <w:tcPr>
            <w:tcW w:w="225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69"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509" w:type="dxa"/>
            <w:gridSpan w:val="6"/>
            <w:tcBorders>
              <w:bottom w:val="single" w:sz="12" w:space="0" w:color="000000"/>
            </w:tcBorders>
            <w:tcMar>
              <w:bottom w:w="28" w:type="dxa"/>
            </w:tcMar>
            <w:vAlign w:val="bottom"/>
          </w:tcPr>
          <w:p>
            <w:pPr>
              <w:pStyle w:val="TableContents"/>
              <w:bidi w:val="0"/>
              <w:spacing w:before="0" w:after="0"/>
              <w:jc w:val="center"/>
              <w:rPr>
                <w:b/>
              </w:rPr>
            </w:pPr>
            <w:r>
              <w:rPr>
                <w:b/>
              </w:rPr>
              <w:t>Three Months Ended</w:t>
            </w:r>
          </w:p>
          <w:p>
            <w:pPr>
              <w:pStyle w:val="TableContents"/>
              <w:bidi w:val="0"/>
              <w:spacing w:before="0" w:after="0"/>
              <w:jc w:val="center"/>
              <w:rPr>
                <w:b/>
              </w:rPr>
            </w:pPr>
            <w:r>
              <w:rPr>
                <w:b/>
              </w:rPr>
              <w:t>June 30,</w:t>
            </w:r>
          </w:p>
        </w:tc>
        <w:tc>
          <w:tcPr>
            <w:tcW w:w="176"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2509" w:type="dxa"/>
            <w:gridSpan w:val="6"/>
            <w:tcBorders>
              <w:bottom w:val="single" w:sz="12" w:space="0" w:color="000000"/>
            </w:tcBorders>
            <w:tcMar>
              <w:bottom w:w="28" w:type="dxa"/>
            </w:tcMar>
            <w:vAlign w:val="bottom"/>
          </w:tcPr>
          <w:p>
            <w:pPr>
              <w:pStyle w:val="TableContents"/>
              <w:bidi w:val="0"/>
              <w:spacing w:before="0" w:after="0"/>
              <w:jc w:val="center"/>
              <w:rPr>
                <w:b/>
              </w:rPr>
            </w:pPr>
            <w:r>
              <w:rPr>
                <w:b/>
              </w:rPr>
              <w:t>Six Months Ended</w:t>
            </w:r>
          </w:p>
          <w:p>
            <w:pPr>
              <w:pStyle w:val="TableContents"/>
              <w:bidi w:val="0"/>
              <w:spacing w:before="0" w:after="0"/>
              <w:jc w:val="center"/>
              <w:rPr>
                <w:b/>
              </w:rPr>
            </w:pPr>
            <w:r>
              <w:rPr>
                <w:b/>
              </w:rPr>
              <w:t>June 30,</w:t>
            </w:r>
          </w:p>
        </w:tc>
        <w:tc>
          <w:tcPr>
            <w:tcW w:w="128" w:type="dxa"/>
            <w:tcBorders/>
            <w:vAlign w:val="bottom"/>
          </w:tcPr>
          <w:p>
            <w:pPr>
              <w:pStyle w:val="TableContents"/>
              <w:bidi w:val="0"/>
              <w:spacing w:before="0" w:after="283"/>
              <w:jc w:val="left"/>
              <w:rPr/>
            </w:pPr>
            <w:r>
              <w:rPr/>
              <w:t> </w:t>
            </w:r>
          </w:p>
        </w:tc>
      </w:tr>
      <w:tr>
        <w:trPr/>
        <w:tc>
          <w:tcPr>
            <w:tcW w:w="2258" w:type="dxa"/>
            <w:tcBorders>
              <w:bottom w:val="single" w:sz="12" w:space="0" w:color="000000"/>
            </w:tcBorders>
            <w:tcMar>
              <w:bottom w:w="28" w:type="dxa"/>
            </w:tcMar>
            <w:vAlign w:val="bottom"/>
          </w:tcPr>
          <w:p>
            <w:pPr>
              <w:pStyle w:val="TableContents"/>
              <w:bidi w:val="0"/>
              <w:spacing w:before="0" w:after="0"/>
              <w:jc w:val="left"/>
              <w:rPr>
                <w:b/>
              </w:rPr>
            </w:pPr>
            <w:r>
              <w:rPr>
                <w:b/>
              </w:rPr>
              <w:t xml:space="preserve">Derivatives in Cash Flow </w:t>
            </w:r>
          </w:p>
          <w:p>
            <w:pPr>
              <w:pStyle w:val="TableContents"/>
              <w:bidi w:val="0"/>
              <w:spacing w:before="0" w:after="0"/>
              <w:jc w:val="left"/>
              <w:rPr>
                <w:b/>
              </w:rPr>
            </w:pPr>
            <w:r>
              <w:rPr>
                <w:b/>
              </w:rPr>
              <w:t>Hedging Relationships:</w:t>
            </w:r>
          </w:p>
        </w:tc>
        <w:tc>
          <w:tcPr>
            <w:tcW w:w="90" w:type="dxa"/>
            <w:tcBorders/>
            <w:vAlign w:val="bottom"/>
          </w:tcPr>
          <w:p>
            <w:pPr>
              <w:pStyle w:val="TableContents"/>
              <w:bidi w:val="0"/>
              <w:spacing w:before="0" w:after="283"/>
              <w:jc w:val="left"/>
              <w:rPr/>
            </w:pPr>
            <w:r>
              <w:rPr/>
              <w:t> </w:t>
            </w:r>
          </w:p>
        </w:tc>
        <w:tc>
          <w:tcPr>
            <w:tcW w:w="2269" w:type="dxa"/>
            <w:tcBorders>
              <w:bottom w:val="single" w:sz="12" w:space="0" w:color="000000"/>
            </w:tcBorders>
            <w:tcMar>
              <w:bottom w:w="28" w:type="dxa"/>
            </w:tcMar>
            <w:vAlign w:val="bottom"/>
          </w:tcPr>
          <w:p>
            <w:pPr>
              <w:pStyle w:val="TableContents"/>
              <w:bidi w:val="0"/>
              <w:spacing w:before="0" w:after="0"/>
              <w:jc w:val="center"/>
              <w:rPr>
                <w:b/>
              </w:rPr>
            </w:pPr>
            <w:r>
              <w:rPr>
                <w:b/>
              </w:rPr>
              <w:t>Income Statement Location</w:t>
            </w:r>
          </w:p>
        </w:tc>
        <w:tc>
          <w:tcPr>
            <w:tcW w:w="90" w:type="dxa"/>
            <w:tcBorders/>
            <w:vAlign w:val="bottom"/>
          </w:tcPr>
          <w:p>
            <w:pPr>
              <w:pStyle w:val="TableContents"/>
              <w:bidi w:val="0"/>
              <w:spacing w:before="0" w:after="283"/>
              <w:jc w:val="left"/>
              <w:rPr/>
            </w:pPr>
            <w:r>
              <w:rPr/>
              <w:t> </w:t>
            </w:r>
          </w:p>
        </w:tc>
        <w:tc>
          <w:tcPr>
            <w:tcW w:w="657"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2026</w:t>
            </w:r>
          </w:p>
        </w:tc>
        <w:tc>
          <w:tcPr>
            <w:tcW w:w="176"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5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176"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57"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2026</w:t>
            </w:r>
          </w:p>
        </w:tc>
        <w:tc>
          <w:tcPr>
            <w:tcW w:w="176"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5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128" w:type="dxa"/>
            <w:tcBorders/>
            <w:vAlign w:val="bottom"/>
          </w:tcPr>
          <w:p>
            <w:pPr>
              <w:pStyle w:val="TableContents"/>
              <w:bidi w:val="0"/>
              <w:spacing w:before="0" w:after="283"/>
              <w:jc w:val="left"/>
              <w:rPr/>
            </w:pPr>
            <w:r>
              <w:rPr/>
              <w:t> </w:t>
            </w:r>
          </w:p>
        </w:tc>
      </w:tr>
      <w:tr>
        <w:trPr/>
        <w:tc>
          <w:tcPr>
            <w:tcW w:w="2258" w:type="dxa"/>
            <w:tcBorders/>
            <w:shd w:fill="CCEEFF" w:val="clear"/>
            <w:vAlign w:val="bottom"/>
          </w:tcPr>
          <w:p>
            <w:pPr>
              <w:pStyle w:val="TableContents"/>
              <w:bidi w:val="0"/>
              <w:spacing w:before="0" w:after="283"/>
              <w:jc w:val="left"/>
              <w:rPr/>
            </w:pPr>
            <w:r>
              <w:rPr/>
              <w:t>Interest Rate Swaps</w:t>
            </w:r>
          </w:p>
        </w:tc>
        <w:tc>
          <w:tcPr>
            <w:tcW w:w="90" w:type="dxa"/>
            <w:tcBorders/>
            <w:shd w:fill="CCEEFF" w:val="clear"/>
            <w:vAlign w:val="bottom"/>
          </w:tcPr>
          <w:p>
            <w:pPr>
              <w:pStyle w:val="TableContents"/>
              <w:bidi w:val="0"/>
              <w:spacing w:before="0" w:after="283"/>
              <w:jc w:val="left"/>
              <w:rPr/>
            </w:pPr>
            <w:r>
              <w:rPr/>
              <w:t> </w:t>
            </w:r>
          </w:p>
        </w:tc>
        <w:tc>
          <w:tcPr>
            <w:tcW w:w="2269" w:type="dxa"/>
            <w:tcBorders/>
            <w:shd w:fill="CCEEFF" w:val="clear"/>
            <w:vAlign w:val="bottom"/>
          </w:tcPr>
          <w:p>
            <w:pPr>
              <w:pStyle w:val="TableContents"/>
              <w:bidi w:val="0"/>
              <w:spacing w:before="0" w:after="283"/>
              <w:jc w:val="center"/>
              <w:rPr/>
            </w:pPr>
            <w:r>
              <w:rPr/>
              <w:t>Interest expense</w:t>
            </w:r>
          </w:p>
        </w:tc>
        <w:tc>
          <w:tcPr>
            <w:tcW w:w="90" w:type="dxa"/>
            <w:tcBorders/>
            <w:shd w:fill="CCEEFF" w:val="clear"/>
            <w:vAlign w:val="bottom"/>
          </w:tcPr>
          <w:p>
            <w:pPr>
              <w:pStyle w:val="TableContents"/>
              <w:bidi w:val="0"/>
              <w:spacing w:before="0" w:after="283"/>
              <w:jc w:val="left"/>
              <w:rPr/>
            </w:pPr>
            <w:r>
              <w:rPr/>
              <w:t> </w:t>
            </w:r>
          </w:p>
        </w:tc>
        <w:tc>
          <w:tcPr>
            <w:tcW w:w="411" w:type="dxa"/>
            <w:tcBorders/>
            <w:shd w:fill="CCEEFF" w:val="clear"/>
            <w:vAlign w:val="bottom"/>
          </w:tcPr>
          <w:p>
            <w:pPr>
              <w:pStyle w:val="TableContents"/>
              <w:bidi w:val="0"/>
              <w:spacing w:before="0" w:after="283"/>
              <w:jc w:val="left"/>
              <w:rPr/>
            </w:pPr>
            <w:r>
              <w:rPr/>
              <w:t>$</w:t>
            </w:r>
          </w:p>
        </w:tc>
        <w:tc>
          <w:tcPr>
            <w:tcW w:w="246" w:type="dxa"/>
            <w:tcBorders/>
            <w:shd w:fill="CCEEFF" w:val="clear"/>
            <w:vAlign w:val="bottom"/>
          </w:tcPr>
          <w:p>
            <w:pPr>
              <w:pStyle w:val="TableContents"/>
              <w:bidi w:val="0"/>
              <w:spacing w:before="0" w:after="283"/>
              <w:jc w:val="right"/>
              <w:rPr/>
            </w:pPr>
            <w:r>
              <w:rPr/>
              <w:t>-</w:t>
            </w:r>
          </w:p>
        </w:tc>
        <w:tc>
          <w:tcPr>
            <w:tcW w:w="176"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w:t>
            </w:r>
          </w:p>
        </w:tc>
        <w:tc>
          <w:tcPr>
            <w:tcW w:w="1165" w:type="dxa"/>
            <w:tcBorders/>
            <w:shd w:fill="CCEEFF" w:val="clear"/>
            <w:vAlign w:val="bottom"/>
          </w:tcPr>
          <w:p>
            <w:pPr>
              <w:pStyle w:val="TableContents"/>
              <w:bidi w:val="0"/>
              <w:spacing w:before="0" w:after="283"/>
              <w:jc w:val="right"/>
              <w:rPr/>
            </w:pPr>
            <w:r>
              <w:rPr/>
              <w:t>2,131</w:t>
            </w:r>
          </w:p>
        </w:tc>
        <w:tc>
          <w:tcPr>
            <w:tcW w:w="176"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411" w:type="dxa"/>
            <w:tcBorders/>
            <w:shd w:fill="CCEEFF" w:val="clear"/>
            <w:vAlign w:val="bottom"/>
          </w:tcPr>
          <w:p>
            <w:pPr>
              <w:pStyle w:val="TableContents"/>
              <w:bidi w:val="0"/>
              <w:spacing w:before="0" w:after="283"/>
              <w:jc w:val="left"/>
              <w:rPr/>
            </w:pPr>
            <w:r>
              <w:rPr/>
              <w:t>$</w:t>
            </w:r>
          </w:p>
        </w:tc>
        <w:tc>
          <w:tcPr>
            <w:tcW w:w="246" w:type="dxa"/>
            <w:tcBorders/>
            <w:shd w:fill="CCEEFF" w:val="clear"/>
            <w:vAlign w:val="bottom"/>
          </w:tcPr>
          <w:p>
            <w:pPr>
              <w:pStyle w:val="TableContents"/>
              <w:bidi w:val="0"/>
              <w:spacing w:before="0" w:after="283"/>
              <w:jc w:val="right"/>
              <w:rPr/>
            </w:pPr>
            <w:r>
              <w:rPr/>
              <w:t>-</w:t>
            </w:r>
          </w:p>
        </w:tc>
        <w:tc>
          <w:tcPr>
            <w:tcW w:w="176"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left"/>
              <w:rPr/>
            </w:pPr>
            <w:r>
              <w:rPr/>
              <w:t>$</w:t>
            </w:r>
          </w:p>
        </w:tc>
        <w:tc>
          <w:tcPr>
            <w:tcW w:w="1165" w:type="dxa"/>
            <w:tcBorders/>
            <w:shd w:fill="CCEEFF" w:val="clear"/>
            <w:vAlign w:val="bottom"/>
          </w:tcPr>
          <w:p>
            <w:pPr>
              <w:pStyle w:val="TableContents"/>
              <w:bidi w:val="0"/>
              <w:spacing w:before="0" w:after="283"/>
              <w:jc w:val="right"/>
              <w:rPr/>
            </w:pPr>
            <w:r>
              <w:rPr/>
              <w:t>4,241</w:t>
            </w:r>
          </w:p>
        </w:tc>
        <w:tc>
          <w:tcPr>
            <w:tcW w:w="128"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tbl>
      <w:tblPr>
        <w:tblW w:w="2620" w:type="dxa"/>
        <w:jc w:val="left"/>
        <w:tblInd w:w="0" w:type="dxa"/>
        <w:tblLayout w:type="fixed"/>
        <w:tblCellMar>
          <w:top w:w="0" w:type="dxa"/>
          <w:left w:w="0" w:type="dxa"/>
          <w:bottom w:w="0" w:type="dxa"/>
          <w:right w:w="0" w:type="dxa"/>
        </w:tblCellMar>
      </w:tblPr>
      <w:tblGrid>
        <w:gridCol w:w="365"/>
        <w:gridCol w:w="2255"/>
      </w:tblGrid>
      <w:tr>
        <w:trPr/>
        <w:tc>
          <w:tcPr>
            <w:tcW w:w="365" w:type="dxa"/>
            <w:tcBorders/>
            <w:vAlign w:val="center"/>
          </w:tcPr>
          <w:p>
            <w:pPr>
              <w:pStyle w:val="TableContents"/>
              <w:bidi w:val="0"/>
              <w:spacing w:before="0" w:after="0"/>
              <w:jc w:val="left"/>
              <w:rPr>
                <w:b/>
              </w:rPr>
            </w:pPr>
            <w:r>
              <w:rPr>
                <w:b/>
              </w:rPr>
              <w:t>11.</w:t>
            </w:r>
          </w:p>
        </w:tc>
        <w:tc>
          <w:tcPr>
            <w:tcW w:w="2255" w:type="dxa"/>
            <w:tcBorders/>
            <w:vAlign w:val="center"/>
          </w:tcPr>
          <w:p>
            <w:pPr>
              <w:pStyle w:val="TableContents"/>
              <w:bidi w:val="0"/>
              <w:spacing w:before="0" w:after="0"/>
              <w:jc w:val="left"/>
              <w:rPr>
                <w:b/>
              </w:rPr>
            </w:pPr>
            <w:r>
              <w:rPr>
                <w:b/>
              </w:rPr>
              <w:t>Segment Information</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reports revenue from nine segments, consisting of its seven geographic Nu Skin segments—Americas, Southeast Asia/Pacific, Mainland China, Japan, Europe &amp; Africa, South Korea, and Hong Kong/Taiwan—and two Rhyz segments—Manufacturing and Rhyz Other. The Nu Skin Other category includes miscellaneous corporate revenue and related adjustments. The Rhyz Other segment includes two operating segments that are aggregated into one reporting segment and includes other investments by our Rhyz business arm. The Chief Executive Officer is the chief operating decision maker (“CODM”). These segments reflect the way the CODM evaluates the Company’s business performance and allocates resources. Reported revenue includes only the revenue generated by sales to external customers.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Profitability by segment as determined under US GAAP is driven primarily by the Company’s transfer pricing policies. Segment contribution, which is the Company’s segment profitability metric presented in the table below, excludes certain intercompany charges, specifically royalties, license fees, transfer pricing, discrete charges and other miscellaneous items. These charges have been included in Corporate and other expenses. Corporate and other expenses also include costs related to the Company’s executive and administrative offices, information technology, research and development, and marketing and supply chain functions not recorded at the segment level.</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accounting policies of the segments are the same as those described in Note 2, “Summary of Significant Accounting Policies.” The Company evaluates the performance of its segments based on segment contribution. Each segment records direct expenses related to its employees and its operations.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Summarized financial information for the Company’s reportable segments is shown in the following tables. Asset information is not reviewed or included with the Company’s internal management reporting. Therefore, the Company has not disclosed asset information for each reportable segment.</w:t>
      </w:r>
    </w:p>
    <w:p>
      <w:pPr>
        <w:pStyle w:val="TextBody"/>
        <w:bidi w:val="0"/>
        <w:spacing w:before="0" w:after="0"/>
        <w:jc w:val="left"/>
        <w:rPr/>
      </w:pPr>
      <w:r>
        <w:rPr/>
      </w:r>
    </w:p>
    <w:tbl>
      <w:tblPr>
        <w:tblW w:w="12990" w:type="dxa"/>
        <w:jc w:val="left"/>
        <w:tblInd w:w="0" w:type="dxa"/>
        <w:tblLayout w:type="fixed"/>
        <w:tblCellMar>
          <w:top w:w="0" w:type="dxa"/>
          <w:left w:w="0" w:type="dxa"/>
          <w:bottom w:w="0" w:type="dxa"/>
          <w:right w:w="0" w:type="dxa"/>
        </w:tblCellMar>
      </w:tblPr>
      <w:tblGrid>
        <w:gridCol w:w="1025"/>
        <w:gridCol w:w="90"/>
        <w:gridCol w:w="195"/>
        <w:gridCol w:w="815"/>
        <w:gridCol w:w="90"/>
        <w:gridCol w:w="90"/>
        <w:gridCol w:w="200"/>
        <w:gridCol w:w="840"/>
        <w:gridCol w:w="90"/>
        <w:gridCol w:w="90"/>
        <w:gridCol w:w="200"/>
        <w:gridCol w:w="840"/>
        <w:gridCol w:w="90"/>
        <w:gridCol w:w="90"/>
        <w:gridCol w:w="170"/>
        <w:gridCol w:w="710"/>
        <w:gridCol w:w="90"/>
        <w:gridCol w:w="90"/>
        <w:gridCol w:w="170"/>
        <w:gridCol w:w="710"/>
        <w:gridCol w:w="90"/>
        <w:gridCol w:w="90"/>
        <w:gridCol w:w="170"/>
        <w:gridCol w:w="710"/>
        <w:gridCol w:w="90"/>
        <w:gridCol w:w="90"/>
        <w:gridCol w:w="170"/>
        <w:gridCol w:w="710"/>
        <w:gridCol w:w="90"/>
        <w:gridCol w:w="90"/>
        <w:gridCol w:w="322"/>
        <w:gridCol w:w="1348"/>
        <w:gridCol w:w="125"/>
        <w:gridCol w:w="90"/>
        <w:gridCol w:w="170"/>
        <w:gridCol w:w="590"/>
        <w:gridCol w:w="125"/>
        <w:gridCol w:w="90"/>
        <w:gridCol w:w="171"/>
        <w:gridCol w:w="839"/>
        <w:gridCol w:w="135"/>
      </w:tblGrid>
      <w:tr>
        <w:trPr/>
        <w:tc>
          <w:tcPr>
            <w:tcW w:w="10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740" w:type="dxa"/>
            <w:gridSpan w:val="38"/>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 June 30, 2026</w:t>
            </w:r>
          </w:p>
        </w:tc>
        <w:tc>
          <w:tcPr>
            <w:tcW w:w="135" w:type="dxa"/>
            <w:tcBorders/>
            <w:vAlign w:val="bottom"/>
          </w:tcPr>
          <w:p>
            <w:pPr>
              <w:pStyle w:val="TableContents"/>
              <w:bidi w:val="0"/>
              <w:spacing w:before="0" w:after="283"/>
              <w:jc w:val="left"/>
              <w:rPr/>
            </w:pPr>
            <w:r>
              <w:rPr/>
              <w:t> </w:t>
            </w:r>
          </w:p>
        </w:tc>
      </w:tr>
      <w:tr>
        <w:trPr/>
        <w:tc>
          <w:tcPr>
            <w:tcW w:w="10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690" w:type="dxa"/>
            <w:gridSpan w:val="2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Nu Skin</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64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Rhyz</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10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color w:val="000000"/>
              </w:rPr>
            </w:pPr>
            <w:r>
              <w:rPr>
                <w:b/>
                <w:color w:val="000000"/>
              </w:rPr>
              <w:t>Mainland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color w:val="000000"/>
              </w:rPr>
            </w:pPr>
            <w:r>
              <w:rPr>
                <w:b/>
                <w:color w:val="000000"/>
              </w:rPr>
              <w:t>Southeast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0"/>
              <w:jc w:val="center"/>
              <w:rPr>
                <w:b/>
                <w:color w:val="000000"/>
              </w:rPr>
            </w:pPr>
            <w:r>
              <w:rPr>
                <w:b/>
                <w:color w:val="000000"/>
              </w:rPr>
              <w:t>Europe &amp;</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0"/>
              <w:jc w:val="center"/>
              <w:rPr>
                <w:b/>
                <w:color w:val="000000"/>
              </w:rPr>
            </w:pPr>
            <w:r>
              <w:rPr>
                <w:b/>
                <w:color w:val="000000"/>
              </w:rPr>
              <w:t>Hong Kong/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0"/>
              <w:jc w:val="center"/>
              <w:rPr>
                <w:b/>
                <w:color w:val="000000"/>
              </w:rPr>
            </w:pPr>
            <w:r>
              <w:rPr>
                <w:b/>
                <w:color w:val="000000"/>
              </w:rPr>
              <w:t>South</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vAlign w:val="center"/>
          </w:tcPr>
          <w:p>
            <w:pPr>
              <w:pStyle w:val="TableContents"/>
              <w:bidi w:val="0"/>
              <w:spacing w:before="0" w:after="0"/>
              <w:jc w:val="center"/>
              <w:rPr>
                <w:b/>
                <w:color w:val="000000"/>
              </w:rPr>
            </w:pPr>
            <w:r>
              <w:rPr>
                <w:b/>
                <w:color w:val="000000"/>
              </w:rPr>
              <w:t>Rhyz</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0"/>
              <w:jc w:val="center"/>
              <w:rPr>
                <w:b/>
                <w:color w:val="000000"/>
              </w:rPr>
            </w:pPr>
            <w:r>
              <w:rPr>
                <w:b/>
                <w:color w:val="000000"/>
              </w:rPr>
              <w:t>Total</w:t>
            </w:r>
          </w:p>
        </w:tc>
        <w:tc>
          <w:tcPr>
            <w:tcW w:w="135" w:type="dxa"/>
            <w:tcBorders/>
            <w:vAlign w:val="bottom"/>
          </w:tcPr>
          <w:p>
            <w:pPr>
              <w:pStyle w:val="TableContents"/>
              <w:bidi w:val="0"/>
              <w:spacing w:before="0" w:after="283"/>
              <w:jc w:val="left"/>
              <w:rPr/>
            </w:pPr>
            <w:r>
              <w:rPr/>
              <w:t> </w:t>
            </w:r>
          </w:p>
        </w:tc>
      </w:tr>
      <w:tr>
        <w:trPr/>
        <w:tc>
          <w:tcPr>
            <w:tcW w:w="10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Americas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China</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Asia/Pacific</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Japan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Africa</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Taiwan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Korea</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0" w:type="dxa"/>
            <w:gridSpan w:val="2"/>
            <w:tcBorders>
              <w:bottom w:val="single" w:sz="12" w:space="0" w:color="000000"/>
            </w:tcBorders>
            <w:tcMar>
              <w:bottom w:w="28" w:type="dxa"/>
            </w:tcMar>
            <w:vAlign w:val="center"/>
          </w:tcPr>
          <w:p>
            <w:pPr>
              <w:pStyle w:val="TableContents"/>
              <w:bidi w:val="0"/>
              <w:spacing w:lineRule="auto" w:line="240" w:before="0" w:after="0"/>
              <w:jc w:val="center"/>
              <w:rPr>
                <w:b/>
                <w:color w:val="000000"/>
              </w:rPr>
            </w:pPr>
            <w:r>
              <w:rPr>
                <w:b/>
                <w:color w:val="000000"/>
              </w:rPr>
              <w:t>Manufacturing(1)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Other</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Segments</w:t>
            </w:r>
          </w:p>
        </w:tc>
        <w:tc>
          <w:tcPr>
            <w:tcW w:w="135" w:type="dxa"/>
            <w:tcBorders/>
            <w:vAlign w:val="bottom"/>
          </w:tcPr>
          <w:p>
            <w:pPr>
              <w:pStyle w:val="TableContents"/>
              <w:bidi w:val="0"/>
              <w:spacing w:before="0" w:after="283"/>
              <w:jc w:val="left"/>
              <w:rPr/>
            </w:pPr>
            <w:r>
              <w:rPr/>
              <w:t> </w:t>
            </w:r>
          </w:p>
        </w:tc>
      </w:tr>
      <w:tr>
        <w:trPr/>
        <w:tc>
          <w:tcPr>
            <w:tcW w:w="1025" w:type="dxa"/>
            <w:tcBorders/>
            <w:shd w:fill="CCEEFF" w:val="clear"/>
            <w:vAlign w:val="bottom"/>
          </w:tcPr>
          <w:p>
            <w:pPr>
              <w:pStyle w:val="TableContents"/>
              <w:bidi w:val="0"/>
              <w:spacing w:before="0" w:after="0"/>
              <w:ind w:left="180" w:right="0" w:hanging="180"/>
              <w:jc w:val="left"/>
              <w:rPr>
                <w:color w:val="000000"/>
              </w:rPr>
            </w:pPr>
            <w:r>
              <w:rPr>
                <w:color w:val="000000"/>
              </w:rPr>
              <w:t>Revenue</w:t>
            </w:r>
          </w:p>
        </w:tc>
        <w:tc>
          <w:tcPr>
            <w:tcW w:w="9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0"/>
              <w:jc w:val="left"/>
              <w:rPr>
                <w:color w:val="000000"/>
              </w:rPr>
            </w:pPr>
            <w:r>
              <w:rPr>
                <w:color w:val="000000"/>
              </w:rPr>
              <w:t>$</w:t>
            </w:r>
          </w:p>
        </w:tc>
        <w:tc>
          <w:tcPr>
            <w:tcW w:w="815" w:type="dxa"/>
            <w:tcBorders/>
            <w:shd w:fill="CCEEFF" w:val="clear"/>
            <w:vAlign w:val="bottom"/>
          </w:tcPr>
          <w:p>
            <w:pPr>
              <w:pStyle w:val="TableContents"/>
              <w:bidi w:val="0"/>
              <w:spacing w:before="0" w:after="0"/>
              <w:jc w:val="right"/>
              <w:rPr>
                <w:color w:val="000000"/>
              </w:rPr>
            </w:pPr>
            <w:r>
              <w:rPr>
                <w:color w:val="000000"/>
              </w:rPr>
              <w:t>59,763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0"/>
              <w:jc w:val="left"/>
              <w:rPr>
                <w:color w:val="000000"/>
              </w:rPr>
            </w:pPr>
            <w:r>
              <w:rPr>
                <w:color w:val="000000"/>
              </w:rPr>
              <w:t>$</w:t>
            </w:r>
          </w:p>
        </w:tc>
        <w:tc>
          <w:tcPr>
            <w:tcW w:w="840" w:type="dxa"/>
            <w:tcBorders/>
            <w:shd w:fill="CCEEFF" w:val="clear"/>
            <w:vAlign w:val="bottom"/>
          </w:tcPr>
          <w:p>
            <w:pPr>
              <w:pStyle w:val="TableContents"/>
              <w:bidi w:val="0"/>
              <w:spacing w:before="0" w:after="0"/>
              <w:jc w:val="right"/>
              <w:rPr>
                <w:color w:val="000000"/>
              </w:rPr>
            </w:pPr>
            <w:r>
              <w:rPr>
                <w:color w:val="000000"/>
              </w:rPr>
              <w:t>45,956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0"/>
              <w:jc w:val="left"/>
              <w:rPr>
                <w:color w:val="000000"/>
              </w:rPr>
            </w:pPr>
            <w:r>
              <w:rPr>
                <w:color w:val="000000"/>
              </w:rPr>
              <w:t>$</w:t>
            </w:r>
          </w:p>
        </w:tc>
        <w:tc>
          <w:tcPr>
            <w:tcW w:w="840" w:type="dxa"/>
            <w:tcBorders/>
            <w:shd w:fill="CCEEFF" w:val="clear"/>
            <w:vAlign w:val="bottom"/>
          </w:tcPr>
          <w:p>
            <w:pPr>
              <w:pStyle w:val="TableContents"/>
              <w:bidi w:val="0"/>
              <w:spacing w:before="0" w:after="0"/>
              <w:jc w:val="right"/>
              <w:rPr>
                <w:color w:val="000000"/>
              </w:rPr>
            </w:pPr>
            <w:r>
              <w:rPr>
                <w:color w:val="000000"/>
              </w:rPr>
              <w:t>43,257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38,143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32,317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26,074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25,620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0"/>
              <w:jc w:val="left"/>
              <w:rPr>
                <w:color w:val="000000"/>
              </w:rPr>
            </w:pPr>
            <w:r>
              <w:rPr>
                <w:color w:val="000000"/>
              </w:rPr>
              <w:t>$</w:t>
            </w:r>
          </w:p>
        </w:tc>
        <w:tc>
          <w:tcPr>
            <w:tcW w:w="1348" w:type="dxa"/>
            <w:tcBorders/>
            <w:shd w:fill="CCEEFF" w:val="clear"/>
            <w:vAlign w:val="bottom"/>
          </w:tcPr>
          <w:p>
            <w:pPr>
              <w:pStyle w:val="TableContents"/>
              <w:bidi w:val="0"/>
              <w:spacing w:before="0" w:after="0"/>
              <w:jc w:val="right"/>
              <w:rPr>
                <w:color w:val="000000"/>
              </w:rPr>
            </w:pPr>
            <w:r>
              <w:rPr>
                <w:color w:val="000000"/>
              </w:rPr>
              <w:t>46,369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590" w:type="dxa"/>
            <w:tcBorders/>
            <w:shd w:fill="CCEEFF" w:val="clear"/>
            <w:vAlign w:val="bottom"/>
          </w:tcPr>
          <w:p>
            <w:pPr>
              <w:pStyle w:val="TableContents"/>
              <w:bidi w:val="0"/>
              <w:spacing w:before="0" w:after="0"/>
              <w:jc w:val="right"/>
              <w:rPr>
                <w:color w:val="000000"/>
              </w:rPr>
            </w:pPr>
            <w:r>
              <w:rPr>
                <w:color w:val="000000"/>
              </w:rPr>
              <w:t>2,534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0"/>
              <w:jc w:val="left"/>
              <w:rPr>
                <w:color w:val="000000"/>
              </w:rPr>
            </w:pPr>
            <w:r>
              <w:rPr>
                <w:color w:val="000000"/>
              </w:rPr>
              <w:t>$</w:t>
            </w:r>
          </w:p>
        </w:tc>
        <w:tc>
          <w:tcPr>
            <w:tcW w:w="839" w:type="dxa"/>
            <w:tcBorders/>
            <w:shd w:fill="CCEEFF" w:val="clear"/>
            <w:vAlign w:val="bottom"/>
          </w:tcPr>
          <w:p>
            <w:pPr>
              <w:pStyle w:val="TableContents"/>
              <w:bidi w:val="0"/>
              <w:spacing w:before="0" w:after="0"/>
              <w:jc w:val="right"/>
              <w:rPr>
                <w:color w:val="000000"/>
              </w:rPr>
            </w:pPr>
            <w:r>
              <w:rPr>
                <w:color w:val="000000"/>
              </w:rPr>
              <w:t>320,033</w:t>
            </w:r>
          </w:p>
        </w:tc>
        <w:tc>
          <w:tcPr>
            <w:tcW w:w="135" w:type="dxa"/>
            <w:tcBorders/>
            <w:shd w:fill="CCEEFF" w:val="clear"/>
            <w:vAlign w:val="bottom"/>
          </w:tcPr>
          <w:p>
            <w:pPr>
              <w:pStyle w:val="TableContents"/>
              <w:bidi w:val="0"/>
              <w:spacing w:before="0" w:after="283"/>
              <w:jc w:val="left"/>
              <w:rPr/>
            </w:pPr>
            <w:r>
              <w:rPr/>
              <w:t> </w:t>
            </w:r>
          </w:p>
        </w:tc>
      </w:tr>
      <w:tr>
        <w:trPr/>
        <w:tc>
          <w:tcPr>
            <w:tcW w:w="1025" w:type="dxa"/>
            <w:tcBorders/>
            <w:vAlign w:val="bottom"/>
          </w:tcPr>
          <w:p>
            <w:pPr>
              <w:pStyle w:val="TableContents"/>
              <w:bidi w:val="0"/>
              <w:spacing w:before="0" w:after="0"/>
              <w:ind w:left="180" w:right="0" w:hanging="180"/>
              <w:jc w:val="left"/>
              <w:rPr>
                <w:color w:val="000000"/>
              </w:rPr>
            </w:pPr>
            <w:r>
              <w:rPr>
                <w:color w:val="000000"/>
              </w:rPr>
              <w:t>Cost of sales</w:t>
            </w:r>
          </w:p>
        </w:tc>
        <w:tc>
          <w:tcPr>
            <w:tcW w:w="9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0"/>
              <w:jc w:val="right"/>
              <w:rPr>
                <w:color w:val="000000"/>
              </w:rPr>
            </w:pPr>
            <w:r>
              <w:rPr>
                <w:color w:val="000000"/>
              </w:rPr>
              <w:t>15,037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0"/>
              <w:jc w:val="right"/>
              <w:rPr>
                <w:color w:val="000000"/>
              </w:rPr>
            </w:pPr>
            <w:r>
              <w:rPr>
                <w:color w:val="000000"/>
              </w:rPr>
              <w:t>8,283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0"/>
              <w:jc w:val="right"/>
              <w:rPr>
                <w:color w:val="000000"/>
              </w:rPr>
            </w:pPr>
            <w:r>
              <w:rPr>
                <w:color w:val="000000"/>
              </w:rPr>
              <w:t>10,518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7,832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7,784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4,255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5,441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348" w:type="dxa"/>
            <w:tcBorders/>
            <w:vAlign w:val="bottom"/>
          </w:tcPr>
          <w:p>
            <w:pPr>
              <w:pStyle w:val="TableContents"/>
              <w:bidi w:val="0"/>
              <w:spacing w:before="0" w:after="0"/>
              <w:jc w:val="right"/>
              <w:rPr>
                <w:color w:val="000000"/>
              </w:rPr>
            </w:pPr>
            <w:r>
              <w:rPr>
                <w:color w:val="000000"/>
              </w:rPr>
              <w:t>40,873</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478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0"/>
              <w:jc w:val="right"/>
              <w:rPr>
                <w:color w:val="000000"/>
              </w:rPr>
            </w:pPr>
            <w:r>
              <w:rPr>
                <w:color w:val="000000"/>
              </w:rPr>
              <w:t>100,501</w:t>
            </w:r>
          </w:p>
        </w:tc>
        <w:tc>
          <w:tcPr>
            <w:tcW w:w="135" w:type="dxa"/>
            <w:tcBorders/>
            <w:vAlign w:val="bottom"/>
          </w:tcPr>
          <w:p>
            <w:pPr>
              <w:pStyle w:val="TableContents"/>
              <w:bidi w:val="0"/>
              <w:spacing w:before="0" w:after="283"/>
              <w:jc w:val="left"/>
              <w:rPr/>
            </w:pPr>
            <w:r>
              <w:rPr/>
              <w:t> </w:t>
            </w:r>
          </w:p>
        </w:tc>
      </w:tr>
      <w:tr>
        <w:trPr/>
        <w:tc>
          <w:tcPr>
            <w:tcW w:w="1025" w:type="dxa"/>
            <w:tcBorders/>
            <w:shd w:fill="CCEEFF" w:val="clear"/>
            <w:vAlign w:val="bottom"/>
          </w:tcPr>
          <w:p>
            <w:pPr>
              <w:pStyle w:val="TableContents"/>
              <w:bidi w:val="0"/>
              <w:spacing w:lineRule="auto" w:line="240" w:before="0" w:after="0"/>
              <w:ind w:left="180" w:right="0" w:hanging="180"/>
              <w:jc w:val="left"/>
              <w:rPr>
                <w:color w:val="000000"/>
              </w:rPr>
            </w:pPr>
            <w:r>
              <w:rPr>
                <w:color w:val="000000"/>
              </w:rPr>
              <w:t>Other segment items(2)</w:t>
            </w:r>
          </w:p>
        </w:tc>
        <w:tc>
          <w:tcPr>
            <w:tcW w:w="90" w:type="dxa"/>
            <w:tcBorders/>
            <w:shd w:fill="CCEEFF" w:val="clear"/>
            <w:vAlign w:val="bottom"/>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33,582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26,335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25,080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19,385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19,944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13,949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12,695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2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4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6,073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2,503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159,546</w:t>
            </w:r>
          </w:p>
        </w:tc>
        <w:tc>
          <w:tcPr>
            <w:tcW w:w="135" w:type="dxa"/>
            <w:tcBorders/>
            <w:shd w:fill="CCEEFF" w:val="clear"/>
            <w:vAlign w:val="bottom"/>
          </w:tcPr>
          <w:p>
            <w:pPr>
              <w:pStyle w:val="TableContents"/>
              <w:bidi w:val="0"/>
              <w:spacing w:before="0" w:after="283"/>
              <w:jc w:val="left"/>
              <w:rPr/>
            </w:pPr>
            <w:r>
              <w:rPr/>
              <w:t> </w:t>
            </w:r>
          </w:p>
        </w:tc>
      </w:tr>
      <w:tr>
        <w:trPr/>
        <w:tc>
          <w:tcPr>
            <w:tcW w:w="1025" w:type="dxa"/>
            <w:tcBorders/>
            <w:vAlign w:val="bottom"/>
          </w:tcPr>
          <w:p>
            <w:pPr>
              <w:pStyle w:val="TableContents"/>
              <w:bidi w:val="0"/>
              <w:spacing w:before="0" w:after="0"/>
              <w:ind w:left="180" w:right="0" w:hanging="180"/>
              <w:jc w:val="left"/>
              <w:rPr>
                <w:color w:val="000000"/>
              </w:rPr>
            </w:pPr>
            <w:r>
              <w:rPr>
                <w:color w:val="000000"/>
              </w:rPr>
              <w:t>Segment contribution</w:t>
            </w:r>
          </w:p>
        </w:tc>
        <w:tc>
          <w:tcPr>
            <w:tcW w:w="90" w:type="dxa"/>
            <w:tcBorders/>
            <w:vAlign w:val="bottom"/>
          </w:tcPr>
          <w:p>
            <w:pPr>
              <w:pStyle w:val="TableContents"/>
              <w:bidi w:val="0"/>
              <w:spacing w:before="0" w:after="283"/>
              <w:jc w:val="left"/>
              <w:rPr/>
            </w:pPr>
            <w:r>
              <w:rPr/>
              <w:t> </w:t>
            </w:r>
          </w:p>
        </w:tc>
        <w:tc>
          <w:tcPr>
            <w:tcW w:w="195"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1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11,144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4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11,338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4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7,659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10,926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4,589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7,870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7,484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22"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348"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(577</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59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(447</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1"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59,986</w:t>
            </w:r>
          </w:p>
        </w:tc>
        <w:tc>
          <w:tcPr>
            <w:tcW w:w="13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2955" w:type="dxa"/>
        <w:jc w:val="left"/>
        <w:tblInd w:w="0" w:type="dxa"/>
        <w:tblLayout w:type="fixed"/>
        <w:tblCellMar>
          <w:top w:w="0" w:type="dxa"/>
          <w:left w:w="0" w:type="dxa"/>
          <w:bottom w:w="0" w:type="dxa"/>
          <w:right w:w="0" w:type="dxa"/>
        </w:tblCellMar>
      </w:tblPr>
      <w:tblGrid>
        <w:gridCol w:w="1025"/>
        <w:gridCol w:w="90"/>
        <w:gridCol w:w="195"/>
        <w:gridCol w:w="815"/>
        <w:gridCol w:w="90"/>
        <w:gridCol w:w="90"/>
        <w:gridCol w:w="200"/>
        <w:gridCol w:w="840"/>
        <w:gridCol w:w="90"/>
        <w:gridCol w:w="90"/>
        <w:gridCol w:w="200"/>
        <w:gridCol w:w="840"/>
        <w:gridCol w:w="90"/>
        <w:gridCol w:w="90"/>
        <w:gridCol w:w="170"/>
        <w:gridCol w:w="710"/>
        <w:gridCol w:w="90"/>
        <w:gridCol w:w="90"/>
        <w:gridCol w:w="170"/>
        <w:gridCol w:w="710"/>
        <w:gridCol w:w="90"/>
        <w:gridCol w:w="90"/>
        <w:gridCol w:w="170"/>
        <w:gridCol w:w="710"/>
        <w:gridCol w:w="90"/>
        <w:gridCol w:w="90"/>
        <w:gridCol w:w="170"/>
        <w:gridCol w:w="710"/>
        <w:gridCol w:w="90"/>
        <w:gridCol w:w="90"/>
        <w:gridCol w:w="322"/>
        <w:gridCol w:w="1348"/>
        <w:gridCol w:w="90"/>
        <w:gridCol w:w="90"/>
        <w:gridCol w:w="170"/>
        <w:gridCol w:w="590"/>
        <w:gridCol w:w="125"/>
        <w:gridCol w:w="90"/>
        <w:gridCol w:w="171"/>
        <w:gridCol w:w="839"/>
        <w:gridCol w:w="135"/>
      </w:tblGrid>
      <w:tr>
        <w:trPr/>
        <w:tc>
          <w:tcPr>
            <w:tcW w:w="10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705" w:type="dxa"/>
            <w:gridSpan w:val="38"/>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 June 30, 2025</w:t>
            </w:r>
          </w:p>
        </w:tc>
        <w:tc>
          <w:tcPr>
            <w:tcW w:w="135" w:type="dxa"/>
            <w:tcBorders/>
            <w:vAlign w:val="bottom"/>
          </w:tcPr>
          <w:p>
            <w:pPr>
              <w:pStyle w:val="TableContents"/>
              <w:bidi w:val="0"/>
              <w:spacing w:before="0" w:after="283"/>
              <w:jc w:val="left"/>
              <w:rPr/>
            </w:pPr>
            <w:r>
              <w:rPr/>
              <w:t> </w:t>
            </w:r>
          </w:p>
        </w:tc>
      </w:tr>
      <w:tr>
        <w:trPr/>
        <w:tc>
          <w:tcPr>
            <w:tcW w:w="10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690" w:type="dxa"/>
            <w:gridSpan w:val="2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Nu Skin</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61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Rhyz</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10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color w:val="000000"/>
              </w:rPr>
            </w:pPr>
            <w:r>
              <w:rPr>
                <w:b/>
                <w:color w:val="000000"/>
              </w:rPr>
              <w:t>Mainland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color w:val="000000"/>
              </w:rPr>
            </w:pPr>
            <w:r>
              <w:rPr>
                <w:b/>
                <w:color w:val="000000"/>
              </w:rPr>
              <w:t xml:space="preserve">Southeast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0"/>
              <w:jc w:val="center"/>
              <w:rPr>
                <w:b/>
                <w:color w:val="000000"/>
              </w:rPr>
            </w:pPr>
            <w:r>
              <w:rPr>
                <w:b/>
                <w:color w:val="000000"/>
              </w:rPr>
              <w:t>Europe &amp;</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0"/>
              <w:jc w:val="center"/>
              <w:rPr>
                <w:b/>
                <w:color w:val="000000"/>
              </w:rPr>
            </w:pPr>
            <w:r>
              <w:rPr>
                <w:b/>
                <w:color w:val="000000"/>
              </w:rPr>
              <w:t>Hong Kong/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0"/>
              <w:jc w:val="center"/>
              <w:rPr>
                <w:b/>
                <w:color w:val="000000"/>
              </w:rPr>
            </w:pPr>
            <w:r>
              <w:rPr>
                <w:b/>
                <w:color w:val="000000"/>
              </w:rPr>
              <w:t>South</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vAlign w:val="center"/>
          </w:tcPr>
          <w:p>
            <w:pPr>
              <w:pStyle w:val="TableContents"/>
              <w:bidi w:val="0"/>
              <w:spacing w:before="0" w:after="0"/>
              <w:jc w:val="center"/>
              <w:rPr>
                <w:b/>
                <w:color w:val="000000"/>
              </w:rPr>
            </w:pPr>
            <w:r>
              <w:rPr>
                <w:b/>
                <w:color w:val="000000"/>
              </w:rPr>
              <w:t>Rhyz</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0"/>
              <w:jc w:val="center"/>
              <w:rPr>
                <w:b/>
                <w:color w:val="000000"/>
              </w:rPr>
            </w:pPr>
            <w:r>
              <w:rPr>
                <w:b/>
                <w:color w:val="000000"/>
              </w:rPr>
              <w:t>Total</w:t>
            </w:r>
          </w:p>
        </w:tc>
        <w:tc>
          <w:tcPr>
            <w:tcW w:w="135" w:type="dxa"/>
            <w:tcBorders/>
            <w:vAlign w:val="bottom"/>
          </w:tcPr>
          <w:p>
            <w:pPr>
              <w:pStyle w:val="TableContents"/>
              <w:bidi w:val="0"/>
              <w:spacing w:before="0" w:after="283"/>
              <w:jc w:val="left"/>
              <w:rPr/>
            </w:pPr>
            <w:r>
              <w:rPr/>
              <w:t> </w:t>
            </w:r>
          </w:p>
        </w:tc>
      </w:tr>
      <w:tr>
        <w:trPr/>
        <w:tc>
          <w:tcPr>
            <w:tcW w:w="10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Americas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China</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Asia/Pacific</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Japan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Africa</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Taiwan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Korea</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0" w:type="dxa"/>
            <w:gridSpan w:val="2"/>
            <w:tcBorders>
              <w:bottom w:val="single" w:sz="12" w:space="0" w:color="000000"/>
            </w:tcBorders>
            <w:tcMar>
              <w:bottom w:w="28" w:type="dxa"/>
            </w:tcMar>
            <w:vAlign w:val="center"/>
          </w:tcPr>
          <w:p>
            <w:pPr>
              <w:pStyle w:val="TableContents"/>
              <w:bidi w:val="0"/>
              <w:spacing w:lineRule="auto" w:line="240" w:before="0" w:after="0"/>
              <w:jc w:val="center"/>
              <w:rPr>
                <w:b/>
                <w:color w:val="000000"/>
              </w:rPr>
            </w:pPr>
            <w:r>
              <w:rPr>
                <w:b/>
                <w:color w:val="000000"/>
              </w:rPr>
              <w:t>Manufacturing(1)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Other</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Segments</w:t>
            </w:r>
          </w:p>
        </w:tc>
        <w:tc>
          <w:tcPr>
            <w:tcW w:w="135" w:type="dxa"/>
            <w:tcBorders/>
            <w:vAlign w:val="bottom"/>
          </w:tcPr>
          <w:p>
            <w:pPr>
              <w:pStyle w:val="TableContents"/>
              <w:bidi w:val="0"/>
              <w:spacing w:before="0" w:after="283"/>
              <w:jc w:val="left"/>
              <w:rPr/>
            </w:pPr>
            <w:r>
              <w:rPr/>
              <w:t> </w:t>
            </w:r>
          </w:p>
        </w:tc>
      </w:tr>
      <w:tr>
        <w:trPr/>
        <w:tc>
          <w:tcPr>
            <w:tcW w:w="1025" w:type="dxa"/>
            <w:tcBorders/>
            <w:shd w:fill="CCEEFF" w:val="clear"/>
            <w:vAlign w:val="bottom"/>
          </w:tcPr>
          <w:p>
            <w:pPr>
              <w:pStyle w:val="TableContents"/>
              <w:bidi w:val="0"/>
              <w:spacing w:before="0" w:after="0"/>
              <w:ind w:left="180" w:right="0" w:hanging="180"/>
              <w:jc w:val="left"/>
              <w:rPr>
                <w:color w:val="000000"/>
              </w:rPr>
            </w:pPr>
            <w:r>
              <w:rPr>
                <w:color w:val="000000"/>
              </w:rPr>
              <w:t>Revenue</w:t>
            </w:r>
          </w:p>
        </w:tc>
        <w:tc>
          <w:tcPr>
            <w:tcW w:w="9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0"/>
              <w:jc w:val="left"/>
              <w:rPr>
                <w:color w:val="000000"/>
              </w:rPr>
            </w:pPr>
            <w:r>
              <w:rPr>
                <w:color w:val="000000"/>
              </w:rPr>
              <w:t>$</w:t>
            </w:r>
          </w:p>
        </w:tc>
        <w:tc>
          <w:tcPr>
            <w:tcW w:w="815" w:type="dxa"/>
            <w:tcBorders/>
            <w:shd w:fill="CCEEFF" w:val="clear"/>
            <w:vAlign w:val="bottom"/>
          </w:tcPr>
          <w:p>
            <w:pPr>
              <w:pStyle w:val="TableContents"/>
              <w:bidi w:val="0"/>
              <w:spacing w:before="0" w:after="0"/>
              <w:jc w:val="right"/>
              <w:rPr>
                <w:color w:val="000000"/>
              </w:rPr>
            </w:pPr>
            <w:r>
              <w:rPr>
                <w:color w:val="000000"/>
              </w:rPr>
              <w:t>72,946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0"/>
              <w:jc w:val="left"/>
              <w:rPr>
                <w:color w:val="000000"/>
              </w:rPr>
            </w:pPr>
            <w:r>
              <w:rPr>
                <w:color w:val="000000"/>
              </w:rPr>
              <w:t>$</w:t>
            </w:r>
          </w:p>
        </w:tc>
        <w:tc>
          <w:tcPr>
            <w:tcW w:w="840" w:type="dxa"/>
            <w:tcBorders/>
            <w:shd w:fill="CCEEFF" w:val="clear"/>
            <w:vAlign w:val="bottom"/>
          </w:tcPr>
          <w:p>
            <w:pPr>
              <w:pStyle w:val="TableContents"/>
              <w:bidi w:val="0"/>
              <w:spacing w:before="0" w:after="0"/>
              <w:jc w:val="right"/>
              <w:rPr>
                <w:color w:val="000000"/>
              </w:rPr>
            </w:pPr>
            <w:r>
              <w:rPr>
                <w:color w:val="000000"/>
              </w:rPr>
              <w:t>53,224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0"/>
              <w:jc w:val="left"/>
              <w:rPr>
                <w:color w:val="000000"/>
              </w:rPr>
            </w:pPr>
            <w:r>
              <w:rPr>
                <w:color w:val="000000"/>
              </w:rPr>
              <w:t>$</w:t>
            </w:r>
          </w:p>
        </w:tc>
        <w:tc>
          <w:tcPr>
            <w:tcW w:w="840" w:type="dxa"/>
            <w:tcBorders/>
            <w:shd w:fill="CCEEFF" w:val="clear"/>
            <w:vAlign w:val="bottom"/>
          </w:tcPr>
          <w:p>
            <w:pPr>
              <w:pStyle w:val="TableContents"/>
              <w:bidi w:val="0"/>
              <w:spacing w:before="0" w:after="0"/>
              <w:jc w:val="right"/>
              <w:rPr>
                <w:color w:val="000000"/>
              </w:rPr>
            </w:pPr>
            <w:r>
              <w:rPr>
                <w:color w:val="000000"/>
              </w:rPr>
              <w:t>50,834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44,550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37,328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27,527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34,068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0"/>
              <w:jc w:val="left"/>
              <w:rPr>
                <w:color w:val="000000"/>
              </w:rPr>
            </w:pPr>
            <w:r>
              <w:rPr>
                <w:color w:val="000000"/>
              </w:rPr>
              <w:t>$</w:t>
            </w:r>
          </w:p>
        </w:tc>
        <w:tc>
          <w:tcPr>
            <w:tcW w:w="1348" w:type="dxa"/>
            <w:tcBorders/>
            <w:shd w:fill="CCEEFF" w:val="clear"/>
            <w:vAlign w:val="bottom"/>
          </w:tcPr>
          <w:p>
            <w:pPr>
              <w:pStyle w:val="TableContents"/>
              <w:bidi w:val="0"/>
              <w:spacing w:before="0" w:after="0"/>
              <w:jc w:val="right"/>
              <w:rPr>
                <w:color w:val="000000"/>
              </w:rPr>
            </w:pPr>
            <w:r>
              <w:rPr>
                <w:color w:val="000000"/>
              </w:rPr>
              <w:t>60,400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590" w:type="dxa"/>
            <w:tcBorders/>
            <w:shd w:fill="CCEEFF" w:val="clear"/>
            <w:vAlign w:val="bottom"/>
          </w:tcPr>
          <w:p>
            <w:pPr>
              <w:pStyle w:val="TableContents"/>
              <w:bidi w:val="0"/>
              <w:spacing w:before="0" w:after="0"/>
              <w:jc w:val="right"/>
              <w:rPr>
                <w:color w:val="000000"/>
              </w:rPr>
            </w:pPr>
            <w:r>
              <w:rPr>
                <w:color w:val="000000"/>
              </w:rPr>
              <w:t>4,834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0"/>
              <w:jc w:val="left"/>
              <w:rPr>
                <w:color w:val="000000"/>
              </w:rPr>
            </w:pPr>
            <w:r>
              <w:rPr>
                <w:color w:val="000000"/>
              </w:rPr>
              <w:t>$</w:t>
            </w:r>
          </w:p>
        </w:tc>
        <w:tc>
          <w:tcPr>
            <w:tcW w:w="839" w:type="dxa"/>
            <w:tcBorders/>
            <w:shd w:fill="CCEEFF" w:val="clear"/>
            <w:vAlign w:val="bottom"/>
          </w:tcPr>
          <w:p>
            <w:pPr>
              <w:pStyle w:val="TableContents"/>
              <w:bidi w:val="0"/>
              <w:spacing w:before="0" w:after="0"/>
              <w:jc w:val="right"/>
              <w:rPr>
                <w:color w:val="000000"/>
              </w:rPr>
            </w:pPr>
            <w:r>
              <w:rPr>
                <w:color w:val="000000"/>
              </w:rPr>
              <w:t>385,711</w:t>
            </w:r>
          </w:p>
        </w:tc>
        <w:tc>
          <w:tcPr>
            <w:tcW w:w="135" w:type="dxa"/>
            <w:tcBorders/>
            <w:shd w:fill="CCEEFF" w:val="clear"/>
            <w:vAlign w:val="bottom"/>
          </w:tcPr>
          <w:p>
            <w:pPr>
              <w:pStyle w:val="TableContents"/>
              <w:bidi w:val="0"/>
              <w:spacing w:before="0" w:after="283"/>
              <w:jc w:val="left"/>
              <w:rPr/>
            </w:pPr>
            <w:r>
              <w:rPr/>
              <w:t> </w:t>
            </w:r>
          </w:p>
        </w:tc>
      </w:tr>
      <w:tr>
        <w:trPr/>
        <w:tc>
          <w:tcPr>
            <w:tcW w:w="1025" w:type="dxa"/>
            <w:tcBorders/>
            <w:vAlign w:val="bottom"/>
          </w:tcPr>
          <w:p>
            <w:pPr>
              <w:pStyle w:val="TableContents"/>
              <w:bidi w:val="0"/>
              <w:spacing w:before="0" w:after="0"/>
              <w:ind w:left="180" w:right="0" w:hanging="180"/>
              <w:jc w:val="left"/>
              <w:rPr>
                <w:color w:val="000000"/>
              </w:rPr>
            </w:pPr>
            <w:r>
              <w:rPr>
                <w:color w:val="000000"/>
              </w:rPr>
              <w:t>Cost of sales</w:t>
            </w:r>
          </w:p>
        </w:tc>
        <w:tc>
          <w:tcPr>
            <w:tcW w:w="9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0"/>
              <w:jc w:val="right"/>
              <w:rPr>
                <w:color w:val="000000"/>
              </w:rPr>
            </w:pPr>
            <w:r>
              <w:rPr>
                <w:color w:val="000000"/>
              </w:rPr>
              <w:t>18,401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0"/>
              <w:jc w:val="right"/>
              <w:rPr>
                <w:color w:val="000000"/>
              </w:rPr>
            </w:pPr>
            <w:r>
              <w:rPr>
                <w:color w:val="000000"/>
              </w:rPr>
              <w:t>9,800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0"/>
              <w:jc w:val="right"/>
              <w:rPr>
                <w:color w:val="000000"/>
              </w:rPr>
            </w:pPr>
            <w:r>
              <w:rPr>
                <w:color w:val="000000"/>
              </w:rPr>
              <w:t>12,025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9,035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9,531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4,662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7,058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348" w:type="dxa"/>
            <w:tcBorders/>
            <w:vAlign w:val="bottom"/>
          </w:tcPr>
          <w:p>
            <w:pPr>
              <w:pStyle w:val="TableContents"/>
              <w:bidi w:val="0"/>
              <w:spacing w:before="0" w:after="0"/>
              <w:jc w:val="right"/>
              <w:rPr>
                <w:color w:val="000000"/>
              </w:rPr>
            </w:pPr>
            <w:r>
              <w:rPr>
                <w:color w:val="000000"/>
              </w:rPr>
              <w:t>46,963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color w:val="000000"/>
              </w:rPr>
            </w:pPr>
            <w:r>
              <w:rPr>
                <w:color w:val="000000"/>
              </w:rPr>
              <w:t>1,085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0"/>
              <w:jc w:val="right"/>
              <w:rPr>
                <w:color w:val="000000"/>
              </w:rPr>
            </w:pPr>
            <w:r>
              <w:rPr>
                <w:color w:val="000000"/>
              </w:rPr>
              <w:t>118,560</w:t>
            </w:r>
          </w:p>
        </w:tc>
        <w:tc>
          <w:tcPr>
            <w:tcW w:w="135" w:type="dxa"/>
            <w:tcBorders/>
            <w:vAlign w:val="bottom"/>
          </w:tcPr>
          <w:p>
            <w:pPr>
              <w:pStyle w:val="TableContents"/>
              <w:bidi w:val="0"/>
              <w:spacing w:before="0" w:after="283"/>
              <w:jc w:val="left"/>
              <w:rPr/>
            </w:pPr>
            <w:r>
              <w:rPr/>
              <w:t> </w:t>
            </w:r>
          </w:p>
        </w:tc>
      </w:tr>
      <w:tr>
        <w:trPr/>
        <w:tc>
          <w:tcPr>
            <w:tcW w:w="1025" w:type="dxa"/>
            <w:tcBorders/>
            <w:shd w:fill="CCEEFF" w:val="clear"/>
            <w:vAlign w:val="bottom"/>
          </w:tcPr>
          <w:p>
            <w:pPr>
              <w:pStyle w:val="TableContents"/>
              <w:bidi w:val="0"/>
              <w:spacing w:lineRule="auto" w:line="240" w:before="0" w:after="0"/>
              <w:ind w:left="180" w:right="0" w:hanging="180"/>
              <w:jc w:val="left"/>
              <w:rPr>
                <w:color w:val="000000"/>
              </w:rPr>
            </w:pPr>
            <w:r>
              <w:rPr>
                <w:color w:val="000000"/>
              </w:rPr>
              <w:t>Other segment items(2)</w:t>
            </w:r>
          </w:p>
        </w:tc>
        <w:tc>
          <w:tcPr>
            <w:tcW w:w="90" w:type="dxa"/>
            <w:tcBorders/>
            <w:shd w:fill="CCEEFF" w:val="clear"/>
            <w:vAlign w:val="bottom"/>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37,729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28,967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26,587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23,562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21,877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14,536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16,934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2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4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9,737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3,886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183,815</w:t>
            </w:r>
          </w:p>
        </w:tc>
        <w:tc>
          <w:tcPr>
            <w:tcW w:w="135" w:type="dxa"/>
            <w:tcBorders/>
            <w:shd w:fill="CCEEFF" w:val="clear"/>
            <w:vAlign w:val="bottom"/>
          </w:tcPr>
          <w:p>
            <w:pPr>
              <w:pStyle w:val="TableContents"/>
              <w:bidi w:val="0"/>
              <w:spacing w:before="0" w:after="283"/>
              <w:jc w:val="left"/>
              <w:rPr/>
            </w:pPr>
            <w:r>
              <w:rPr/>
              <w:t> </w:t>
            </w:r>
          </w:p>
        </w:tc>
      </w:tr>
      <w:tr>
        <w:trPr/>
        <w:tc>
          <w:tcPr>
            <w:tcW w:w="1025" w:type="dxa"/>
            <w:tcBorders/>
            <w:vAlign w:val="bottom"/>
          </w:tcPr>
          <w:p>
            <w:pPr>
              <w:pStyle w:val="TableContents"/>
              <w:bidi w:val="0"/>
              <w:spacing w:before="0" w:after="0"/>
              <w:ind w:left="180" w:right="0" w:hanging="180"/>
              <w:jc w:val="left"/>
              <w:rPr>
                <w:color w:val="000000"/>
              </w:rPr>
            </w:pPr>
            <w:r>
              <w:rPr>
                <w:color w:val="000000"/>
              </w:rPr>
              <w:t>Segment contribution</w:t>
            </w:r>
          </w:p>
        </w:tc>
        <w:tc>
          <w:tcPr>
            <w:tcW w:w="90" w:type="dxa"/>
            <w:tcBorders/>
            <w:vAlign w:val="bottom"/>
          </w:tcPr>
          <w:p>
            <w:pPr>
              <w:pStyle w:val="TableContents"/>
              <w:bidi w:val="0"/>
              <w:spacing w:before="0" w:after="283"/>
              <w:jc w:val="left"/>
              <w:rPr/>
            </w:pPr>
            <w:r>
              <w:rPr/>
              <w:t> </w:t>
            </w:r>
          </w:p>
        </w:tc>
        <w:tc>
          <w:tcPr>
            <w:tcW w:w="195"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1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16,816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4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14,457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4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12,222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11,953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5,920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8,329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10,076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22"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348"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3,700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59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(137</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1"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83,336</w:t>
            </w:r>
          </w:p>
        </w:tc>
        <w:tc>
          <w:tcPr>
            <w:tcW w:w="13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tbl>
      <w:tblPr>
        <w:tblW w:w="13065" w:type="dxa"/>
        <w:jc w:val="left"/>
        <w:tblInd w:w="0" w:type="dxa"/>
        <w:tblLayout w:type="fixed"/>
        <w:tblCellMar>
          <w:top w:w="0" w:type="dxa"/>
          <w:left w:w="0" w:type="dxa"/>
          <w:bottom w:w="0" w:type="dxa"/>
          <w:right w:w="0" w:type="dxa"/>
        </w:tblCellMar>
      </w:tblPr>
      <w:tblGrid>
        <w:gridCol w:w="1025"/>
        <w:gridCol w:w="90"/>
        <w:gridCol w:w="171"/>
        <w:gridCol w:w="839"/>
        <w:gridCol w:w="90"/>
        <w:gridCol w:w="90"/>
        <w:gridCol w:w="200"/>
        <w:gridCol w:w="840"/>
        <w:gridCol w:w="90"/>
        <w:gridCol w:w="90"/>
        <w:gridCol w:w="200"/>
        <w:gridCol w:w="840"/>
        <w:gridCol w:w="90"/>
        <w:gridCol w:w="90"/>
        <w:gridCol w:w="170"/>
        <w:gridCol w:w="710"/>
        <w:gridCol w:w="90"/>
        <w:gridCol w:w="90"/>
        <w:gridCol w:w="170"/>
        <w:gridCol w:w="710"/>
        <w:gridCol w:w="90"/>
        <w:gridCol w:w="90"/>
        <w:gridCol w:w="170"/>
        <w:gridCol w:w="710"/>
        <w:gridCol w:w="90"/>
        <w:gridCol w:w="90"/>
        <w:gridCol w:w="170"/>
        <w:gridCol w:w="710"/>
        <w:gridCol w:w="90"/>
        <w:gridCol w:w="90"/>
        <w:gridCol w:w="322"/>
        <w:gridCol w:w="1348"/>
        <w:gridCol w:w="125"/>
        <w:gridCol w:w="90"/>
        <w:gridCol w:w="170"/>
        <w:gridCol w:w="665"/>
        <w:gridCol w:w="125"/>
        <w:gridCol w:w="90"/>
        <w:gridCol w:w="171"/>
        <w:gridCol w:w="839"/>
        <w:gridCol w:w="135"/>
      </w:tblGrid>
      <w:tr>
        <w:trPr/>
        <w:tc>
          <w:tcPr>
            <w:tcW w:w="10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815" w:type="dxa"/>
            <w:gridSpan w:val="38"/>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Six Months Ended June 30, 2026</w:t>
            </w:r>
          </w:p>
        </w:tc>
        <w:tc>
          <w:tcPr>
            <w:tcW w:w="135" w:type="dxa"/>
            <w:tcBorders/>
            <w:vAlign w:val="bottom"/>
          </w:tcPr>
          <w:p>
            <w:pPr>
              <w:pStyle w:val="TableContents"/>
              <w:bidi w:val="0"/>
              <w:spacing w:before="0" w:after="283"/>
              <w:jc w:val="left"/>
              <w:rPr/>
            </w:pPr>
            <w:r>
              <w:rPr/>
              <w:t> </w:t>
            </w:r>
          </w:p>
        </w:tc>
      </w:tr>
      <w:tr>
        <w:trPr/>
        <w:tc>
          <w:tcPr>
            <w:tcW w:w="10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690" w:type="dxa"/>
            <w:gridSpan w:val="2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Nu Skin</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2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Rhyz</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10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color w:val="000000"/>
              </w:rPr>
            </w:pPr>
            <w:r>
              <w:rPr>
                <w:b/>
                <w:color w:val="000000"/>
              </w:rPr>
              <w:t>Mainland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color w:val="000000"/>
              </w:rPr>
            </w:pPr>
            <w:r>
              <w:rPr>
                <w:b/>
                <w:color w:val="000000"/>
              </w:rPr>
              <w:t xml:space="preserve">Southeast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0"/>
              <w:jc w:val="center"/>
              <w:rPr>
                <w:b/>
                <w:color w:val="000000"/>
              </w:rPr>
            </w:pPr>
            <w:r>
              <w:rPr>
                <w:b/>
                <w:color w:val="000000"/>
              </w:rPr>
              <w:t>Europe &amp;</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0"/>
              <w:jc w:val="center"/>
              <w:rPr>
                <w:b/>
                <w:color w:val="000000"/>
              </w:rPr>
            </w:pPr>
            <w:r>
              <w:rPr>
                <w:b/>
                <w:color w:val="000000"/>
              </w:rPr>
              <w:t>Hong Kong/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0"/>
              <w:jc w:val="center"/>
              <w:rPr>
                <w:b/>
                <w:color w:val="000000"/>
              </w:rPr>
            </w:pPr>
            <w:r>
              <w:rPr>
                <w:b/>
                <w:color w:val="000000"/>
              </w:rPr>
              <w:t>South</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5" w:type="dxa"/>
            <w:gridSpan w:val="2"/>
            <w:tcBorders/>
            <w:vAlign w:val="center"/>
          </w:tcPr>
          <w:p>
            <w:pPr>
              <w:pStyle w:val="TableContents"/>
              <w:bidi w:val="0"/>
              <w:spacing w:before="0" w:after="0"/>
              <w:jc w:val="center"/>
              <w:rPr>
                <w:b/>
                <w:color w:val="000000"/>
              </w:rPr>
            </w:pPr>
            <w:r>
              <w:rPr>
                <w:b/>
                <w:color w:val="000000"/>
              </w:rPr>
              <w:t>Rhyz</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0"/>
              <w:jc w:val="center"/>
              <w:rPr>
                <w:b/>
                <w:color w:val="000000"/>
              </w:rPr>
            </w:pPr>
            <w:r>
              <w:rPr>
                <w:b/>
                <w:color w:val="000000"/>
              </w:rPr>
              <w:t>Total</w:t>
            </w:r>
          </w:p>
        </w:tc>
        <w:tc>
          <w:tcPr>
            <w:tcW w:w="135" w:type="dxa"/>
            <w:tcBorders/>
            <w:vAlign w:val="bottom"/>
          </w:tcPr>
          <w:p>
            <w:pPr>
              <w:pStyle w:val="TableContents"/>
              <w:bidi w:val="0"/>
              <w:spacing w:before="0" w:after="283"/>
              <w:jc w:val="left"/>
              <w:rPr/>
            </w:pPr>
            <w:r>
              <w:rPr/>
              <w:t> </w:t>
            </w:r>
          </w:p>
        </w:tc>
      </w:tr>
      <w:tr>
        <w:trPr/>
        <w:tc>
          <w:tcPr>
            <w:tcW w:w="10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Americas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China</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Asia/Pacific</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Japan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Africa</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Taiwan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Korea</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0" w:type="dxa"/>
            <w:gridSpan w:val="2"/>
            <w:tcBorders>
              <w:bottom w:val="single" w:sz="12" w:space="0" w:color="000000"/>
            </w:tcBorders>
            <w:tcMar>
              <w:bottom w:w="28" w:type="dxa"/>
            </w:tcMar>
            <w:vAlign w:val="center"/>
          </w:tcPr>
          <w:p>
            <w:pPr>
              <w:pStyle w:val="TableContents"/>
              <w:bidi w:val="0"/>
              <w:spacing w:lineRule="auto" w:line="240" w:before="0" w:after="0"/>
              <w:jc w:val="center"/>
              <w:rPr>
                <w:b/>
                <w:color w:val="000000"/>
              </w:rPr>
            </w:pPr>
            <w:r>
              <w:rPr>
                <w:b/>
                <w:color w:val="000000"/>
              </w:rPr>
              <w:t>Manufacturing(1)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5"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Other</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Segments</w:t>
            </w:r>
          </w:p>
        </w:tc>
        <w:tc>
          <w:tcPr>
            <w:tcW w:w="135" w:type="dxa"/>
            <w:tcBorders/>
            <w:vAlign w:val="bottom"/>
          </w:tcPr>
          <w:p>
            <w:pPr>
              <w:pStyle w:val="TableContents"/>
              <w:bidi w:val="0"/>
              <w:spacing w:before="0" w:after="283"/>
              <w:jc w:val="left"/>
              <w:rPr/>
            </w:pPr>
            <w:r>
              <w:rPr/>
              <w:t> </w:t>
            </w:r>
          </w:p>
        </w:tc>
      </w:tr>
      <w:tr>
        <w:trPr/>
        <w:tc>
          <w:tcPr>
            <w:tcW w:w="1025" w:type="dxa"/>
            <w:tcBorders/>
            <w:shd w:fill="CCEEFF" w:val="clear"/>
            <w:vAlign w:val="bottom"/>
          </w:tcPr>
          <w:p>
            <w:pPr>
              <w:pStyle w:val="TableContents"/>
              <w:bidi w:val="0"/>
              <w:spacing w:before="0" w:after="0"/>
              <w:ind w:left="180" w:right="0" w:hanging="180"/>
              <w:jc w:val="left"/>
              <w:rPr>
                <w:color w:val="000000"/>
              </w:rPr>
            </w:pPr>
            <w:r>
              <w:rPr>
                <w:color w:val="000000"/>
              </w:rPr>
              <w:t>Revenue</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0"/>
              <w:jc w:val="left"/>
              <w:rPr>
                <w:color w:val="000000"/>
              </w:rPr>
            </w:pPr>
            <w:r>
              <w:rPr>
                <w:color w:val="000000"/>
              </w:rPr>
              <w:t>$</w:t>
            </w:r>
          </w:p>
        </w:tc>
        <w:tc>
          <w:tcPr>
            <w:tcW w:w="839" w:type="dxa"/>
            <w:tcBorders/>
            <w:shd w:fill="CCEEFF" w:val="clear"/>
            <w:vAlign w:val="bottom"/>
          </w:tcPr>
          <w:p>
            <w:pPr>
              <w:pStyle w:val="TableContents"/>
              <w:bidi w:val="0"/>
              <w:spacing w:before="0" w:after="0"/>
              <w:jc w:val="right"/>
              <w:rPr>
                <w:color w:val="000000"/>
              </w:rPr>
            </w:pPr>
            <w:r>
              <w:rPr>
                <w:color w:val="000000"/>
              </w:rPr>
              <w:t>117,581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0"/>
              <w:jc w:val="left"/>
              <w:rPr>
                <w:color w:val="000000"/>
              </w:rPr>
            </w:pPr>
            <w:r>
              <w:rPr>
                <w:color w:val="000000"/>
              </w:rPr>
              <w:t>$</w:t>
            </w:r>
          </w:p>
        </w:tc>
        <w:tc>
          <w:tcPr>
            <w:tcW w:w="840" w:type="dxa"/>
            <w:tcBorders/>
            <w:shd w:fill="CCEEFF" w:val="clear"/>
            <w:vAlign w:val="bottom"/>
          </w:tcPr>
          <w:p>
            <w:pPr>
              <w:pStyle w:val="TableContents"/>
              <w:bidi w:val="0"/>
              <w:spacing w:before="0" w:after="0"/>
              <w:jc w:val="right"/>
              <w:rPr>
                <w:color w:val="000000"/>
              </w:rPr>
            </w:pPr>
            <w:r>
              <w:rPr>
                <w:color w:val="000000"/>
              </w:rPr>
              <w:t>91,104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0"/>
              <w:jc w:val="left"/>
              <w:rPr>
                <w:color w:val="000000"/>
              </w:rPr>
            </w:pPr>
            <w:r>
              <w:rPr>
                <w:color w:val="000000"/>
              </w:rPr>
              <w:t>$</w:t>
            </w:r>
          </w:p>
        </w:tc>
        <w:tc>
          <w:tcPr>
            <w:tcW w:w="840" w:type="dxa"/>
            <w:tcBorders/>
            <w:shd w:fill="CCEEFF" w:val="clear"/>
            <w:vAlign w:val="bottom"/>
          </w:tcPr>
          <w:p>
            <w:pPr>
              <w:pStyle w:val="TableContents"/>
              <w:bidi w:val="0"/>
              <w:spacing w:before="0" w:after="0"/>
              <w:jc w:val="right"/>
              <w:rPr>
                <w:color w:val="000000"/>
              </w:rPr>
            </w:pPr>
            <w:r>
              <w:rPr>
                <w:color w:val="000000"/>
              </w:rPr>
              <w:t>88,730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77,882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63,535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53,531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50,948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0"/>
              <w:jc w:val="left"/>
              <w:rPr>
                <w:color w:val="000000"/>
              </w:rPr>
            </w:pPr>
            <w:r>
              <w:rPr>
                <w:color w:val="000000"/>
              </w:rPr>
              <w:t>$</w:t>
            </w:r>
          </w:p>
        </w:tc>
        <w:tc>
          <w:tcPr>
            <w:tcW w:w="1348" w:type="dxa"/>
            <w:tcBorders/>
            <w:shd w:fill="CCEEFF" w:val="clear"/>
            <w:vAlign w:val="bottom"/>
          </w:tcPr>
          <w:p>
            <w:pPr>
              <w:pStyle w:val="TableContents"/>
              <w:bidi w:val="0"/>
              <w:spacing w:before="0" w:after="0"/>
              <w:jc w:val="right"/>
              <w:rPr>
                <w:color w:val="000000"/>
              </w:rPr>
            </w:pPr>
            <w:r>
              <w:rPr>
                <w:color w:val="000000"/>
              </w:rPr>
              <w:t>91,293</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665" w:type="dxa"/>
            <w:tcBorders/>
            <w:shd w:fill="CCEEFF" w:val="clear"/>
            <w:vAlign w:val="bottom"/>
          </w:tcPr>
          <w:p>
            <w:pPr>
              <w:pStyle w:val="TableContents"/>
              <w:bidi w:val="0"/>
              <w:spacing w:before="0" w:after="0"/>
              <w:jc w:val="right"/>
              <w:rPr>
                <w:color w:val="000000"/>
              </w:rPr>
            </w:pPr>
            <w:r>
              <w:rPr>
                <w:color w:val="000000"/>
              </w:rPr>
              <w:t>6,268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0"/>
              <w:jc w:val="left"/>
              <w:rPr>
                <w:color w:val="000000"/>
              </w:rPr>
            </w:pPr>
            <w:r>
              <w:rPr>
                <w:color w:val="000000"/>
              </w:rPr>
              <w:t>$</w:t>
            </w:r>
          </w:p>
        </w:tc>
        <w:tc>
          <w:tcPr>
            <w:tcW w:w="839" w:type="dxa"/>
            <w:tcBorders/>
            <w:shd w:fill="CCEEFF" w:val="clear"/>
            <w:vAlign w:val="bottom"/>
          </w:tcPr>
          <w:p>
            <w:pPr>
              <w:pStyle w:val="TableContents"/>
              <w:bidi w:val="0"/>
              <w:spacing w:before="0" w:after="0"/>
              <w:jc w:val="right"/>
              <w:rPr>
                <w:color w:val="000000"/>
              </w:rPr>
            </w:pPr>
            <w:r>
              <w:rPr>
                <w:color w:val="000000"/>
              </w:rPr>
              <w:t>640,872</w:t>
            </w:r>
          </w:p>
        </w:tc>
        <w:tc>
          <w:tcPr>
            <w:tcW w:w="135" w:type="dxa"/>
            <w:tcBorders/>
            <w:shd w:fill="CCEEFF" w:val="clear"/>
            <w:vAlign w:val="bottom"/>
          </w:tcPr>
          <w:p>
            <w:pPr>
              <w:pStyle w:val="TableContents"/>
              <w:bidi w:val="0"/>
              <w:spacing w:before="0" w:after="283"/>
              <w:jc w:val="left"/>
              <w:rPr/>
            </w:pPr>
            <w:r>
              <w:rPr/>
              <w:t> </w:t>
            </w:r>
          </w:p>
        </w:tc>
      </w:tr>
      <w:tr>
        <w:trPr/>
        <w:tc>
          <w:tcPr>
            <w:tcW w:w="1025" w:type="dxa"/>
            <w:tcBorders/>
            <w:vAlign w:val="bottom"/>
          </w:tcPr>
          <w:p>
            <w:pPr>
              <w:pStyle w:val="TableContents"/>
              <w:bidi w:val="0"/>
              <w:spacing w:before="0" w:after="0"/>
              <w:ind w:left="180" w:right="0" w:hanging="180"/>
              <w:jc w:val="left"/>
              <w:rPr>
                <w:color w:val="000000"/>
              </w:rPr>
            </w:pPr>
            <w:r>
              <w:rPr>
                <w:color w:val="000000"/>
              </w:rPr>
              <w:t>Cost of sales</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0"/>
              <w:jc w:val="right"/>
              <w:rPr>
                <w:color w:val="000000"/>
              </w:rPr>
            </w:pPr>
            <w:r>
              <w:rPr>
                <w:color w:val="000000"/>
              </w:rPr>
              <w:t>29,263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0"/>
              <w:jc w:val="right"/>
              <w:rPr>
                <w:color w:val="000000"/>
              </w:rPr>
            </w:pPr>
            <w:r>
              <w:rPr>
                <w:color w:val="000000"/>
              </w:rPr>
              <w:t>16,288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0"/>
              <w:jc w:val="right"/>
              <w:rPr>
                <w:color w:val="000000"/>
              </w:rPr>
            </w:pPr>
            <w:r>
              <w:rPr>
                <w:color w:val="000000"/>
              </w:rPr>
              <w:t>21,702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16,415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15,791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8,574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10,927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348" w:type="dxa"/>
            <w:tcBorders/>
            <w:vAlign w:val="bottom"/>
          </w:tcPr>
          <w:p>
            <w:pPr>
              <w:pStyle w:val="TableContents"/>
              <w:bidi w:val="0"/>
              <w:spacing w:before="0" w:after="0"/>
              <w:jc w:val="right"/>
              <w:rPr>
                <w:color w:val="000000"/>
              </w:rPr>
            </w:pPr>
            <w:r>
              <w:rPr>
                <w:color w:val="000000"/>
              </w:rPr>
              <w:t>79,762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0"/>
              <w:jc w:val="right"/>
              <w:rPr>
                <w:color w:val="000000"/>
              </w:rPr>
            </w:pPr>
            <w:r>
              <w:rPr>
                <w:color w:val="000000"/>
              </w:rPr>
              <w:t>4,832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0"/>
              <w:jc w:val="right"/>
              <w:rPr>
                <w:color w:val="000000"/>
              </w:rPr>
            </w:pPr>
            <w:r>
              <w:rPr>
                <w:color w:val="000000"/>
              </w:rPr>
              <w:t>203,554</w:t>
            </w:r>
          </w:p>
        </w:tc>
        <w:tc>
          <w:tcPr>
            <w:tcW w:w="135" w:type="dxa"/>
            <w:tcBorders/>
            <w:vAlign w:val="bottom"/>
          </w:tcPr>
          <w:p>
            <w:pPr>
              <w:pStyle w:val="TableContents"/>
              <w:bidi w:val="0"/>
              <w:spacing w:before="0" w:after="283"/>
              <w:jc w:val="left"/>
              <w:rPr/>
            </w:pPr>
            <w:r>
              <w:rPr/>
              <w:t> </w:t>
            </w:r>
          </w:p>
        </w:tc>
      </w:tr>
      <w:tr>
        <w:trPr/>
        <w:tc>
          <w:tcPr>
            <w:tcW w:w="1025" w:type="dxa"/>
            <w:tcBorders/>
            <w:shd w:fill="CCEEFF" w:val="clear"/>
            <w:vAlign w:val="bottom"/>
          </w:tcPr>
          <w:p>
            <w:pPr>
              <w:pStyle w:val="TableContents"/>
              <w:bidi w:val="0"/>
              <w:spacing w:lineRule="auto" w:line="240" w:before="0" w:after="0"/>
              <w:ind w:left="180" w:right="0" w:hanging="180"/>
              <w:jc w:val="left"/>
              <w:rPr>
                <w:color w:val="000000"/>
              </w:rPr>
            </w:pPr>
            <w:r>
              <w:rPr>
                <w:color w:val="000000"/>
              </w:rPr>
              <w:t>Other segment items(2)</w:t>
            </w:r>
          </w:p>
        </w:tc>
        <w:tc>
          <w:tcPr>
            <w:tcW w:w="90" w:type="dxa"/>
            <w:tcBorders/>
            <w:shd w:fill="CCEEFF" w:val="clear"/>
            <w:vAlign w:val="bottom"/>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66,173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53,655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50,066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39,178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39,404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28,439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25,255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2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48"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12,190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9,591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323,951</w:t>
            </w:r>
          </w:p>
        </w:tc>
        <w:tc>
          <w:tcPr>
            <w:tcW w:w="135" w:type="dxa"/>
            <w:tcBorders/>
            <w:shd w:fill="CCEEFF" w:val="clear"/>
            <w:vAlign w:val="bottom"/>
          </w:tcPr>
          <w:p>
            <w:pPr>
              <w:pStyle w:val="TableContents"/>
              <w:bidi w:val="0"/>
              <w:spacing w:before="0" w:after="283"/>
              <w:jc w:val="left"/>
              <w:rPr/>
            </w:pPr>
            <w:r>
              <w:rPr/>
              <w:t> </w:t>
            </w:r>
          </w:p>
        </w:tc>
      </w:tr>
      <w:tr>
        <w:trPr/>
        <w:tc>
          <w:tcPr>
            <w:tcW w:w="1025" w:type="dxa"/>
            <w:tcBorders/>
            <w:vAlign w:val="bottom"/>
          </w:tcPr>
          <w:p>
            <w:pPr>
              <w:pStyle w:val="TableContents"/>
              <w:bidi w:val="0"/>
              <w:spacing w:before="0" w:after="0"/>
              <w:ind w:left="180" w:right="0" w:hanging="180"/>
              <w:jc w:val="left"/>
              <w:rPr>
                <w:color w:val="000000"/>
              </w:rPr>
            </w:pPr>
            <w:r>
              <w:rPr>
                <w:color w:val="000000"/>
              </w:rPr>
              <w:t>Segment contribution</w:t>
            </w:r>
          </w:p>
        </w:tc>
        <w:tc>
          <w:tcPr>
            <w:tcW w:w="90" w:type="dxa"/>
            <w:tcBorders/>
            <w:vAlign w:val="bottom"/>
          </w:tcPr>
          <w:p>
            <w:pPr>
              <w:pStyle w:val="TableContents"/>
              <w:bidi w:val="0"/>
              <w:spacing w:before="0" w:after="283"/>
              <w:jc w:val="left"/>
              <w:rPr/>
            </w:pPr>
            <w:r>
              <w:rPr/>
              <w:t> </w:t>
            </w:r>
          </w:p>
        </w:tc>
        <w:tc>
          <w:tcPr>
            <w:tcW w:w="171"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22,145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4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21,161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4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16,962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22,289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8,340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16,518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14,766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22"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348"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(659</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66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(8,155</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1"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113,367</w:t>
            </w:r>
          </w:p>
        </w:tc>
        <w:tc>
          <w:tcPr>
            <w:tcW w:w="13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3030" w:type="dxa"/>
        <w:jc w:val="left"/>
        <w:tblInd w:w="0" w:type="dxa"/>
        <w:tblLayout w:type="fixed"/>
        <w:tblCellMar>
          <w:top w:w="0" w:type="dxa"/>
          <w:left w:w="0" w:type="dxa"/>
          <w:bottom w:w="0" w:type="dxa"/>
          <w:right w:w="0" w:type="dxa"/>
        </w:tblCellMar>
      </w:tblPr>
      <w:tblGrid>
        <w:gridCol w:w="1025"/>
        <w:gridCol w:w="90"/>
        <w:gridCol w:w="171"/>
        <w:gridCol w:w="839"/>
        <w:gridCol w:w="90"/>
        <w:gridCol w:w="90"/>
        <w:gridCol w:w="176"/>
        <w:gridCol w:w="864"/>
        <w:gridCol w:w="90"/>
        <w:gridCol w:w="90"/>
        <w:gridCol w:w="176"/>
        <w:gridCol w:w="864"/>
        <w:gridCol w:w="90"/>
        <w:gridCol w:w="90"/>
        <w:gridCol w:w="170"/>
        <w:gridCol w:w="710"/>
        <w:gridCol w:w="90"/>
        <w:gridCol w:w="90"/>
        <w:gridCol w:w="170"/>
        <w:gridCol w:w="710"/>
        <w:gridCol w:w="90"/>
        <w:gridCol w:w="90"/>
        <w:gridCol w:w="170"/>
        <w:gridCol w:w="710"/>
        <w:gridCol w:w="90"/>
        <w:gridCol w:w="90"/>
        <w:gridCol w:w="170"/>
        <w:gridCol w:w="710"/>
        <w:gridCol w:w="90"/>
        <w:gridCol w:w="90"/>
        <w:gridCol w:w="283"/>
        <w:gridCol w:w="1387"/>
        <w:gridCol w:w="90"/>
        <w:gridCol w:w="90"/>
        <w:gridCol w:w="170"/>
        <w:gridCol w:w="665"/>
        <w:gridCol w:w="125"/>
        <w:gridCol w:w="90"/>
        <w:gridCol w:w="171"/>
        <w:gridCol w:w="839"/>
        <w:gridCol w:w="135"/>
      </w:tblGrid>
      <w:tr>
        <w:trPr/>
        <w:tc>
          <w:tcPr>
            <w:tcW w:w="10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780" w:type="dxa"/>
            <w:gridSpan w:val="38"/>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Six Months Ended June 30, 2025</w:t>
            </w:r>
          </w:p>
        </w:tc>
        <w:tc>
          <w:tcPr>
            <w:tcW w:w="135" w:type="dxa"/>
            <w:tcBorders/>
            <w:vAlign w:val="bottom"/>
          </w:tcPr>
          <w:p>
            <w:pPr>
              <w:pStyle w:val="TableContents"/>
              <w:bidi w:val="0"/>
              <w:spacing w:before="0" w:after="283"/>
              <w:jc w:val="left"/>
              <w:rPr/>
            </w:pPr>
            <w:r>
              <w:rPr/>
              <w:t> </w:t>
            </w:r>
          </w:p>
        </w:tc>
      </w:tr>
      <w:tr>
        <w:trPr/>
        <w:tc>
          <w:tcPr>
            <w:tcW w:w="10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7690" w:type="dxa"/>
            <w:gridSpan w:val="2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Nu Skin</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68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Rhyz</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1025"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color w:val="000000"/>
              </w:rPr>
            </w:pPr>
            <w:r>
              <w:rPr>
                <w:b/>
                <w:color w:val="000000"/>
              </w:rPr>
              <w:t>Mainland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color w:val="000000"/>
              </w:rPr>
            </w:pPr>
            <w:r>
              <w:rPr>
                <w:b/>
                <w:color w:val="000000"/>
              </w:rPr>
              <w:t xml:space="preserve">Southeast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0"/>
              <w:jc w:val="center"/>
              <w:rPr>
                <w:b/>
                <w:color w:val="000000"/>
              </w:rPr>
            </w:pPr>
            <w:r>
              <w:rPr>
                <w:b/>
                <w:color w:val="000000"/>
              </w:rPr>
              <w:t>Europe &amp;</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0"/>
              <w:jc w:val="center"/>
              <w:rPr>
                <w:b/>
                <w:color w:val="000000"/>
              </w:rPr>
            </w:pPr>
            <w:r>
              <w:rPr>
                <w:b/>
                <w:color w:val="000000"/>
              </w:rPr>
              <w:t>Hong Kong/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0"/>
              <w:jc w:val="center"/>
              <w:rPr>
                <w:b/>
                <w:color w:val="000000"/>
              </w:rPr>
            </w:pPr>
            <w:r>
              <w:rPr>
                <w:b/>
                <w:color w:val="000000"/>
              </w:rPr>
              <w:t>South</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5" w:type="dxa"/>
            <w:gridSpan w:val="2"/>
            <w:tcBorders/>
            <w:vAlign w:val="center"/>
          </w:tcPr>
          <w:p>
            <w:pPr>
              <w:pStyle w:val="TableContents"/>
              <w:bidi w:val="0"/>
              <w:spacing w:before="0" w:after="0"/>
              <w:jc w:val="center"/>
              <w:rPr>
                <w:b/>
                <w:color w:val="000000"/>
              </w:rPr>
            </w:pPr>
            <w:r>
              <w:rPr>
                <w:b/>
                <w:color w:val="000000"/>
              </w:rPr>
              <w:t>Rhyz</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0"/>
              <w:jc w:val="center"/>
              <w:rPr>
                <w:b/>
                <w:color w:val="000000"/>
              </w:rPr>
            </w:pPr>
            <w:r>
              <w:rPr>
                <w:b/>
                <w:color w:val="000000"/>
              </w:rPr>
              <w:t>Total</w:t>
            </w:r>
          </w:p>
        </w:tc>
        <w:tc>
          <w:tcPr>
            <w:tcW w:w="135" w:type="dxa"/>
            <w:tcBorders/>
            <w:vAlign w:val="bottom"/>
          </w:tcPr>
          <w:p>
            <w:pPr>
              <w:pStyle w:val="TableContents"/>
              <w:bidi w:val="0"/>
              <w:spacing w:before="0" w:after="283"/>
              <w:jc w:val="left"/>
              <w:rPr/>
            </w:pPr>
            <w:r>
              <w:rPr/>
              <w:t> </w:t>
            </w:r>
          </w:p>
        </w:tc>
      </w:tr>
      <w:tr>
        <w:trPr/>
        <w:tc>
          <w:tcPr>
            <w:tcW w:w="1025" w:type="dxa"/>
            <w:tcBorders/>
            <w:vAlign w:val="bottom"/>
          </w:tcPr>
          <w:p>
            <w:pPr>
              <w:pStyle w:val="TableContents"/>
              <w:bidi w:val="0"/>
              <w:spacing w:before="0" w:after="0"/>
              <w:ind w:left="180" w:right="0" w:hanging="180"/>
              <w:jc w:val="left"/>
              <w:rPr/>
            </w:pPr>
            <w:r>
              <w:rPr/>
              <w:t> </w:t>
            </w:r>
          </w:p>
        </w:tc>
        <w:tc>
          <w:tcPr>
            <w:tcW w:w="9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Americas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China</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Asia/Pacific</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Japan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Africa</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Taiwan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Korea</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0" w:type="dxa"/>
            <w:gridSpan w:val="2"/>
            <w:tcBorders>
              <w:bottom w:val="single" w:sz="12" w:space="0" w:color="000000"/>
            </w:tcBorders>
            <w:tcMar>
              <w:bottom w:w="28" w:type="dxa"/>
            </w:tcMar>
            <w:vAlign w:val="center"/>
          </w:tcPr>
          <w:p>
            <w:pPr>
              <w:pStyle w:val="TableContents"/>
              <w:bidi w:val="0"/>
              <w:spacing w:lineRule="auto" w:line="240" w:before="0" w:after="0"/>
              <w:jc w:val="center"/>
              <w:rPr>
                <w:b/>
                <w:color w:val="000000"/>
              </w:rPr>
            </w:pPr>
            <w:r>
              <w:rPr>
                <w:b/>
                <w:color w:val="000000"/>
              </w:rPr>
              <w:t>Manufacturing(1)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5"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Other</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Segments</w:t>
            </w:r>
          </w:p>
        </w:tc>
        <w:tc>
          <w:tcPr>
            <w:tcW w:w="135" w:type="dxa"/>
            <w:tcBorders/>
            <w:vAlign w:val="bottom"/>
          </w:tcPr>
          <w:p>
            <w:pPr>
              <w:pStyle w:val="TableContents"/>
              <w:bidi w:val="0"/>
              <w:spacing w:before="0" w:after="283"/>
              <w:jc w:val="left"/>
              <w:rPr/>
            </w:pPr>
            <w:r>
              <w:rPr/>
              <w:t> </w:t>
            </w:r>
          </w:p>
        </w:tc>
      </w:tr>
      <w:tr>
        <w:trPr/>
        <w:tc>
          <w:tcPr>
            <w:tcW w:w="1025" w:type="dxa"/>
            <w:tcBorders/>
            <w:shd w:fill="CCEEFF" w:val="clear"/>
            <w:vAlign w:val="bottom"/>
          </w:tcPr>
          <w:p>
            <w:pPr>
              <w:pStyle w:val="TableContents"/>
              <w:bidi w:val="0"/>
              <w:spacing w:before="0" w:after="0"/>
              <w:ind w:left="180" w:right="0" w:hanging="180"/>
              <w:jc w:val="left"/>
              <w:rPr>
                <w:color w:val="000000"/>
              </w:rPr>
            </w:pPr>
            <w:r>
              <w:rPr>
                <w:color w:val="000000"/>
              </w:rPr>
              <w:t>Revenue</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0"/>
              <w:jc w:val="left"/>
              <w:rPr>
                <w:color w:val="000000"/>
              </w:rPr>
            </w:pPr>
            <w:r>
              <w:rPr>
                <w:color w:val="000000"/>
              </w:rPr>
              <w:t>$</w:t>
            </w:r>
          </w:p>
        </w:tc>
        <w:tc>
          <w:tcPr>
            <w:tcW w:w="839" w:type="dxa"/>
            <w:tcBorders/>
            <w:shd w:fill="CCEEFF" w:val="clear"/>
            <w:vAlign w:val="bottom"/>
          </w:tcPr>
          <w:p>
            <w:pPr>
              <w:pStyle w:val="TableContents"/>
              <w:bidi w:val="0"/>
              <w:spacing w:before="0" w:after="0"/>
              <w:jc w:val="right"/>
              <w:rPr>
                <w:color w:val="000000"/>
              </w:rPr>
            </w:pPr>
            <w:r>
              <w:rPr>
                <w:color w:val="000000"/>
              </w:rPr>
              <w:t>142,004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0"/>
              <w:jc w:val="left"/>
              <w:rPr>
                <w:color w:val="000000"/>
              </w:rPr>
            </w:pPr>
            <w:r>
              <w:rPr>
                <w:color w:val="000000"/>
              </w:rPr>
              <w:t>$</w:t>
            </w:r>
          </w:p>
        </w:tc>
        <w:tc>
          <w:tcPr>
            <w:tcW w:w="864" w:type="dxa"/>
            <w:tcBorders/>
            <w:shd w:fill="CCEEFF" w:val="clear"/>
            <w:vAlign w:val="bottom"/>
          </w:tcPr>
          <w:p>
            <w:pPr>
              <w:pStyle w:val="TableContents"/>
              <w:bidi w:val="0"/>
              <w:spacing w:before="0" w:after="0"/>
              <w:jc w:val="right"/>
              <w:rPr>
                <w:color w:val="000000"/>
              </w:rPr>
            </w:pPr>
            <w:r>
              <w:rPr>
                <w:color w:val="000000"/>
              </w:rPr>
              <w:t>100,999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0"/>
              <w:jc w:val="left"/>
              <w:rPr>
                <w:color w:val="000000"/>
              </w:rPr>
            </w:pPr>
            <w:r>
              <w:rPr>
                <w:color w:val="000000"/>
              </w:rPr>
              <w:t>$</w:t>
            </w:r>
          </w:p>
        </w:tc>
        <w:tc>
          <w:tcPr>
            <w:tcW w:w="864" w:type="dxa"/>
            <w:tcBorders/>
            <w:shd w:fill="CCEEFF" w:val="clear"/>
            <w:vAlign w:val="bottom"/>
          </w:tcPr>
          <w:p>
            <w:pPr>
              <w:pStyle w:val="TableContents"/>
              <w:bidi w:val="0"/>
              <w:spacing w:before="0" w:after="0"/>
              <w:jc w:val="right"/>
              <w:rPr>
                <w:color w:val="000000"/>
              </w:rPr>
            </w:pPr>
            <w:r>
              <w:rPr>
                <w:color w:val="000000"/>
              </w:rPr>
              <w:t>103,006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87,315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70,349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55,974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66,583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0"/>
              <w:jc w:val="left"/>
              <w:rPr>
                <w:color w:val="000000"/>
              </w:rPr>
            </w:pPr>
            <w:r>
              <w:rPr>
                <w:color w:val="000000"/>
              </w:rPr>
              <w:t>$</w:t>
            </w:r>
          </w:p>
        </w:tc>
        <w:tc>
          <w:tcPr>
            <w:tcW w:w="1387" w:type="dxa"/>
            <w:tcBorders/>
            <w:shd w:fill="CCEEFF" w:val="clear"/>
            <w:vAlign w:val="bottom"/>
          </w:tcPr>
          <w:p>
            <w:pPr>
              <w:pStyle w:val="TableContents"/>
              <w:bidi w:val="0"/>
              <w:spacing w:before="0" w:after="0"/>
              <w:jc w:val="right"/>
              <w:rPr>
                <w:color w:val="000000"/>
              </w:rPr>
            </w:pPr>
            <w:r>
              <w:rPr>
                <w:color w:val="000000"/>
              </w:rPr>
              <w:t>115,690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665" w:type="dxa"/>
            <w:tcBorders/>
            <w:shd w:fill="CCEEFF" w:val="clear"/>
            <w:vAlign w:val="bottom"/>
          </w:tcPr>
          <w:p>
            <w:pPr>
              <w:pStyle w:val="TableContents"/>
              <w:bidi w:val="0"/>
              <w:spacing w:before="0" w:after="0"/>
              <w:jc w:val="right"/>
              <w:rPr>
                <w:color w:val="000000"/>
              </w:rPr>
            </w:pPr>
            <w:r>
              <w:rPr>
                <w:color w:val="000000"/>
              </w:rPr>
              <w:t>7,752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0"/>
              <w:jc w:val="left"/>
              <w:rPr>
                <w:color w:val="000000"/>
              </w:rPr>
            </w:pPr>
            <w:r>
              <w:rPr>
                <w:color w:val="000000"/>
              </w:rPr>
              <w:t>$</w:t>
            </w:r>
          </w:p>
        </w:tc>
        <w:tc>
          <w:tcPr>
            <w:tcW w:w="839" w:type="dxa"/>
            <w:tcBorders/>
            <w:shd w:fill="CCEEFF" w:val="clear"/>
            <w:vAlign w:val="bottom"/>
          </w:tcPr>
          <w:p>
            <w:pPr>
              <w:pStyle w:val="TableContents"/>
              <w:bidi w:val="0"/>
              <w:spacing w:before="0" w:after="0"/>
              <w:jc w:val="right"/>
              <w:rPr>
                <w:color w:val="000000"/>
              </w:rPr>
            </w:pPr>
            <w:r>
              <w:rPr>
                <w:color w:val="000000"/>
              </w:rPr>
              <w:t>749,672</w:t>
            </w:r>
          </w:p>
        </w:tc>
        <w:tc>
          <w:tcPr>
            <w:tcW w:w="135" w:type="dxa"/>
            <w:tcBorders/>
            <w:shd w:fill="CCEEFF" w:val="clear"/>
            <w:vAlign w:val="bottom"/>
          </w:tcPr>
          <w:p>
            <w:pPr>
              <w:pStyle w:val="TableContents"/>
              <w:bidi w:val="0"/>
              <w:spacing w:before="0" w:after="283"/>
              <w:jc w:val="left"/>
              <w:rPr/>
            </w:pPr>
            <w:r>
              <w:rPr/>
              <w:t> </w:t>
            </w:r>
          </w:p>
        </w:tc>
      </w:tr>
      <w:tr>
        <w:trPr/>
        <w:tc>
          <w:tcPr>
            <w:tcW w:w="1025" w:type="dxa"/>
            <w:tcBorders/>
            <w:vAlign w:val="bottom"/>
          </w:tcPr>
          <w:p>
            <w:pPr>
              <w:pStyle w:val="TableContents"/>
              <w:bidi w:val="0"/>
              <w:spacing w:before="0" w:after="0"/>
              <w:ind w:left="180" w:right="0" w:hanging="180"/>
              <w:jc w:val="left"/>
              <w:rPr>
                <w:color w:val="000000"/>
              </w:rPr>
            </w:pPr>
            <w:r>
              <w:rPr>
                <w:color w:val="000000"/>
              </w:rPr>
              <w:t>Cost of sales</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0"/>
              <w:jc w:val="right"/>
              <w:rPr>
                <w:color w:val="000000"/>
              </w:rPr>
            </w:pPr>
            <w:r>
              <w:rPr>
                <w:color w:val="000000"/>
              </w:rPr>
              <w:t>36,167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0"/>
              <w:jc w:val="right"/>
              <w:rPr>
                <w:color w:val="000000"/>
              </w:rPr>
            </w:pPr>
            <w:r>
              <w:rPr>
                <w:color w:val="000000"/>
              </w:rPr>
              <w:t>18,788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0"/>
              <w:jc w:val="right"/>
              <w:rPr>
                <w:color w:val="000000"/>
              </w:rPr>
            </w:pPr>
            <w:r>
              <w:rPr>
                <w:color w:val="000000"/>
              </w:rPr>
              <w:t>25,024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17,789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17,905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9,714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13,499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0"/>
              <w:jc w:val="right"/>
              <w:rPr>
                <w:color w:val="000000"/>
              </w:rPr>
            </w:pPr>
            <w:r>
              <w:rPr>
                <w:color w:val="000000"/>
              </w:rPr>
              <w:t>91,938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0"/>
              <w:jc w:val="right"/>
              <w:rPr>
                <w:color w:val="000000"/>
              </w:rPr>
            </w:pPr>
            <w:r>
              <w:rPr>
                <w:color w:val="000000"/>
              </w:rPr>
              <w:t>2,374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0"/>
              <w:jc w:val="right"/>
              <w:rPr>
                <w:color w:val="000000"/>
              </w:rPr>
            </w:pPr>
            <w:r>
              <w:rPr>
                <w:color w:val="000000"/>
              </w:rPr>
              <w:t>233,198</w:t>
            </w:r>
          </w:p>
        </w:tc>
        <w:tc>
          <w:tcPr>
            <w:tcW w:w="135" w:type="dxa"/>
            <w:tcBorders/>
            <w:vAlign w:val="bottom"/>
          </w:tcPr>
          <w:p>
            <w:pPr>
              <w:pStyle w:val="TableContents"/>
              <w:bidi w:val="0"/>
              <w:spacing w:before="0" w:after="283"/>
              <w:jc w:val="left"/>
              <w:rPr/>
            </w:pPr>
            <w:r>
              <w:rPr/>
              <w:t> </w:t>
            </w:r>
          </w:p>
        </w:tc>
      </w:tr>
      <w:tr>
        <w:trPr/>
        <w:tc>
          <w:tcPr>
            <w:tcW w:w="1025" w:type="dxa"/>
            <w:tcBorders/>
            <w:shd w:fill="CCEEFF" w:val="clear"/>
            <w:vAlign w:val="bottom"/>
          </w:tcPr>
          <w:p>
            <w:pPr>
              <w:pStyle w:val="TableContents"/>
              <w:bidi w:val="0"/>
              <w:spacing w:lineRule="auto" w:line="240" w:before="0" w:after="0"/>
              <w:ind w:left="180" w:right="0" w:hanging="180"/>
              <w:jc w:val="left"/>
              <w:rPr>
                <w:color w:val="000000"/>
              </w:rPr>
            </w:pPr>
            <w:r>
              <w:rPr>
                <w:color w:val="000000"/>
              </w:rPr>
              <w:t>Other segment items(2)</w:t>
            </w:r>
          </w:p>
        </w:tc>
        <w:tc>
          <w:tcPr>
            <w:tcW w:w="90" w:type="dxa"/>
            <w:tcBorders/>
            <w:shd w:fill="CCEEFF" w:val="clear"/>
            <w:vAlign w:val="bottom"/>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73,274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57,202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4"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53,610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45,719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41,862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28,241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32,256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8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87"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18,273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7,895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358,332</w:t>
            </w:r>
          </w:p>
        </w:tc>
        <w:tc>
          <w:tcPr>
            <w:tcW w:w="135" w:type="dxa"/>
            <w:tcBorders/>
            <w:shd w:fill="CCEEFF" w:val="clear"/>
            <w:vAlign w:val="bottom"/>
          </w:tcPr>
          <w:p>
            <w:pPr>
              <w:pStyle w:val="TableContents"/>
              <w:bidi w:val="0"/>
              <w:spacing w:before="0" w:after="283"/>
              <w:jc w:val="left"/>
              <w:rPr/>
            </w:pPr>
            <w:r>
              <w:rPr/>
              <w:t> </w:t>
            </w:r>
          </w:p>
        </w:tc>
      </w:tr>
      <w:tr>
        <w:trPr/>
        <w:tc>
          <w:tcPr>
            <w:tcW w:w="1025" w:type="dxa"/>
            <w:tcBorders/>
            <w:vAlign w:val="bottom"/>
          </w:tcPr>
          <w:p>
            <w:pPr>
              <w:pStyle w:val="TableContents"/>
              <w:bidi w:val="0"/>
              <w:spacing w:before="0" w:after="0"/>
              <w:ind w:left="180" w:right="0" w:hanging="180"/>
              <w:jc w:val="left"/>
              <w:rPr>
                <w:color w:val="000000"/>
              </w:rPr>
            </w:pPr>
            <w:r>
              <w:rPr>
                <w:color w:val="000000"/>
              </w:rPr>
              <w:t>Segment contribution</w:t>
            </w:r>
          </w:p>
        </w:tc>
        <w:tc>
          <w:tcPr>
            <w:tcW w:w="90" w:type="dxa"/>
            <w:tcBorders/>
            <w:vAlign w:val="bottom"/>
          </w:tcPr>
          <w:p>
            <w:pPr>
              <w:pStyle w:val="TableContents"/>
              <w:bidi w:val="0"/>
              <w:spacing w:before="0" w:after="283"/>
              <w:jc w:val="left"/>
              <w:rPr/>
            </w:pPr>
            <w:r>
              <w:rPr/>
              <w:t> </w:t>
            </w:r>
          </w:p>
        </w:tc>
        <w:tc>
          <w:tcPr>
            <w:tcW w:w="171"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32,563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6"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64"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25,009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6"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64"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24,372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23,807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10,582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18,019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20,828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83"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1387"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5,479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665"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(2,517</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1"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3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158,142</w:t>
            </w:r>
          </w:p>
        </w:tc>
        <w:tc>
          <w:tcPr>
            <w:tcW w:w="13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pPr>
            <w:r>
              <w:rPr/>
              <w:t>(1)</w:t>
            </w:r>
          </w:p>
        </w:tc>
        <w:tc>
          <w:tcPr>
            <w:tcW w:w="9928" w:type="dxa"/>
            <w:tcBorders/>
            <w:vAlign w:val="center"/>
          </w:tcPr>
          <w:p>
            <w:pPr>
              <w:pStyle w:val="TableContents"/>
              <w:bidi w:val="0"/>
              <w:spacing w:before="0" w:after="0"/>
              <w:jc w:val="both"/>
              <w:rPr/>
            </w:pPr>
            <w:r>
              <w:rPr/>
              <w:t>The Manufacturing segment had $8.8 million and $8.6 million of intersegment revenue for the three months ended June 30, 2026 and 2025, respectively, and $16.1 million and $17.5 million for the six months ended June 30, 2026 and 2025, respectively. Intersegment revenue is eliminated in the consolidated financial statements, as well as the reported segment revenue in the table above.</w:t>
            </w:r>
          </w:p>
        </w:tc>
      </w:tr>
    </w:tbl>
    <w:p>
      <w:pPr>
        <w:pStyle w:val="TextBody"/>
        <w:bidi w:val="0"/>
        <w:spacing w:before="0" w:after="0"/>
        <w:jc w:val="left"/>
        <w:rPr/>
      </w:pPr>
      <w:r>
        <w:rPr/>
      </w:r>
    </w:p>
    <w:tbl>
      <w:tblPr>
        <w:tblW w:w="9535" w:type="dxa"/>
        <w:jc w:val="left"/>
        <w:tblInd w:w="0" w:type="dxa"/>
        <w:tblLayout w:type="fixed"/>
        <w:tblCellMar>
          <w:top w:w="0" w:type="dxa"/>
          <w:left w:w="0" w:type="dxa"/>
          <w:bottom w:w="0" w:type="dxa"/>
          <w:right w:w="0" w:type="dxa"/>
        </w:tblCellMar>
      </w:tblPr>
      <w:tblGrid>
        <w:gridCol w:w="335"/>
        <w:gridCol w:w="9200"/>
      </w:tblGrid>
      <w:tr>
        <w:trPr/>
        <w:tc>
          <w:tcPr>
            <w:tcW w:w="335" w:type="dxa"/>
            <w:tcBorders/>
            <w:vAlign w:val="center"/>
          </w:tcPr>
          <w:p>
            <w:pPr>
              <w:pStyle w:val="TableContents"/>
              <w:bidi w:val="0"/>
              <w:spacing w:before="0" w:after="283"/>
              <w:jc w:val="left"/>
              <w:rPr>
                <w:color w:val="000000"/>
              </w:rPr>
            </w:pPr>
            <w:r>
              <w:rPr>
                <w:color w:val="000000"/>
              </w:rPr>
              <w:t>(2)</w:t>
            </w:r>
          </w:p>
        </w:tc>
        <w:tc>
          <w:tcPr>
            <w:tcW w:w="9200" w:type="dxa"/>
            <w:tcBorders/>
            <w:vAlign w:val="center"/>
          </w:tcPr>
          <w:p>
            <w:pPr>
              <w:pStyle w:val="TableContents"/>
              <w:bidi w:val="0"/>
              <w:spacing w:before="0" w:after="0"/>
              <w:jc w:val="both"/>
              <w:rPr>
                <w:color w:val="000000"/>
              </w:rPr>
            </w:pPr>
            <w:r>
              <w:rPr>
                <w:color w:val="000000"/>
              </w:rPr>
              <w:t>Other segment items primarily include selling expenses and general and administrative expenses</w:t>
            </w:r>
            <w:r>
              <w:rPr>
                <w:b/>
                <w:color w:val="000000"/>
              </w:rPr>
              <w:t>.</w:t>
            </w:r>
          </w:p>
        </w:tc>
      </w:tr>
    </w:tbl>
    <w:p>
      <w:pPr>
        <w:pStyle w:val="TextBody"/>
        <w:bidi w:val="0"/>
        <w:spacing w:before="0" w:after="0"/>
        <w:jc w:val="left"/>
        <w:rPr/>
      </w:pPr>
      <w:r>
        <w:rPr/>
      </w:r>
    </w:p>
    <w:tbl>
      <w:tblPr>
        <w:tblW w:w="7486" w:type="dxa"/>
        <w:jc w:val="left"/>
        <w:tblInd w:w="0" w:type="dxa"/>
        <w:tblLayout w:type="fixed"/>
        <w:tblCellMar>
          <w:top w:w="0" w:type="dxa"/>
          <w:left w:w="0" w:type="dxa"/>
          <w:bottom w:w="0" w:type="dxa"/>
          <w:right w:w="0" w:type="dxa"/>
        </w:tblCellMar>
      </w:tblPr>
      <w:tblGrid>
        <w:gridCol w:w="2630"/>
        <w:gridCol w:w="90"/>
        <w:gridCol w:w="174"/>
        <w:gridCol w:w="852"/>
        <w:gridCol w:w="92"/>
        <w:gridCol w:w="92"/>
        <w:gridCol w:w="174"/>
        <w:gridCol w:w="852"/>
        <w:gridCol w:w="90"/>
        <w:gridCol w:w="90"/>
        <w:gridCol w:w="170"/>
        <w:gridCol w:w="830"/>
        <w:gridCol w:w="125"/>
        <w:gridCol w:w="90"/>
        <w:gridCol w:w="170"/>
        <w:gridCol w:w="830"/>
        <w:gridCol w:w="135"/>
      </w:tblGrid>
      <w:tr>
        <w:trPr/>
        <w:tc>
          <w:tcPr>
            <w:tcW w:w="2630"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r>
          </w:p>
        </w:tc>
        <w:tc>
          <w:tcPr>
            <w:tcW w:w="2236"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w:t>
            </w:r>
          </w:p>
          <w:p>
            <w:pPr>
              <w:pStyle w:val="TableContents"/>
              <w:bidi w:val="0"/>
              <w:spacing w:before="0" w:after="0"/>
              <w:jc w:val="center"/>
              <w:rPr>
                <w:b/>
                <w:color w:val="000000"/>
              </w:rPr>
            </w:pPr>
            <w:r>
              <w:rPr>
                <w:b/>
                <w:color w:val="000000"/>
              </w:rPr>
              <w:t>June 30,</w:t>
            </w:r>
          </w:p>
        </w:tc>
        <w:tc>
          <w:tcPr>
            <w:tcW w:w="90"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r>
          </w:p>
        </w:tc>
        <w:tc>
          <w:tcPr>
            <w:tcW w:w="221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Six Months Ended</w:t>
            </w:r>
          </w:p>
          <w:p>
            <w:pPr>
              <w:pStyle w:val="TableContents"/>
              <w:bidi w:val="0"/>
              <w:spacing w:before="0" w:after="0"/>
              <w:jc w:val="center"/>
              <w:rPr>
                <w:b/>
                <w:color w:val="000000"/>
              </w:rPr>
            </w:pPr>
            <w:r>
              <w:rPr>
                <w:b/>
                <w:color w:val="000000"/>
              </w:rPr>
              <w:t>June 30,</w:t>
            </w:r>
          </w:p>
        </w:tc>
        <w:tc>
          <w:tcPr>
            <w:tcW w:w="135" w:type="dxa"/>
            <w:tcBorders/>
            <w:vAlign w:val="bottom"/>
          </w:tcPr>
          <w:p>
            <w:pPr>
              <w:pStyle w:val="TableContents"/>
              <w:bidi w:val="0"/>
              <w:spacing w:before="0" w:after="283"/>
              <w:jc w:val="left"/>
              <w:rPr/>
            </w:pPr>
            <w:r>
              <w:rPr/>
            </w:r>
          </w:p>
        </w:tc>
      </w:tr>
      <w:tr>
        <w:trPr/>
        <w:tc>
          <w:tcPr>
            <w:tcW w:w="26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2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92"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026"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35" w:type="dxa"/>
            <w:tcBorders/>
            <w:vAlign w:val="bottom"/>
          </w:tcPr>
          <w:p>
            <w:pPr>
              <w:pStyle w:val="TableContents"/>
              <w:bidi w:val="0"/>
              <w:spacing w:before="0" w:after="283"/>
              <w:jc w:val="left"/>
              <w:rPr/>
            </w:pPr>
            <w:r>
              <w:rPr/>
              <w:t> </w:t>
            </w:r>
          </w:p>
        </w:tc>
      </w:tr>
      <w:tr>
        <w:trPr/>
        <w:tc>
          <w:tcPr>
            <w:tcW w:w="2630" w:type="dxa"/>
            <w:tcBorders/>
            <w:shd w:fill="CCEEFF" w:val="clear"/>
            <w:vAlign w:val="bottom"/>
          </w:tcPr>
          <w:p>
            <w:pPr>
              <w:pStyle w:val="TableContents"/>
              <w:bidi w:val="0"/>
              <w:spacing w:before="0" w:after="0"/>
              <w:jc w:val="left"/>
              <w:rPr>
                <w:color w:val="000000"/>
              </w:rPr>
            </w:pPr>
            <w:r>
              <w:rPr>
                <w:color w:val="000000"/>
              </w:rPr>
              <w:t>Total segment revenue</w:t>
            </w:r>
          </w:p>
        </w:tc>
        <w:tc>
          <w:tcPr>
            <w:tcW w:w="9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0"/>
              <w:jc w:val="left"/>
              <w:rPr>
                <w:color w:val="000000"/>
              </w:rPr>
            </w:pPr>
            <w:r>
              <w:rPr>
                <w:color w:val="000000"/>
              </w:rPr>
              <w:t>$</w:t>
            </w:r>
          </w:p>
        </w:tc>
        <w:tc>
          <w:tcPr>
            <w:tcW w:w="852" w:type="dxa"/>
            <w:tcBorders/>
            <w:shd w:fill="CCEEFF" w:val="clear"/>
            <w:vAlign w:val="bottom"/>
          </w:tcPr>
          <w:p>
            <w:pPr>
              <w:pStyle w:val="TableContents"/>
              <w:bidi w:val="0"/>
              <w:spacing w:before="0" w:after="0"/>
              <w:jc w:val="right"/>
              <w:rPr>
                <w:color w:val="000000"/>
              </w:rPr>
            </w:pPr>
            <w:r>
              <w:rPr>
                <w:color w:val="000000"/>
              </w:rPr>
              <w:t>320,033</w:t>
            </w:r>
          </w:p>
        </w:tc>
        <w:tc>
          <w:tcPr>
            <w:tcW w:w="92"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0"/>
              <w:jc w:val="left"/>
              <w:rPr>
                <w:color w:val="000000"/>
              </w:rPr>
            </w:pPr>
            <w:r>
              <w:rPr>
                <w:color w:val="000000"/>
              </w:rPr>
              <w:t>$</w:t>
            </w:r>
          </w:p>
        </w:tc>
        <w:tc>
          <w:tcPr>
            <w:tcW w:w="852" w:type="dxa"/>
            <w:tcBorders/>
            <w:shd w:fill="CCEEFF" w:val="clear"/>
            <w:vAlign w:val="bottom"/>
          </w:tcPr>
          <w:p>
            <w:pPr>
              <w:pStyle w:val="TableContents"/>
              <w:bidi w:val="0"/>
              <w:spacing w:before="0" w:after="0"/>
              <w:jc w:val="right"/>
              <w:rPr>
                <w:color w:val="000000"/>
              </w:rPr>
            </w:pPr>
            <w:r>
              <w:rPr>
                <w:color w:val="000000"/>
              </w:rPr>
              <w:t>385,711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640,872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830" w:type="dxa"/>
            <w:tcBorders/>
            <w:shd w:fill="CCEEFF" w:val="clear"/>
            <w:vAlign w:val="bottom"/>
          </w:tcPr>
          <w:p>
            <w:pPr>
              <w:pStyle w:val="TableContents"/>
              <w:bidi w:val="0"/>
              <w:spacing w:before="0" w:after="0"/>
              <w:jc w:val="right"/>
              <w:rPr>
                <w:color w:val="000000"/>
              </w:rPr>
            </w:pPr>
            <w:r>
              <w:rPr>
                <w:color w:val="000000"/>
              </w:rPr>
              <w:t>749,672</w:t>
            </w:r>
          </w:p>
        </w:tc>
        <w:tc>
          <w:tcPr>
            <w:tcW w:w="135" w:type="dxa"/>
            <w:tcBorders/>
            <w:shd w:fill="CCEEFF" w:val="clear"/>
            <w:vAlign w:val="bottom"/>
          </w:tcPr>
          <w:p>
            <w:pPr>
              <w:pStyle w:val="TableContents"/>
              <w:bidi w:val="0"/>
              <w:spacing w:before="0" w:after="283"/>
              <w:jc w:val="left"/>
              <w:rPr/>
            </w:pPr>
            <w:r>
              <w:rPr/>
              <w:t> </w:t>
            </w:r>
          </w:p>
        </w:tc>
      </w:tr>
      <w:tr>
        <w:trPr/>
        <w:tc>
          <w:tcPr>
            <w:tcW w:w="2630" w:type="dxa"/>
            <w:tcBorders/>
            <w:vAlign w:val="bottom"/>
          </w:tcPr>
          <w:p>
            <w:pPr>
              <w:pStyle w:val="TableContents"/>
              <w:bidi w:val="0"/>
              <w:spacing w:before="0" w:after="0"/>
              <w:jc w:val="left"/>
              <w:rPr>
                <w:color w:val="000000"/>
              </w:rPr>
            </w:pPr>
            <w:r>
              <w:rPr>
                <w:color w:val="000000"/>
              </w:rPr>
              <w:t>Core Nu Skin Adjustments</w:t>
            </w:r>
          </w:p>
        </w:tc>
        <w:tc>
          <w:tcPr>
            <w:tcW w:w="90" w:type="dxa"/>
            <w:tcBorders/>
            <w:vAlign w:val="bottom"/>
          </w:tcPr>
          <w:p>
            <w:pPr>
              <w:pStyle w:val="TableContents"/>
              <w:bidi w:val="0"/>
              <w:spacing w:before="0" w:after="283"/>
              <w:jc w:val="left"/>
              <w:rPr/>
            </w:pPr>
            <w:r>
              <w:rPr/>
              <w:t> </w:t>
            </w:r>
          </w:p>
        </w:tc>
        <w:tc>
          <w:tcPr>
            <w:tcW w:w="174" w:type="dxa"/>
            <w:tcBorders>
              <w:bottom w:val="single" w:sz="12" w:space="0" w:color="000000"/>
            </w:tcBorders>
            <w:tcMar>
              <w:bottom w:w="28" w:type="dxa"/>
            </w:tcMar>
            <w:vAlign w:val="bottom"/>
          </w:tcPr>
          <w:p>
            <w:pPr>
              <w:pStyle w:val="TableContents"/>
              <w:bidi w:val="0"/>
              <w:spacing w:before="0" w:after="283"/>
              <w:jc w:val="left"/>
              <w:rPr/>
            </w:pPr>
            <w:r>
              <w:rPr/>
              <w:t> </w:t>
            </w:r>
          </w:p>
        </w:tc>
        <w:tc>
          <w:tcPr>
            <w:tcW w:w="85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79</w:t>
            </w:r>
          </w:p>
        </w:tc>
        <w:tc>
          <w:tcPr>
            <w:tcW w:w="92"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74" w:type="dxa"/>
            <w:tcBorders>
              <w:bottom w:val="single" w:sz="12" w:space="0" w:color="000000"/>
            </w:tcBorders>
            <w:tcMar>
              <w:bottom w:w="28" w:type="dxa"/>
            </w:tcMar>
            <w:vAlign w:val="bottom"/>
          </w:tcPr>
          <w:p>
            <w:pPr>
              <w:pStyle w:val="TableContents"/>
              <w:bidi w:val="0"/>
              <w:spacing w:before="0" w:after="283"/>
              <w:jc w:val="left"/>
              <w:rPr/>
            </w:pPr>
            <w:r>
              <w:rPr/>
              <w:t> </w:t>
            </w:r>
          </w:p>
        </w:tc>
        <w:tc>
          <w:tcPr>
            <w:tcW w:w="852"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427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(152</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956</w:t>
            </w:r>
          </w:p>
        </w:tc>
        <w:tc>
          <w:tcPr>
            <w:tcW w:w="135" w:type="dxa"/>
            <w:tcBorders/>
            <w:vAlign w:val="bottom"/>
          </w:tcPr>
          <w:p>
            <w:pPr>
              <w:pStyle w:val="TableContents"/>
              <w:bidi w:val="0"/>
              <w:spacing w:before="0" w:after="283"/>
              <w:jc w:val="left"/>
              <w:rPr/>
            </w:pPr>
            <w:r>
              <w:rPr/>
              <w:t> </w:t>
            </w:r>
          </w:p>
        </w:tc>
      </w:tr>
      <w:tr>
        <w:trPr/>
        <w:tc>
          <w:tcPr>
            <w:tcW w:w="2630" w:type="dxa"/>
            <w:tcBorders/>
            <w:shd w:fill="CCEEFF" w:val="clear"/>
            <w:vAlign w:val="bottom"/>
          </w:tcPr>
          <w:p>
            <w:pPr>
              <w:pStyle w:val="TableContents"/>
              <w:bidi w:val="0"/>
              <w:spacing w:before="0" w:after="0"/>
              <w:jc w:val="left"/>
              <w:rPr>
                <w:color w:val="000000"/>
              </w:rPr>
            </w:pPr>
            <w:r>
              <w:rPr>
                <w:color w:val="000000"/>
              </w:rPr>
              <w:t>Total revenue</w:t>
            </w:r>
          </w:p>
        </w:tc>
        <w:tc>
          <w:tcPr>
            <w:tcW w:w="90" w:type="dxa"/>
            <w:tcBorders/>
            <w:shd w:fill="CCEEFF" w:val="clear"/>
            <w:vAlign w:val="bottom"/>
          </w:tcPr>
          <w:p>
            <w:pPr>
              <w:pStyle w:val="TableContents"/>
              <w:bidi w:val="0"/>
              <w:spacing w:before="0" w:after="283"/>
              <w:jc w:val="left"/>
              <w:rPr/>
            </w:pPr>
            <w:r>
              <w:rPr/>
              <w:t> </w:t>
            </w:r>
          </w:p>
        </w:tc>
        <w:tc>
          <w:tcPr>
            <w:tcW w:w="174"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52"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320,112</w:t>
            </w:r>
          </w:p>
        </w:tc>
        <w:tc>
          <w:tcPr>
            <w:tcW w:w="92"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74"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52"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386,138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640,720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830"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750,628</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9080" w:type="dxa"/>
        <w:jc w:val="left"/>
        <w:tblInd w:w="0" w:type="dxa"/>
        <w:tblLayout w:type="fixed"/>
        <w:tblCellMar>
          <w:top w:w="0" w:type="dxa"/>
          <w:left w:w="0" w:type="dxa"/>
          <w:bottom w:w="0" w:type="dxa"/>
          <w:right w:w="0" w:type="dxa"/>
        </w:tblCellMar>
      </w:tblPr>
      <w:tblGrid>
        <w:gridCol w:w="3995"/>
        <w:gridCol w:w="90"/>
        <w:gridCol w:w="170"/>
        <w:gridCol w:w="905"/>
        <w:gridCol w:w="125"/>
        <w:gridCol w:w="90"/>
        <w:gridCol w:w="170"/>
        <w:gridCol w:w="785"/>
        <w:gridCol w:w="125"/>
        <w:gridCol w:w="90"/>
        <w:gridCol w:w="170"/>
        <w:gridCol w:w="905"/>
        <w:gridCol w:w="125"/>
        <w:gridCol w:w="90"/>
        <w:gridCol w:w="170"/>
        <w:gridCol w:w="905"/>
        <w:gridCol w:w="170"/>
      </w:tblGrid>
      <w:tr>
        <w:trPr/>
        <w:tc>
          <w:tcPr>
            <w:tcW w:w="3995"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r>
          </w:p>
        </w:tc>
        <w:tc>
          <w:tcPr>
            <w:tcW w:w="224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w:t>
            </w:r>
          </w:p>
          <w:p>
            <w:pPr>
              <w:pStyle w:val="TableContents"/>
              <w:bidi w:val="0"/>
              <w:spacing w:before="0" w:after="0"/>
              <w:jc w:val="center"/>
              <w:rPr>
                <w:b/>
                <w:color w:val="000000"/>
              </w:rPr>
            </w:pPr>
            <w:r>
              <w:rPr>
                <w:b/>
                <w:color w:val="000000"/>
              </w:rPr>
              <w:t>June 30,</w:t>
            </w:r>
          </w:p>
        </w:tc>
        <w:tc>
          <w:tcPr>
            <w:tcW w:w="125"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r>
          </w:p>
        </w:tc>
        <w:tc>
          <w:tcPr>
            <w:tcW w:w="2365"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Six Months Ended</w:t>
            </w:r>
          </w:p>
          <w:p>
            <w:pPr>
              <w:pStyle w:val="TableContents"/>
              <w:bidi w:val="0"/>
              <w:spacing w:before="0" w:after="0"/>
              <w:jc w:val="center"/>
              <w:rPr>
                <w:b/>
                <w:color w:val="000000"/>
              </w:rPr>
            </w:pPr>
            <w:r>
              <w:rPr>
                <w:b/>
                <w:color w:val="000000"/>
              </w:rPr>
              <w:t>June 30,</w:t>
            </w:r>
          </w:p>
        </w:tc>
        <w:tc>
          <w:tcPr>
            <w:tcW w:w="170" w:type="dxa"/>
            <w:tcBorders/>
            <w:vAlign w:val="bottom"/>
          </w:tcPr>
          <w:p>
            <w:pPr>
              <w:pStyle w:val="TableContents"/>
              <w:bidi w:val="0"/>
              <w:spacing w:before="0" w:after="283"/>
              <w:jc w:val="left"/>
              <w:rPr/>
            </w:pPr>
            <w:r>
              <w:rPr/>
            </w:r>
          </w:p>
        </w:tc>
      </w:tr>
      <w:tr>
        <w:trPr/>
        <w:tc>
          <w:tcPr>
            <w:tcW w:w="399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5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70" w:type="dxa"/>
            <w:tcBorders/>
            <w:vAlign w:val="bottom"/>
          </w:tcPr>
          <w:p>
            <w:pPr>
              <w:pStyle w:val="TableContents"/>
              <w:bidi w:val="0"/>
              <w:spacing w:before="0" w:after="283"/>
              <w:jc w:val="left"/>
              <w:rPr/>
            </w:pPr>
            <w:r>
              <w:rPr/>
              <w:t> </w:t>
            </w:r>
          </w:p>
        </w:tc>
      </w:tr>
      <w:tr>
        <w:trPr/>
        <w:tc>
          <w:tcPr>
            <w:tcW w:w="3995" w:type="dxa"/>
            <w:tcBorders/>
            <w:shd w:fill="CCEEFF" w:val="clear"/>
            <w:vAlign w:val="bottom"/>
          </w:tcPr>
          <w:p>
            <w:pPr>
              <w:pStyle w:val="TableContents"/>
              <w:bidi w:val="0"/>
              <w:spacing w:before="0" w:after="0"/>
              <w:jc w:val="left"/>
              <w:rPr>
                <w:color w:val="000000"/>
              </w:rPr>
            </w:pPr>
            <w:r>
              <w:rPr>
                <w:color w:val="000000"/>
              </w:rPr>
              <w:t>Total segment contribution</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905" w:type="dxa"/>
            <w:tcBorders/>
            <w:shd w:fill="CCEEFF" w:val="clear"/>
            <w:vAlign w:val="bottom"/>
          </w:tcPr>
          <w:p>
            <w:pPr>
              <w:pStyle w:val="TableContents"/>
              <w:bidi w:val="0"/>
              <w:spacing w:before="0" w:after="0"/>
              <w:jc w:val="right"/>
              <w:rPr>
                <w:color w:val="000000"/>
              </w:rPr>
            </w:pPr>
            <w:r>
              <w:rPr>
                <w:color w:val="000000"/>
              </w:rPr>
              <w:t>59,986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85" w:type="dxa"/>
            <w:tcBorders/>
            <w:shd w:fill="CCEEFF" w:val="clear"/>
            <w:vAlign w:val="bottom"/>
          </w:tcPr>
          <w:p>
            <w:pPr>
              <w:pStyle w:val="TableContents"/>
              <w:bidi w:val="0"/>
              <w:spacing w:before="0" w:after="0"/>
              <w:jc w:val="right"/>
              <w:rPr>
                <w:color w:val="000000"/>
              </w:rPr>
            </w:pPr>
            <w:r>
              <w:rPr>
                <w:color w:val="000000"/>
              </w:rPr>
              <w:t>83,336</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905" w:type="dxa"/>
            <w:tcBorders/>
            <w:shd w:fill="CCEEFF" w:val="clear"/>
            <w:vAlign w:val="bottom"/>
          </w:tcPr>
          <w:p>
            <w:pPr>
              <w:pStyle w:val="TableContents"/>
              <w:bidi w:val="0"/>
              <w:spacing w:before="0" w:after="0"/>
              <w:jc w:val="right"/>
              <w:rPr>
                <w:color w:val="000000"/>
              </w:rPr>
            </w:pPr>
            <w:r>
              <w:rPr>
                <w:color w:val="000000"/>
              </w:rPr>
              <w:t>113,367</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905" w:type="dxa"/>
            <w:tcBorders/>
            <w:shd w:fill="CCEEFF" w:val="clear"/>
            <w:vAlign w:val="bottom"/>
          </w:tcPr>
          <w:p>
            <w:pPr>
              <w:pStyle w:val="TableContents"/>
              <w:bidi w:val="0"/>
              <w:spacing w:before="0" w:after="0"/>
              <w:jc w:val="right"/>
              <w:rPr>
                <w:color w:val="000000"/>
              </w:rPr>
            </w:pPr>
            <w:r>
              <w:rPr>
                <w:color w:val="000000"/>
              </w:rPr>
              <w:t>158,142</w:t>
            </w:r>
          </w:p>
        </w:tc>
        <w:tc>
          <w:tcPr>
            <w:tcW w:w="170" w:type="dxa"/>
            <w:tcBorders/>
            <w:shd w:fill="CCEEFF" w:val="clear"/>
            <w:vAlign w:val="bottom"/>
          </w:tcPr>
          <w:p>
            <w:pPr>
              <w:pStyle w:val="TableContents"/>
              <w:bidi w:val="0"/>
              <w:spacing w:before="0" w:after="283"/>
              <w:jc w:val="left"/>
              <w:rPr/>
            </w:pPr>
            <w:r>
              <w:rPr/>
              <w:t> </w:t>
            </w:r>
          </w:p>
        </w:tc>
      </w:tr>
      <w:tr>
        <w:trPr/>
        <w:tc>
          <w:tcPr>
            <w:tcW w:w="3995" w:type="dxa"/>
            <w:tcBorders/>
            <w:vAlign w:val="bottom"/>
          </w:tcPr>
          <w:p>
            <w:pPr>
              <w:pStyle w:val="TableContents"/>
              <w:bidi w:val="0"/>
              <w:spacing w:before="0" w:after="0"/>
              <w:jc w:val="left"/>
              <w:rPr>
                <w:color w:val="000000"/>
              </w:rPr>
            </w:pPr>
            <w:r>
              <w:rPr>
                <w:color w:val="000000"/>
              </w:rPr>
              <w:t>Corporate and Other</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(119,305</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(52,556</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(168,660</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(137,265</w:t>
            </w:r>
          </w:p>
        </w:tc>
        <w:tc>
          <w:tcPr>
            <w:tcW w:w="170" w:type="dxa"/>
            <w:tcBorders/>
            <w:vAlign w:val="bottom"/>
          </w:tcPr>
          <w:p>
            <w:pPr>
              <w:pStyle w:val="TableContents"/>
              <w:bidi w:val="0"/>
              <w:spacing w:before="0" w:after="0"/>
              <w:jc w:val="left"/>
              <w:rPr>
                <w:color w:val="000000"/>
              </w:rPr>
            </w:pPr>
            <w:r>
              <w:rPr>
                <w:color w:val="000000"/>
              </w:rPr>
              <w:t>)</w:t>
            </w:r>
          </w:p>
        </w:tc>
      </w:tr>
      <w:tr>
        <w:trPr/>
        <w:tc>
          <w:tcPr>
            <w:tcW w:w="3995" w:type="dxa"/>
            <w:tcBorders/>
            <w:shd w:fill="CCEEFF" w:val="clear"/>
            <w:vAlign w:val="bottom"/>
          </w:tcPr>
          <w:p>
            <w:pPr>
              <w:pStyle w:val="TableContents"/>
              <w:bidi w:val="0"/>
              <w:spacing w:before="0" w:after="0"/>
              <w:jc w:val="left"/>
              <w:rPr>
                <w:color w:val="000000"/>
              </w:rPr>
            </w:pPr>
            <w:r>
              <w:rPr>
                <w:color w:val="000000"/>
              </w:rPr>
              <w:t>Operating income (loss)</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(59,319</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0"/>
              <w:jc w:val="right"/>
              <w:rPr>
                <w:color w:val="000000"/>
              </w:rPr>
            </w:pPr>
            <w:r>
              <w:rPr>
                <w:color w:val="000000"/>
              </w:rPr>
              <w:t>30,780</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(55,293</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20,877</w:t>
            </w:r>
          </w:p>
        </w:tc>
        <w:tc>
          <w:tcPr>
            <w:tcW w:w="170" w:type="dxa"/>
            <w:tcBorders/>
            <w:shd w:fill="CCEEFF" w:val="clear"/>
            <w:vAlign w:val="bottom"/>
          </w:tcPr>
          <w:p>
            <w:pPr>
              <w:pStyle w:val="TableContents"/>
              <w:bidi w:val="0"/>
              <w:spacing w:before="0" w:after="283"/>
              <w:jc w:val="left"/>
              <w:rPr/>
            </w:pPr>
            <w:r>
              <w:rPr/>
              <w:t> </w:t>
            </w:r>
          </w:p>
        </w:tc>
      </w:tr>
      <w:tr>
        <w:trPr/>
        <w:tc>
          <w:tcPr>
            <w:tcW w:w="3995" w:type="dxa"/>
            <w:tcBorders/>
            <w:vAlign w:val="bottom"/>
          </w:tcPr>
          <w:p>
            <w:pPr>
              <w:pStyle w:val="TableContents"/>
              <w:bidi w:val="0"/>
              <w:spacing w:before="0" w:after="0"/>
              <w:jc w:val="left"/>
              <w:rPr>
                <w:color w:val="000000"/>
              </w:rPr>
            </w:pPr>
            <w:r>
              <w:rPr>
                <w:color w:val="000000"/>
              </w:rPr>
              <w:t>Interest expense</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3,322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0"/>
              <w:jc w:val="right"/>
              <w:rPr>
                <w:color w:val="000000"/>
              </w:rPr>
            </w:pPr>
            <w:r>
              <w:rPr>
                <w:color w:val="000000"/>
              </w:rPr>
              <w:t>2,526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7,572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0"/>
              <w:jc w:val="right"/>
              <w:rPr>
                <w:color w:val="000000"/>
              </w:rPr>
            </w:pPr>
            <w:r>
              <w:rPr>
                <w:color w:val="000000"/>
              </w:rPr>
              <w:t>5,809</w:t>
            </w:r>
          </w:p>
        </w:tc>
        <w:tc>
          <w:tcPr>
            <w:tcW w:w="170" w:type="dxa"/>
            <w:tcBorders/>
            <w:vAlign w:val="bottom"/>
          </w:tcPr>
          <w:p>
            <w:pPr>
              <w:pStyle w:val="TableContents"/>
              <w:bidi w:val="0"/>
              <w:spacing w:before="0" w:after="283"/>
              <w:jc w:val="left"/>
              <w:rPr/>
            </w:pPr>
            <w:r>
              <w:rPr/>
              <w:t> </w:t>
            </w:r>
          </w:p>
        </w:tc>
      </w:tr>
      <w:tr>
        <w:trPr/>
        <w:tc>
          <w:tcPr>
            <w:tcW w:w="3995" w:type="dxa"/>
            <w:tcBorders/>
            <w:shd w:fill="CCEEFF" w:val="clear"/>
            <w:vAlign w:val="bottom"/>
          </w:tcPr>
          <w:p>
            <w:pPr>
              <w:pStyle w:val="TableContents"/>
              <w:bidi w:val="0"/>
              <w:spacing w:before="0" w:after="0"/>
              <w:jc w:val="left"/>
              <w:rPr>
                <w:color w:val="000000"/>
              </w:rPr>
            </w:pPr>
            <w:r>
              <w:rPr>
                <w:color w:val="000000"/>
              </w:rPr>
              <w:t>Gain on sale of business</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color w:val="000000"/>
              </w:rPr>
            </w:pPr>
            <w:r>
              <w:rPr>
                <w:color w:val="000000"/>
              </w:rPr>
              <w:t>176,162</w:t>
            </w:r>
          </w:p>
        </w:tc>
        <w:tc>
          <w:tcPr>
            <w:tcW w:w="170" w:type="dxa"/>
            <w:tcBorders/>
            <w:shd w:fill="CCEEFF" w:val="clear"/>
            <w:vAlign w:val="bottom"/>
          </w:tcPr>
          <w:p>
            <w:pPr>
              <w:pStyle w:val="TableContents"/>
              <w:bidi w:val="0"/>
              <w:spacing w:before="0" w:after="283"/>
              <w:jc w:val="left"/>
              <w:rPr/>
            </w:pPr>
            <w:r>
              <w:rPr/>
              <w:t> </w:t>
            </w:r>
          </w:p>
        </w:tc>
      </w:tr>
      <w:tr>
        <w:trPr/>
        <w:tc>
          <w:tcPr>
            <w:tcW w:w="3995" w:type="dxa"/>
            <w:tcBorders/>
            <w:vAlign w:val="bottom"/>
          </w:tcPr>
          <w:p>
            <w:pPr>
              <w:pStyle w:val="TableContents"/>
              <w:bidi w:val="0"/>
              <w:spacing w:before="0" w:after="0"/>
              <w:jc w:val="left"/>
              <w:rPr>
                <w:color w:val="000000"/>
              </w:rPr>
            </w:pPr>
            <w:r>
              <w:rPr>
                <w:color w:val="000000"/>
              </w:rPr>
              <w:t>Other income (expense), net</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(534</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(843</w:t>
            </w:r>
          </w:p>
        </w:tc>
        <w:tc>
          <w:tcPr>
            <w:tcW w:w="125" w:type="dxa"/>
            <w:tcBorders/>
            <w:vAlign w:val="bottom"/>
          </w:tcPr>
          <w:p>
            <w:pPr>
              <w:pStyle w:val="TableContents"/>
              <w:bidi w:val="0"/>
              <w:spacing w:before="0" w:after="0"/>
              <w:jc w:val="left"/>
              <w:rPr>
                <w:color w:val="000000"/>
              </w:rPr>
            </w:pPr>
            <w:r>
              <w:rPr>
                <w:color w:val="000000"/>
              </w:rPr>
              <w:t>)</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2,289</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(29,218</w:t>
            </w:r>
          </w:p>
        </w:tc>
        <w:tc>
          <w:tcPr>
            <w:tcW w:w="170" w:type="dxa"/>
            <w:tcBorders/>
            <w:vAlign w:val="bottom"/>
          </w:tcPr>
          <w:p>
            <w:pPr>
              <w:pStyle w:val="TableContents"/>
              <w:bidi w:val="0"/>
              <w:spacing w:before="0" w:after="0"/>
              <w:jc w:val="left"/>
              <w:rPr>
                <w:color w:val="000000"/>
              </w:rPr>
            </w:pPr>
            <w:r>
              <w:rPr>
                <w:color w:val="000000"/>
              </w:rPr>
              <w:t>)</w:t>
            </w:r>
          </w:p>
        </w:tc>
      </w:tr>
      <w:tr>
        <w:trPr/>
        <w:tc>
          <w:tcPr>
            <w:tcW w:w="3995" w:type="dxa"/>
            <w:tcBorders/>
            <w:shd w:fill="CCEEFF" w:val="clear"/>
            <w:vAlign w:val="bottom"/>
          </w:tcPr>
          <w:p>
            <w:pPr>
              <w:pStyle w:val="TableContents"/>
              <w:bidi w:val="0"/>
              <w:spacing w:before="0" w:after="0"/>
              <w:jc w:val="left"/>
              <w:rPr>
                <w:color w:val="000000"/>
              </w:rPr>
            </w:pPr>
            <w:r>
              <w:rPr>
                <w:color w:val="000000"/>
              </w:rPr>
              <w:t>Income before provision for income taxes</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0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(63,175</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78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27,411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0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(60,576</w:t>
            </w:r>
          </w:p>
        </w:tc>
        <w:tc>
          <w:tcPr>
            <w:tcW w:w="125" w:type="dxa"/>
            <w:tcBorders/>
            <w:shd w:fill="CCEEFF" w:val="clear"/>
            <w:vAlign w:val="bottom"/>
          </w:tcPr>
          <w:p>
            <w:pPr>
              <w:pStyle w:val="TableContents"/>
              <w:bidi w:val="0"/>
              <w:spacing w:before="0" w:after="0"/>
              <w:jc w:val="left"/>
              <w:rPr>
                <w:color w:val="000000"/>
              </w:rPr>
            </w:pPr>
            <w:r>
              <w:rPr>
                <w:color w:val="000000"/>
              </w:rPr>
              <w:t>)</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double" w:sz="8" w:space="0" w:color="000000"/>
            </w:tcBorders>
            <w:shd w:fill="CCEEFF" w:val="clear"/>
            <w:tcMar>
              <w:bottom w:w="28" w:type="dxa"/>
            </w:tcMar>
            <w:vAlign w:val="bottom"/>
          </w:tcPr>
          <w:p>
            <w:pPr>
              <w:pStyle w:val="TableContents"/>
              <w:bidi w:val="0"/>
              <w:spacing w:before="0" w:after="0"/>
              <w:jc w:val="left"/>
              <w:rPr>
                <w:color w:val="000000"/>
              </w:rPr>
            </w:pPr>
            <w:r>
              <w:rPr>
                <w:color w:val="000000"/>
              </w:rPr>
              <w:t>$</w:t>
            </w:r>
          </w:p>
        </w:tc>
        <w:tc>
          <w:tcPr>
            <w:tcW w:w="905" w:type="dxa"/>
            <w:tcBorders>
              <w:bottom w:val="double" w:sz="8" w:space="0" w:color="000000"/>
            </w:tcBorders>
            <w:shd w:fill="CCEEFF" w:val="clear"/>
            <w:tcMar>
              <w:bottom w:w="28" w:type="dxa"/>
            </w:tcMar>
            <w:vAlign w:val="bottom"/>
          </w:tcPr>
          <w:p>
            <w:pPr>
              <w:pStyle w:val="TableContents"/>
              <w:bidi w:val="0"/>
              <w:spacing w:before="0" w:after="0"/>
              <w:jc w:val="right"/>
              <w:rPr>
                <w:color w:val="000000"/>
              </w:rPr>
            </w:pPr>
            <w:r>
              <w:rPr>
                <w:color w:val="000000"/>
              </w:rPr>
              <w:t>162,012</w:t>
            </w:r>
          </w:p>
        </w:tc>
        <w:tc>
          <w:tcPr>
            <w:tcW w:w="17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Depreciation and Amortization</w:t>
      </w:r>
    </w:p>
    <w:p>
      <w:pPr>
        <w:pStyle w:val="TextBody"/>
        <w:bidi w:val="0"/>
        <w:spacing w:before="0" w:after="0"/>
        <w:jc w:val="left"/>
        <w:rPr/>
      </w:pPr>
      <w:r>
        <w:rPr/>
      </w:r>
    </w:p>
    <w:tbl>
      <w:tblPr>
        <w:tblW w:w="7166" w:type="dxa"/>
        <w:jc w:val="left"/>
        <w:tblInd w:w="0" w:type="dxa"/>
        <w:tblLayout w:type="fixed"/>
        <w:tblCellMar>
          <w:top w:w="0" w:type="dxa"/>
          <w:left w:w="0" w:type="dxa"/>
          <w:bottom w:w="0" w:type="dxa"/>
          <w:right w:w="0" w:type="dxa"/>
        </w:tblCellMar>
      </w:tblPr>
      <w:tblGrid>
        <w:gridCol w:w="2585"/>
        <w:gridCol w:w="90"/>
        <w:gridCol w:w="196"/>
        <w:gridCol w:w="819"/>
        <w:gridCol w:w="103"/>
        <w:gridCol w:w="103"/>
        <w:gridCol w:w="196"/>
        <w:gridCol w:w="819"/>
        <w:gridCol w:w="90"/>
        <w:gridCol w:w="90"/>
        <w:gridCol w:w="170"/>
        <w:gridCol w:w="710"/>
        <w:gridCol w:w="90"/>
        <w:gridCol w:w="90"/>
        <w:gridCol w:w="170"/>
        <w:gridCol w:w="710"/>
        <w:gridCol w:w="135"/>
      </w:tblGrid>
      <w:tr>
        <w:trPr/>
        <w:tc>
          <w:tcPr>
            <w:tcW w:w="258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36"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w:t>
            </w:r>
          </w:p>
          <w:p>
            <w:pPr>
              <w:pStyle w:val="TableContents"/>
              <w:bidi w:val="0"/>
              <w:spacing w:before="0" w:after="0"/>
              <w:jc w:val="center"/>
              <w:rPr>
                <w:b/>
                <w:color w:val="000000"/>
              </w:rPr>
            </w:pPr>
            <w:r>
              <w:rPr>
                <w:b/>
                <w:color w:val="000000"/>
              </w:rPr>
              <w:t>June 30,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4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Six Months Ended</w:t>
            </w:r>
          </w:p>
          <w:p>
            <w:pPr>
              <w:pStyle w:val="TableContents"/>
              <w:bidi w:val="0"/>
              <w:spacing w:before="0" w:after="0"/>
              <w:jc w:val="center"/>
              <w:rPr>
                <w:b/>
                <w:color w:val="000000"/>
              </w:rPr>
            </w:pPr>
            <w:r>
              <w:rPr>
                <w:b/>
                <w:color w:val="000000"/>
              </w:rPr>
              <w:t>June 30,</w:t>
            </w:r>
          </w:p>
        </w:tc>
        <w:tc>
          <w:tcPr>
            <w:tcW w:w="135" w:type="dxa"/>
            <w:tcBorders/>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0"/>
              <w:jc w:val="left"/>
              <w:rPr>
                <w:color w:val="000000"/>
              </w:rPr>
            </w:pPr>
            <w:r>
              <w:rPr>
                <w:color w:val="000000"/>
              </w:rPr>
              <w:t>(U.S. dollars in thousands)</w:t>
            </w:r>
          </w:p>
        </w:tc>
        <w:tc>
          <w:tcPr>
            <w:tcW w:w="90" w:type="dxa"/>
            <w:tcBorders/>
            <w:vAlign w:val="bottom"/>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35" w:type="dxa"/>
            <w:tcBorders/>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0"/>
              <w:jc w:val="left"/>
              <w:rPr>
                <w:i/>
                <w:color w:val="000000"/>
              </w:rPr>
            </w:pPr>
            <w:r>
              <w:rPr>
                <w:i/>
                <w:color w:val="000000"/>
              </w:rPr>
              <w:t>Nu Skin</w:t>
            </w:r>
          </w:p>
        </w:tc>
        <w:tc>
          <w:tcPr>
            <w:tcW w:w="90" w:type="dxa"/>
            <w:tcBorders/>
            <w:vAlign w:val="bottom"/>
          </w:tcPr>
          <w:p>
            <w:pPr>
              <w:pStyle w:val="TableContents"/>
              <w:bidi w:val="0"/>
              <w:spacing w:before="0" w:after="283"/>
              <w:jc w:val="left"/>
              <w:rPr/>
            </w:pPr>
            <w:r>
              <w:rPr/>
              <w:t> </w:t>
            </w:r>
          </w:p>
        </w:tc>
        <w:tc>
          <w:tcPr>
            <w:tcW w:w="1015" w:type="dxa"/>
            <w:gridSpan w:val="2"/>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015"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2585" w:type="dxa"/>
            <w:tcBorders/>
            <w:shd w:fill="CCEEFF" w:val="clear"/>
            <w:vAlign w:val="bottom"/>
          </w:tcPr>
          <w:p>
            <w:pPr>
              <w:pStyle w:val="TableContents"/>
              <w:bidi w:val="0"/>
              <w:spacing w:before="0" w:after="0"/>
              <w:ind w:left="360" w:right="0" w:hanging="0"/>
              <w:jc w:val="left"/>
              <w:rPr>
                <w:color w:val="000000"/>
              </w:rPr>
            </w:pPr>
            <w:r>
              <w:rPr>
                <w:color w:val="000000"/>
              </w:rPr>
              <w:t>Americas</w:t>
            </w:r>
          </w:p>
        </w:tc>
        <w:tc>
          <w:tcPr>
            <w:tcW w:w="90" w:type="dxa"/>
            <w:tcBorders/>
            <w:shd w:fill="CCEEFF" w:val="clear"/>
            <w:vAlign w:val="bottom"/>
          </w:tcPr>
          <w:p>
            <w:pPr>
              <w:pStyle w:val="TableContents"/>
              <w:bidi w:val="0"/>
              <w:spacing w:before="0" w:after="283"/>
              <w:jc w:val="right"/>
              <w:rPr/>
            </w:pPr>
            <w:r>
              <w:rPr/>
              <w:t> </w:t>
            </w:r>
          </w:p>
        </w:tc>
        <w:tc>
          <w:tcPr>
            <w:tcW w:w="196" w:type="dxa"/>
            <w:tcBorders/>
            <w:shd w:fill="CCEEFF" w:val="clear"/>
            <w:vAlign w:val="bottom"/>
          </w:tcPr>
          <w:p>
            <w:pPr>
              <w:pStyle w:val="TableContents"/>
              <w:bidi w:val="0"/>
              <w:spacing w:before="0" w:after="0"/>
              <w:jc w:val="left"/>
              <w:rPr>
                <w:color w:val="000000"/>
              </w:rPr>
            </w:pPr>
            <w:r>
              <w:rPr>
                <w:color w:val="000000"/>
              </w:rPr>
              <w:t>$</w:t>
            </w:r>
          </w:p>
        </w:tc>
        <w:tc>
          <w:tcPr>
            <w:tcW w:w="819" w:type="dxa"/>
            <w:tcBorders/>
            <w:shd w:fill="CCEEFF" w:val="clear"/>
            <w:vAlign w:val="bottom"/>
          </w:tcPr>
          <w:p>
            <w:pPr>
              <w:pStyle w:val="TableContents"/>
              <w:bidi w:val="0"/>
              <w:spacing w:before="0" w:after="0"/>
              <w:jc w:val="right"/>
              <w:rPr>
                <w:color w:val="000000"/>
              </w:rPr>
            </w:pPr>
            <w:r>
              <w:rPr>
                <w:color w:val="000000"/>
              </w:rPr>
              <w:t>31</w:t>
            </w:r>
          </w:p>
        </w:tc>
        <w:tc>
          <w:tcPr>
            <w:tcW w:w="103"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right"/>
              <w:rPr/>
            </w:pPr>
            <w:r>
              <w:rPr/>
              <w:t> </w:t>
            </w:r>
          </w:p>
        </w:tc>
        <w:tc>
          <w:tcPr>
            <w:tcW w:w="196" w:type="dxa"/>
            <w:tcBorders/>
            <w:shd w:fill="CCEEFF" w:val="clear"/>
            <w:vAlign w:val="bottom"/>
          </w:tcPr>
          <w:p>
            <w:pPr>
              <w:pStyle w:val="TableContents"/>
              <w:bidi w:val="0"/>
              <w:spacing w:before="0" w:after="0"/>
              <w:jc w:val="left"/>
              <w:rPr>
                <w:color w:val="000000"/>
              </w:rPr>
            </w:pPr>
            <w:r>
              <w:rPr>
                <w:color w:val="000000"/>
              </w:rPr>
              <w:t>$</w:t>
            </w:r>
          </w:p>
        </w:tc>
        <w:tc>
          <w:tcPr>
            <w:tcW w:w="819" w:type="dxa"/>
            <w:tcBorders/>
            <w:shd w:fill="CCEEFF" w:val="clear"/>
            <w:vAlign w:val="bottom"/>
          </w:tcPr>
          <w:p>
            <w:pPr>
              <w:pStyle w:val="TableContents"/>
              <w:bidi w:val="0"/>
              <w:spacing w:before="0" w:after="0"/>
              <w:jc w:val="right"/>
              <w:rPr>
                <w:color w:val="000000"/>
              </w:rPr>
            </w:pPr>
            <w:r>
              <w:rPr>
                <w:color w:val="000000"/>
              </w:rPr>
              <w:t>43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72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93</w:t>
            </w:r>
          </w:p>
        </w:tc>
        <w:tc>
          <w:tcPr>
            <w:tcW w:w="135" w:type="dxa"/>
            <w:tcBorders/>
            <w:shd w:fill="CCEEFF" w:val="clear"/>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0"/>
              <w:ind w:left="360" w:right="0" w:hanging="0"/>
              <w:jc w:val="left"/>
              <w:rPr>
                <w:color w:val="000000"/>
              </w:rPr>
            </w:pPr>
            <w:r>
              <w:rPr>
                <w:color w:val="000000"/>
              </w:rPr>
              <w:t>Mainland China</w:t>
            </w:r>
          </w:p>
        </w:tc>
        <w:tc>
          <w:tcPr>
            <w:tcW w:w="90" w:type="dxa"/>
            <w:tcBorders/>
            <w:vAlign w:val="bottom"/>
          </w:tcPr>
          <w:p>
            <w:pPr>
              <w:pStyle w:val="TableContents"/>
              <w:bidi w:val="0"/>
              <w:spacing w:before="0" w:after="283"/>
              <w:jc w:val="right"/>
              <w:rPr/>
            </w:pPr>
            <w:r>
              <w:rPr/>
              <w:t> </w:t>
            </w:r>
          </w:p>
        </w:tc>
        <w:tc>
          <w:tcPr>
            <w:tcW w:w="196"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0"/>
              <w:jc w:val="right"/>
              <w:rPr>
                <w:color w:val="000000"/>
              </w:rPr>
            </w:pPr>
            <w:r>
              <w:rPr>
                <w:color w:val="000000"/>
              </w:rPr>
              <w:t>1,781</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right"/>
              <w:rPr/>
            </w:pPr>
            <w:r>
              <w:rPr/>
              <w:t> </w:t>
            </w:r>
          </w:p>
        </w:tc>
        <w:tc>
          <w:tcPr>
            <w:tcW w:w="196"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0"/>
              <w:jc w:val="right"/>
              <w:rPr>
                <w:color w:val="000000"/>
              </w:rPr>
            </w:pPr>
            <w:r>
              <w:rPr>
                <w:color w:val="000000"/>
              </w:rPr>
              <w:t>2,032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3,566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4,100</w:t>
            </w:r>
          </w:p>
        </w:tc>
        <w:tc>
          <w:tcPr>
            <w:tcW w:w="135" w:type="dxa"/>
            <w:tcBorders/>
            <w:vAlign w:val="bottom"/>
          </w:tcPr>
          <w:p>
            <w:pPr>
              <w:pStyle w:val="TableContents"/>
              <w:bidi w:val="0"/>
              <w:spacing w:before="0" w:after="283"/>
              <w:jc w:val="left"/>
              <w:rPr/>
            </w:pPr>
            <w:r>
              <w:rPr/>
              <w:t> </w:t>
            </w:r>
          </w:p>
        </w:tc>
      </w:tr>
      <w:tr>
        <w:trPr/>
        <w:tc>
          <w:tcPr>
            <w:tcW w:w="2585" w:type="dxa"/>
            <w:tcBorders/>
            <w:shd w:fill="CCEEFF" w:val="clear"/>
            <w:vAlign w:val="bottom"/>
          </w:tcPr>
          <w:p>
            <w:pPr>
              <w:pStyle w:val="TableContents"/>
              <w:bidi w:val="0"/>
              <w:spacing w:before="0" w:after="0"/>
              <w:ind w:left="360" w:right="0" w:hanging="0"/>
              <w:jc w:val="left"/>
              <w:rPr>
                <w:color w:val="000000"/>
              </w:rPr>
            </w:pPr>
            <w:r>
              <w:rPr>
                <w:color w:val="000000"/>
              </w:rPr>
              <w:t>Southeast Asia/Pacific</w:t>
            </w:r>
          </w:p>
        </w:tc>
        <w:tc>
          <w:tcPr>
            <w:tcW w:w="90" w:type="dxa"/>
            <w:tcBorders/>
            <w:shd w:fill="CCEEFF" w:val="clear"/>
            <w:vAlign w:val="bottom"/>
          </w:tcPr>
          <w:p>
            <w:pPr>
              <w:pStyle w:val="TableContents"/>
              <w:bidi w:val="0"/>
              <w:spacing w:before="0" w:after="283"/>
              <w:jc w:val="right"/>
              <w:rPr/>
            </w:pPr>
            <w:r>
              <w:rPr/>
              <w:t> </w:t>
            </w:r>
          </w:p>
        </w:tc>
        <w:tc>
          <w:tcPr>
            <w:tcW w:w="196"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0"/>
              <w:jc w:val="right"/>
              <w:rPr>
                <w:color w:val="000000"/>
              </w:rPr>
            </w:pPr>
            <w:r>
              <w:rPr>
                <w:color w:val="000000"/>
              </w:rPr>
              <w:t>155</w:t>
            </w:r>
          </w:p>
        </w:tc>
        <w:tc>
          <w:tcPr>
            <w:tcW w:w="103"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right"/>
              <w:rPr/>
            </w:pPr>
            <w:r>
              <w:rPr/>
              <w:t> </w:t>
            </w:r>
          </w:p>
        </w:tc>
        <w:tc>
          <w:tcPr>
            <w:tcW w:w="196"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0"/>
              <w:jc w:val="right"/>
              <w:rPr>
                <w:color w:val="000000"/>
              </w:rPr>
            </w:pPr>
            <w:r>
              <w:rPr>
                <w:color w:val="000000"/>
              </w:rPr>
              <w:t>193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324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383</w:t>
            </w:r>
          </w:p>
        </w:tc>
        <w:tc>
          <w:tcPr>
            <w:tcW w:w="135" w:type="dxa"/>
            <w:tcBorders/>
            <w:shd w:fill="CCEEFF" w:val="clear"/>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0"/>
              <w:ind w:left="360" w:right="0" w:hanging="0"/>
              <w:jc w:val="left"/>
              <w:rPr>
                <w:color w:val="000000"/>
              </w:rPr>
            </w:pPr>
            <w:r>
              <w:rPr>
                <w:color w:val="000000"/>
              </w:rPr>
              <w:t>Japan</w:t>
            </w:r>
          </w:p>
        </w:tc>
        <w:tc>
          <w:tcPr>
            <w:tcW w:w="90" w:type="dxa"/>
            <w:tcBorders/>
            <w:vAlign w:val="bottom"/>
          </w:tcPr>
          <w:p>
            <w:pPr>
              <w:pStyle w:val="TableContents"/>
              <w:bidi w:val="0"/>
              <w:spacing w:before="0" w:after="283"/>
              <w:jc w:val="right"/>
              <w:rPr/>
            </w:pPr>
            <w:r>
              <w:rPr/>
              <w:t> </w:t>
            </w:r>
          </w:p>
        </w:tc>
        <w:tc>
          <w:tcPr>
            <w:tcW w:w="196"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0"/>
              <w:jc w:val="right"/>
              <w:rPr>
                <w:color w:val="000000"/>
              </w:rPr>
            </w:pPr>
            <w:r>
              <w:rPr>
                <w:color w:val="000000"/>
              </w:rPr>
              <w:t>54</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right"/>
              <w:rPr/>
            </w:pPr>
            <w:r>
              <w:rPr/>
              <w:t> </w:t>
            </w:r>
          </w:p>
        </w:tc>
        <w:tc>
          <w:tcPr>
            <w:tcW w:w="196"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0"/>
              <w:jc w:val="right"/>
              <w:rPr>
                <w:color w:val="000000"/>
              </w:rPr>
            </w:pPr>
            <w:r>
              <w:rPr>
                <w:color w:val="000000"/>
              </w:rPr>
              <w:t>58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109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115</w:t>
            </w:r>
          </w:p>
        </w:tc>
        <w:tc>
          <w:tcPr>
            <w:tcW w:w="135" w:type="dxa"/>
            <w:tcBorders/>
            <w:vAlign w:val="bottom"/>
          </w:tcPr>
          <w:p>
            <w:pPr>
              <w:pStyle w:val="TableContents"/>
              <w:bidi w:val="0"/>
              <w:spacing w:before="0" w:after="283"/>
              <w:jc w:val="left"/>
              <w:rPr/>
            </w:pPr>
            <w:r>
              <w:rPr/>
              <w:t> </w:t>
            </w:r>
          </w:p>
        </w:tc>
      </w:tr>
      <w:tr>
        <w:trPr/>
        <w:tc>
          <w:tcPr>
            <w:tcW w:w="2585" w:type="dxa"/>
            <w:tcBorders/>
            <w:shd w:fill="CCEEFF" w:val="clear"/>
            <w:vAlign w:val="bottom"/>
          </w:tcPr>
          <w:p>
            <w:pPr>
              <w:pStyle w:val="TableContents"/>
              <w:bidi w:val="0"/>
              <w:spacing w:before="0" w:after="0"/>
              <w:ind w:left="360" w:right="0" w:hanging="0"/>
              <w:jc w:val="left"/>
              <w:rPr>
                <w:color w:val="000000"/>
              </w:rPr>
            </w:pPr>
            <w:r>
              <w:rPr>
                <w:color w:val="000000"/>
              </w:rPr>
              <w:t>Europe &amp; Africa</w:t>
            </w:r>
          </w:p>
        </w:tc>
        <w:tc>
          <w:tcPr>
            <w:tcW w:w="90" w:type="dxa"/>
            <w:tcBorders/>
            <w:shd w:fill="CCEEFF" w:val="clear"/>
            <w:vAlign w:val="bottom"/>
          </w:tcPr>
          <w:p>
            <w:pPr>
              <w:pStyle w:val="TableContents"/>
              <w:bidi w:val="0"/>
              <w:spacing w:before="0" w:after="283"/>
              <w:jc w:val="right"/>
              <w:rPr/>
            </w:pPr>
            <w:r>
              <w:rPr/>
              <w:t> </w:t>
            </w:r>
          </w:p>
        </w:tc>
        <w:tc>
          <w:tcPr>
            <w:tcW w:w="196"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0"/>
              <w:jc w:val="right"/>
              <w:rPr>
                <w:color w:val="000000"/>
              </w:rPr>
            </w:pPr>
            <w:r>
              <w:rPr>
                <w:color w:val="000000"/>
              </w:rPr>
              <w:t>204</w:t>
            </w:r>
          </w:p>
        </w:tc>
        <w:tc>
          <w:tcPr>
            <w:tcW w:w="103"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right"/>
              <w:rPr/>
            </w:pPr>
            <w:r>
              <w:rPr/>
              <w:t> </w:t>
            </w:r>
          </w:p>
        </w:tc>
        <w:tc>
          <w:tcPr>
            <w:tcW w:w="196"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0"/>
              <w:jc w:val="right"/>
              <w:rPr>
                <w:color w:val="000000"/>
              </w:rPr>
            </w:pPr>
            <w:r>
              <w:rPr>
                <w:color w:val="000000"/>
              </w:rPr>
              <w:t>277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375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541</w:t>
            </w:r>
          </w:p>
        </w:tc>
        <w:tc>
          <w:tcPr>
            <w:tcW w:w="135" w:type="dxa"/>
            <w:tcBorders/>
            <w:shd w:fill="CCEEFF" w:val="clear"/>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0"/>
              <w:ind w:left="360" w:right="0" w:hanging="0"/>
              <w:jc w:val="left"/>
              <w:rPr>
                <w:color w:val="000000"/>
              </w:rPr>
            </w:pPr>
            <w:r>
              <w:rPr>
                <w:color w:val="000000"/>
              </w:rPr>
              <w:t>Hong Kong/Taiwan</w:t>
            </w:r>
          </w:p>
        </w:tc>
        <w:tc>
          <w:tcPr>
            <w:tcW w:w="90" w:type="dxa"/>
            <w:tcBorders/>
            <w:vAlign w:val="bottom"/>
          </w:tcPr>
          <w:p>
            <w:pPr>
              <w:pStyle w:val="TableContents"/>
              <w:bidi w:val="0"/>
              <w:spacing w:before="0" w:after="283"/>
              <w:jc w:val="right"/>
              <w:rPr/>
            </w:pPr>
            <w:r>
              <w:rPr/>
              <w:t> </w:t>
            </w:r>
          </w:p>
        </w:tc>
        <w:tc>
          <w:tcPr>
            <w:tcW w:w="196"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0"/>
              <w:jc w:val="right"/>
              <w:rPr>
                <w:color w:val="000000"/>
              </w:rPr>
            </w:pPr>
            <w:r>
              <w:rPr>
                <w:color w:val="000000"/>
              </w:rPr>
              <w:t>224</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right"/>
              <w:rPr/>
            </w:pPr>
            <w:r>
              <w:rPr/>
              <w:t> </w:t>
            </w:r>
          </w:p>
        </w:tc>
        <w:tc>
          <w:tcPr>
            <w:tcW w:w="196"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0"/>
              <w:jc w:val="right"/>
              <w:rPr>
                <w:color w:val="000000"/>
              </w:rPr>
            </w:pPr>
            <w:r>
              <w:rPr>
                <w:color w:val="000000"/>
              </w:rPr>
              <w:t>353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474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730</w:t>
            </w:r>
          </w:p>
        </w:tc>
        <w:tc>
          <w:tcPr>
            <w:tcW w:w="135" w:type="dxa"/>
            <w:tcBorders/>
            <w:vAlign w:val="bottom"/>
          </w:tcPr>
          <w:p>
            <w:pPr>
              <w:pStyle w:val="TableContents"/>
              <w:bidi w:val="0"/>
              <w:spacing w:before="0" w:after="283"/>
              <w:jc w:val="left"/>
              <w:rPr/>
            </w:pPr>
            <w:r>
              <w:rPr/>
              <w:t> </w:t>
            </w:r>
          </w:p>
        </w:tc>
      </w:tr>
      <w:tr>
        <w:trPr/>
        <w:tc>
          <w:tcPr>
            <w:tcW w:w="2585" w:type="dxa"/>
            <w:tcBorders/>
            <w:shd w:fill="CCEEFF" w:val="clear"/>
            <w:vAlign w:val="bottom"/>
          </w:tcPr>
          <w:p>
            <w:pPr>
              <w:pStyle w:val="TableContents"/>
              <w:bidi w:val="0"/>
              <w:spacing w:before="0" w:after="0"/>
              <w:ind w:left="360" w:right="0" w:hanging="0"/>
              <w:jc w:val="left"/>
              <w:rPr>
                <w:color w:val="000000"/>
              </w:rPr>
            </w:pPr>
            <w:r>
              <w:rPr>
                <w:color w:val="000000"/>
              </w:rPr>
              <w:t>South Korea</w:t>
            </w:r>
          </w:p>
        </w:tc>
        <w:tc>
          <w:tcPr>
            <w:tcW w:w="90" w:type="dxa"/>
            <w:tcBorders/>
            <w:shd w:fill="CCEEFF" w:val="clear"/>
            <w:vAlign w:val="bottom"/>
          </w:tcPr>
          <w:p>
            <w:pPr>
              <w:pStyle w:val="TableContents"/>
              <w:bidi w:val="0"/>
              <w:spacing w:before="0" w:after="283"/>
              <w:jc w:val="right"/>
              <w:rPr/>
            </w:pPr>
            <w:r>
              <w:rPr/>
              <w:t> </w:t>
            </w:r>
          </w:p>
        </w:tc>
        <w:tc>
          <w:tcPr>
            <w:tcW w:w="19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92</w:t>
            </w:r>
          </w:p>
        </w:tc>
        <w:tc>
          <w:tcPr>
            <w:tcW w:w="103"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right"/>
              <w:rPr/>
            </w:pPr>
            <w:r>
              <w:rPr/>
              <w:t> </w:t>
            </w:r>
          </w:p>
        </w:tc>
        <w:tc>
          <w:tcPr>
            <w:tcW w:w="19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152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179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326</w:t>
            </w:r>
          </w:p>
        </w:tc>
        <w:tc>
          <w:tcPr>
            <w:tcW w:w="135" w:type="dxa"/>
            <w:tcBorders/>
            <w:shd w:fill="CCEEFF" w:val="clear"/>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0"/>
              <w:jc w:val="left"/>
              <w:rPr>
                <w:i/>
                <w:color w:val="000000"/>
              </w:rPr>
            </w:pPr>
            <w:r>
              <w:rPr>
                <w:i/>
                <w:color w:val="000000"/>
              </w:rPr>
              <w:t>Total Nu Skin</w:t>
            </w:r>
          </w:p>
        </w:tc>
        <w:tc>
          <w:tcPr>
            <w:tcW w:w="90" w:type="dxa"/>
            <w:tcBorders/>
            <w:vAlign w:val="bottom"/>
          </w:tcPr>
          <w:p>
            <w:pPr>
              <w:pStyle w:val="TableContents"/>
              <w:bidi w:val="0"/>
              <w:spacing w:before="0" w:after="283"/>
              <w:jc w:val="right"/>
              <w:rPr/>
            </w:pPr>
            <w:r>
              <w:rPr/>
              <w:t> </w:t>
            </w:r>
          </w:p>
        </w:tc>
        <w:tc>
          <w:tcPr>
            <w:tcW w:w="196"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0"/>
              <w:jc w:val="right"/>
              <w:rPr>
                <w:color w:val="000000"/>
              </w:rPr>
            </w:pPr>
            <w:r>
              <w:rPr>
                <w:color w:val="000000"/>
              </w:rPr>
              <w:t>2,541</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right"/>
              <w:rPr/>
            </w:pPr>
            <w:r>
              <w:rPr/>
              <w:t> </w:t>
            </w:r>
          </w:p>
        </w:tc>
        <w:tc>
          <w:tcPr>
            <w:tcW w:w="196"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0"/>
              <w:jc w:val="right"/>
              <w:rPr>
                <w:color w:val="000000"/>
              </w:rPr>
            </w:pPr>
            <w:r>
              <w:rPr>
                <w:color w:val="000000"/>
              </w:rPr>
              <w:t>3,108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5,099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6,288</w:t>
            </w:r>
          </w:p>
        </w:tc>
        <w:tc>
          <w:tcPr>
            <w:tcW w:w="135" w:type="dxa"/>
            <w:tcBorders/>
            <w:vAlign w:val="bottom"/>
          </w:tcPr>
          <w:p>
            <w:pPr>
              <w:pStyle w:val="TableContents"/>
              <w:bidi w:val="0"/>
              <w:spacing w:before="0" w:after="283"/>
              <w:jc w:val="left"/>
              <w:rPr/>
            </w:pPr>
            <w:r>
              <w:rPr/>
              <w:t> </w:t>
            </w:r>
          </w:p>
        </w:tc>
      </w:tr>
      <w:tr>
        <w:trPr/>
        <w:tc>
          <w:tcPr>
            <w:tcW w:w="2585" w:type="dxa"/>
            <w:tcBorders/>
            <w:shd w:fill="CCEEFF" w:val="clear"/>
            <w:vAlign w:val="bottom"/>
          </w:tcPr>
          <w:p>
            <w:pPr>
              <w:pStyle w:val="TableContents"/>
              <w:bidi w:val="0"/>
              <w:spacing w:before="0" w:after="0"/>
              <w:jc w:val="left"/>
              <w:rPr>
                <w:i/>
                <w:color w:val="000000"/>
              </w:rPr>
            </w:pPr>
            <w:r>
              <w:rPr>
                <w:i/>
                <w:color w:val="000000"/>
              </w:rPr>
              <w:t>Rhyz</w:t>
            </w:r>
          </w:p>
        </w:tc>
        <w:tc>
          <w:tcPr>
            <w:tcW w:w="90" w:type="dxa"/>
            <w:tcBorders/>
            <w:shd w:fill="CCEEFF" w:val="clear"/>
            <w:vAlign w:val="bottom"/>
          </w:tcPr>
          <w:p>
            <w:pPr>
              <w:pStyle w:val="TableContents"/>
              <w:bidi w:val="0"/>
              <w:spacing w:before="0" w:after="283"/>
              <w:jc w:val="right"/>
              <w:rPr/>
            </w:pPr>
            <w:r>
              <w:rPr/>
              <w:t> </w:t>
            </w:r>
          </w:p>
        </w:tc>
        <w:tc>
          <w:tcPr>
            <w:tcW w:w="196"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 </w:t>
            </w:r>
          </w:p>
        </w:tc>
        <w:tc>
          <w:tcPr>
            <w:tcW w:w="103"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right"/>
              <w:rPr/>
            </w:pPr>
            <w:r>
              <w:rPr/>
              <w:t> </w:t>
            </w:r>
          </w:p>
        </w:tc>
        <w:tc>
          <w:tcPr>
            <w:tcW w:w="196"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0"/>
              <w:ind w:left="360" w:right="0" w:hanging="0"/>
              <w:jc w:val="left"/>
              <w:rPr>
                <w:color w:val="000000"/>
              </w:rPr>
            </w:pPr>
            <w:r>
              <w:rPr>
                <w:color w:val="000000"/>
              </w:rPr>
              <w:t>Manufacturing</w:t>
            </w:r>
          </w:p>
        </w:tc>
        <w:tc>
          <w:tcPr>
            <w:tcW w:w="90" w:type="dxa"/>
            <w:tcBorders/>
            <w:vAlign w:val="bottom"/>
          </w:tcPr>
          <w:p>
            <w:pPr>
              <w:pStyle w:val="TableContents"/>
              <w:bidi w:val="0"/>
              <w:spacing w:before="0" w:after="283"/>
              <w:jc w:val="right"/>
              <w:rPr/>
            </w:pPr>
            <w:r>
              <w:rPr/>
              <w:t> </w:t>
            </w:r>
          </w:p>
        </w:tc>
        <w:tc>
          <w:tcPr>
            <w:tcW w:w="196"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0"/>
              <w:jc w:val="right"/>
              <w:rPr>
                <w:color w:val="000000"/>
              </w:rPr>
            </w:pPr>
            <w:r>
              <w:rPr>
                <w:color w:val="000000"/>
              </w:rPr>
              <w:t>3,255</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right"/>
              <w:rPr/>
            </w:pPr>
            <w:r>
              <w:rPr/>
              <w:t> </w:t>
            </w:r>
          </w:p>
        </w:tc>
        <w:tc>
          <w:tcPr>
            <w:tcW w:w="196"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0"/>
              <w:jc w:val="right"/>
              <w:rPr>
                <w:color w:val="000000"/>
              </w:rPr>
            </w:pPr>
            <w:r>
              <w:rPr>
                <w:color w:val="000000"/>
              </w:rPr>
              <w:t>3,294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6,505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6,628</w:t>
            </w:r>
          </w:p>
        </w:tc>
        <w:tc>
          <w:tcPr>
            <w:tcW w:w="135" w:type="dxa"/>
            <w:tcBorders/>
            <w:vAlign w:val="bottom"/>
          </w:tcPr>
          <w:p>
            <w:pPr>
              <w:pStyle w:val="TableContents"/>
              <w:bidi w:val="0"/>
              <w:spacing w:before="0" w:after="283"/>
              <w:jc w:val="left"/>
              <w:rPr/>
            </w:pPr>
            <w:r>
              <w:rPr/>
              <w:t> </w:t>
            </w:r>
          </w:p>
        </w:tc>
      </w:tr>
      <w:tr>
        <w:trPr/>
        <w:tc>
          <w:tcPr>
            <w:tcW w:w="2585" w:type="dxa"/>
            <w:tcBorders/>
            <w:shd w:fill="CCEEFF" w:val="clear"/>
            <w:vAlign w:val="bottom"/>
          </w:tcPr>
          <w:p>
            <w:pPr>
              <w:pStyle w:val="TableContents"/>
              <w:bidi w:val="0"/>
              <w:spacing w:before="0" w:after="0"/>
              <w:ind w:left="360" w:right="0" w:hanging="0"/>
              <w:jc w:val="left"/>
              <w:rPr>
                <w:color w:val="000000"/>
              </w:rPr>
            </w:pPr>
            <w:r>
              <w:rPr>
                <w:color w:val="000000"/>
              </w:rPr>
              <w:t>Rhyz Other</w:t>
            </w:r>
          </w:p>
        </w:tc>
        <w:tc>
          <w:tcPr>
            <w:tcW w:w="90" w:type="dxa"/>
            <w:tcBorders/>
            <w:shd w:fill="CCEEFF" w:val="clear"/>
            <w:vAlign w:val="bottom"/>
          </w:tcPr>
          <w:p>
            <w:pPr>
              <w:pStyle w:val="TableContents"/>
              <w:bidi w:val="0"/>
              <w:spacing w:before="0" w:after="283"/>
              <w:jc w:val="right"/>
              <w:rPr/>
            </w:pPr>
            <w:r>
              <w:rPr/>
              <w:t> </w:t>
            </w:r>
          </w:p>
        </w:tc>
        <w:tc>
          <w:tcPr>
            <w:tcW w:w="19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241</w:t>
            </w:r>
          </w:p>
        </w:tc>
        <w:tc>
          <w:tcPr>
            <w:tcW w:w="103"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right"/>
              <w:rPr/>
            </w:pPr>
            <w:r>
              <w:rPr/>
              <w:t> </w:t>
            </w:r>
          </w:p>
        </w:tc>
        <w:tc>
          <w:tcPr>
            <w:tcW w:w="19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370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581</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1,282</w:t>
            </w:r>
          </w:p>
        </w:tc>
        <w:tc>
          <w:tcPr>
            <w:tcW w:w="135" w:type="dxa"/>
            <w:tcBorders/>
            <w:shd w:fill="CCEEFF" w:val="clear"/>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0"/>
              <w:jc w:val="left"/>
              <w:rPr>
                <w:i/>
                <w:color w:val="000000"/>
              </w:rPr>
            </w:pPr>
            <w:r>
              <w:rPr>
                <w:i/>
                <w:color w:val="000000"/>
              </w:rPr>
              <w:t>Total Rhyz</w:t>
            </w:r>
          </w:p>
        </w:tc>
        <w:tc>
          <w:tcPr>
            <w:tcW w:w="90" w:type="dxa"/>
            <w:tcBorders/>
            <w:vAlign w:val="bottom"/>
          </w:tcPr>
          <w:p>
            <w:pPr>
              <w:pStyle w:val="TableContents"/>
              <w:bidi w:val="0"/>
              <w:spacing w:before="0" w:after="283"/>
              <w:jc w:val="right"/>
              <w:rPr/>
            </w:pPr>
            <w:r>
              <w:rPr/>
              <w:t> </w:t>
            </w:r>
          </w:p>
        </w:tc>
        <w:tc>
          <w:tcPr>
            <w:tcW w:w="196" w:type="dxa"/>
            <w:tcBorders>
              <w:bottom w:val="single" w:sz="12" w:space="0" w:color="000000"/>
            </w:tcBorders>
            <w:tcMar>
              <w:bottom w:w="28" w:type="dxa"/>
            </w:tcMar>
            <w:vAlign w:val="bottom"/>
          </w:tcPr>
          <w:p>
            <w:pPr>
              <w:pStyle w:val="TableContents"/>
              <w:bidi w:val="0"/>
              <w:spacing w:before="0" w:after="283"/>
              <w:jc w:val="left"/>
              <w:rPr/>
            </w:pPr>
            <w:r>
              <w:rPr/>
              <w:t> </w:t>
            </w:r>
          </w:p>
        </w:tc>
        <w:tc>
          <w:tcPr>
            <w:tcW w:w="81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3,496</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right"/>
              <w:rPr/>
            </w:pPr>
            <w:r>
              <w:rPr/>
              <w:t> </w:t>
            </w:r>
          </w:p>
        </w:tc>
        <w:tc>
          <w:tcPr>
            <w:tcW w:w="196" w:type="dxa"/>
            <w:tcBorders>
              <w:bottom w:val="single" w:sz="12" w:space="0" w:color="000000"/>
            </w:tcBorders>
            <w:tcMar>
              <w:bottom w:w="28" w:type="dxa"/>
            </w:tcMar>
            <w:vAlign w:val="bottom"/>
          </w:tcPr>
          <w:p>
            <w:pPr>
              <w:pStyle w:val="TableContents"/>
              <w:bidi w:val="0"/>
              <w:spacing w:before="0" w:after="283"/>
              <w:jc w:val="left"/>
              <w:rPr/>
            </w:pPr>
            <w:r>
              <w:rPr/>
              <w:t> </w:t>
            </w:r>
          </w:p>
        </w:tc>
        <w:tc>
          <w:tcPr>
            <w:tcW w:w="819"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3,664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7,086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7,910</w:t>
            </w:r>
          </w:p>
        </w:tc>
        <w:tc>
          <w:tcPr>
            <w:tcW w:w="135" w:type="dxa"/>
            <w:tcBorders/>
            <w:vAlign w:val="bottom"/>
          </w:tcPr>
          <w:p>
            <w:pPr>
              <w:pStyle w:val="TableContents"/>
              <w:bidi w:val="0"/>
              <w:spacing w:before="0" w:after="283"/>
              <w:jc w:val="left"/>
              <w:rPr/>
            </w:pPr>
            <w:r>
              <w:rPr/>
              <w:t> </w:t>
            </w:r>
          </w:p>
        </w:tc>
      </w:tr>
      <w:tr>
        <w:trPr/>
        <w:tc>
          <w:tcPr>
            <w:tcW w:w="2585" w:type="dxa"/>
            <w:tcBorders/>
            <w:shd w:fill="CCEEFF" w:val="clear"/>
            <w:vAlign w:val="bottom"/>
          </w:tcPr>
          <w:p>
            <w:pPr>
              <w:pStyle w:val="TableContents"/>
              <w:bidi w:val="0"/>
              <w:spacing w:before="0" w:after="0"/>
              <w:jc w:val="left"/>
              <w:rPr>
                <w:color w:val="000000"/>
              </w:rPr>
            </w:pPr>
            <w:r>
              <w:rPr>
                <w:color w:val="000000"/>
              </w:rPr>
              <w:t>Corporate and Other</w:t>
            </w:r>
          </w:p>
        </w:tc>
        <w:tc>
          <w:tcPr>
            <w:tcW w:w="90" w:type="dxa"/>
            <w:tcBorders/>
            <w:shd w:fill="CCEEFF" w:val="clear"/>
            <w:vAlign w:val="bottom"/>
          </w:tcPr>
          <w:p>
            <w:pPr>
              <w:pStyle w:val="TableContents"/>
              <w:bidi w:val="0"/>
              <w:spacing w:before="0" w:after="283"/>
              <w:jc w:val="right"/>
              <w:rPr/>
            </w:pPr>
            <w:r>
              <w:rPr/>
              <w:t> </w:t>
            </w:r>
          </w:p>
        </w:tc>
        <w:tc>
          <w:tcPr>
            <w:tcW w:w="19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6,621</w:t>
            </w:r>
          </w:p>
        </w:tc>
        <w:tc>
          <w:tcPr>
            <w:tcW w:w="103"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right"/>
              <w:rPr/>
            </w:pPr>
            <w:r>
              <w:rPr/>
              <w:t> </w:t>
            </w:r>
          </w:p>
        </w:tc>
        <w:tc>
          <w:tcPr>
            <w:tcW w:w="19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9"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6,280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12,815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13,060</w:t>
            </w:r>
          </w:p>
        </w:tc>
        <w:tc>
          <w:tcPr>
            <w:tcW w:w="135" w:type="dxa"/>
            <w:tcBorders/>
            <w:shd w:fill="CCEEFF" w:val="clear"/>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0"/>
              <w:ind w:left="180" w:right="0" w:hanging="0"/>
              <w:jc w:val="left"/>
              <w:rPr>
                <w:color w:val="000000"/>
              </w:rPr>
            </w:pPr>
            <w:r>
              <w:rPr>
                <w:color w:val="000000"/>
              </w:rPr>
              <w:t>Total</w:t>
            </w:r>
          </w:p>
        </w:tc>
        <w:tc>
          <w:tcPr>
            <w:tcW w:w="90" w:type="dxa"/>
            <w:tcBorders/>
            <w:vAlign w:val="bottom"/>
          </w:tcPr>
          <w:p>
            <w:pPr>
              <w:pStyle w:val="TableContents"/>
              <w:bidi w:val="0"/>
              <w:spacing w:before="0" w:after="283"/>
              <w:jc w:val="right"/>
              <w:rPr/>
            </w:pPr>
            <w:r>
              <w:rPr/>
              <w:t> </w:t>
            </w:r>
          </w:p>
        </w:tc>
        <w:tc>
          <w:tcPr>
            <w:tcW w:w="196"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1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12,658</w:t>
            </w:r>
          </w:p>
        </w:tc>
        <w:tc>
          <w:tcPr>
            <w:tcW w:w="103"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right"/>
              <w:rPr/>
            </w:pPr>
            <w:r>
              <w:rPr/>
              <w:t> </w:t>
            </w:r>
          </w:p>
        </w:tc>
        <w:tc>
          <w:tcPr>
            <w:tcW w:w="196"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819"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13,052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25,000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27,258</w:t>
            </w:r>
          </w:p>
        </w:tc>
        <w:tc>
          <w:tcPr>
            <w:tcW w:w="13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Capital Expenditures</w:t>
      </w:r>
    </w:p>
    <w:p>
      <w:pPr>
        <w:pStyle w:val="TextBody"/>
        <w:bidi w:val="0"/>
        <w:spacing w:before="0" w:after="0"/>
        <w:jc w:val="left"/>
        <w:rPr/>
      </w:pPr>
      <w:r>
        <w:rPr/>
      </w:r>
    </w:p>
    <w:tbl>
      <w:tblPr>
        <w:tblW w:w="7167" w:type="dxa"/>
        <w:jc w:val="left"/>
        <w:tblInd w:w="0" w:type="dxa"/>
        <w:tblLayout w:type="fixed"/>
        <w:tblCellMar>
          <w:top w:w="0" w:type="dxa"/>
          <w:left w:w="0" w:type="dxa"/>
          <w:bottom w:w="0" w:type="dxa"/>
          <w:right w:w="0" w:type="dxa"/>
        </w:tblCellMar>
      </w:tblPr>
      <w:tblGrid>
        <w:gridCol w:w="2585"/>
        <w:gridCol w:w="90"/>
        <w:gridCol w:w="219"/>
        <w:gridCol w:w="761"/>
        <w:gridCol w:w="161"/>
        <w:gridCol w:w="116"/>
        <w:gridCol w:w="219"/>
        <w:gridCol w:w="761"/>
        <w:gridCol w:w="90"/>
        <w:gridCol w:w="90"/>
        <w:gridCol w:w="170"/>
        <w:gridCol w:w="710"/>
        <w:gridCol w:w="90"/>
        <w:gridCol w:w="90"/>
        <w:gridCol w:w="170"/>
        <w:gridCol w:w="710"/>
        <w:gridCol w:w="135"/>
      </w:tblGrid>
      <w:tr>
        <w:trPr/>
        <w:tc>
          <w:tcPr>
            <w:tcW w:w="2585"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r>
          </w:p>
        </w:tc>
        <w:tc>
          <w:tcPr>
            <w:tcW w:w="2237"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w:t>
            </w:r>
          </w:p>
          <w:p>
            <w:pPr>
              <w:pStyle w:val="TableContents"/>
              <w:bidi w:val="0"/>
              <w:spacing w:before="0" w:after="0"/>
              <w:jc w:val="center"/>
              <w:rPr>
                <w:b/>
                <w:color w:val="000000"/>
              </w:rPr>
            </w:pPr>
            <w:r>
              <w:rPr>
                <w:b/>
                <w:color w:val="000000"/>
              </w:rPr>
              <w:t>June 30,</w:t>
            </w:r>
          </w:p>
        </w:tc>
        <w:tc>
          <w:tcPr>
            <w:tcW w:w="90" w:type="dxa"/>
            <w:tcBorders/>
            <w:vAlign w:val="bottom"/>
          </w:tcPr>
          <w:p>
            <w:pPr>
              <w:pStyle w:val="TableContents"/>
              <w:bidi w:val="0"/>
              <w:spacing w:before="0" w:after="283"/>
              <w:jc w:val="left"/>
              <w:rPr/>
            </w:pPr>
            <w:r>
              <w:rPr/>
            </w:r>
          </w:p>
        </w:tc>
        <w:tc>
          <w:tcPr>
            <w:tcW w:w="90" w:type="dxa"/>
            <w:tcBorders/>
            <w:vAlign w:val="bottom"/>
          </w:tcPr>
          <w:p>
            <w:pPr>
              <w:pStyle w:val="TableContents"/>
              <w:bidi w:val="0"/>
              <w:spacing w:before="0" w:after="283"/>
              <w:jc w:val="left"/>
              <w:rPr/>
            </w:pPr>
            <w:r>
              <w:rPr/>
            </w:r>
          </w:p>
        </w:tc>
        <w:tc>
          <w:tcPr>
            <w:tcW w:w="1940" w:type="dxa"/>
            <w:gridSpan w:val="6"/>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Six Months Ended</w:t>
            </w:r>
          </w:p>
          <w:p>
            <w:pPr>
              <w:pStyle w:val="TableContents"/>
              <w:bidi w:val="0"/>
              <w:spacing w:before="0" w:after="0"/>
              <w:jc w:val="center"/>
              <w:rPr>
                <w:b/>
                <w:color w:val="000000"/>
              </w:rPr>
            </w:pPr>
            <w:r>
              <w:rPr>
                <w:b/>
                <w:color w:val="000000"/>
              </w:rPr>
              <w:t>June 30,</w:t>
            </w:r>
          </w:p>
        </w:tc>
        <w:tc>
          <w:tcPr>
            <w:tcW w:w="135" w:type="dxa"/>
            <w:tcBorders/>
            <w:vAlign w:val="bottom"/>
          </w:tcPr>
          <w:p>
            <w:pPr>
              <w:pStyle w:val="TableContents"/>
              <w:bidi w:val="0"/>
              <w:spacing w:before="0" w:after="283"/>
              <w:jc w:val="left"/>
              <w:rPr/>
            </w:pPr>
            <w:r>
              <w:rPr/>
            </w:r>
          </w:p>
        </w:tc>
      </w:tr>
      <w:tr>
        <w:trPr/>
        <w:tc>
          <w:tcPr>
            <w:tcW w:w="2585" w:type="dxa"/>
            <w:tcBorders/>
            <w:vAlign w:val="bottom"/>
          </w:tcPr>
          <w:p>
            <w:pPr>
              <w:pStyle w:val="TableContents"/>
              <w:bidi w:val="0"/>
              <w:spacing w:before="0" w:after="0"/>
              <w:jc w:val="left"/>
              <w:rPr>
                <w:color w:val="000000"/>
              </w:rPr>
            </w:pPr>
            <w:r>
              <w:rPr>
                <w:color w:val="000000"/>
              </w:rPr>
              <w:t>(U.S. dollars in thousands)</w:t>
            </w:r>
          </w:p>
        </w:tc>
        <w:tc>
          <w:tcPr>
            <w:tcW w:w="90" w:type="dxa"/>
            <w:tcBorders/>
            <w:vAlign w:val="bottom"/>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161"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35" w:type="dxa"/>
            <w:tcBorders/>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0"/>
              <w:jc w:val="left"/>
              <w:rPr>
                <w:i/>
                <w:color w:val="000000"/>
              </w:rPr>
            </w:pPr>
            <w:r>
              <w:rPr>
                <w:i/>
                <w:color w:val="000000"/>
              </w:rPr>
              <w:t>Nu Skin</w:t>
            </w:r>
          </w:p>
        </w:tc>
        <w:tc>
          <w:tcPr>
            <w:tcW w:w="90" w:type="dxa"/>
            <w:tcBorders/>
            <w:vAlign w:val="bottom"/>
          </w:tcPr>
          <w:p>
            <w:pPr>
              <w:pStyle w:val="TableContents"/>
              <w:bidi w:val="0"/>
              <w:spacing w:before="0" w:after="283"/>
              <w:jc w:val="left"/>
              <w:rPr/>
            </w:pPr>
            <w:r>
              <w:rPr/>
              <w:t> </w:t>
            </w:r>
          </w:p>
        </w:tc>
        <w:tc>
          <w:tcPr>
            <w:tcW w:w="980" w:type="dxa"/>
            <w:gridSpan w:val="2"/>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9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r>
      <w:tr>
        <w:trPr/>
        <w:tc>
          <w:tcPr>
            <w:tcW w:w="2585" w:type="dxa"/>
            <w:tcBorders/>
            <w:shd w:fill="CCEEFF" w:val="clear"/>
            <w:vAlign w:val="bottom"/>
          </w:tcPr>
          <w:p>
            <w:pPr>
              <w:pStyle w:val="TableContents"/>
              <w:bidi w:val="0"/>
              <w:spacing w:before="0" w:after="0"/>
              <w:ind w:left="360" w:right="0" w:hanging="0"/>
              <w:jc w:val="left"/>
              <w:rPr>
                <w:color w:val="000000"/>
              </w:rPr>
            </w:pPr>
            <w:r>
              <w:rPr>
                <w:color w:val="000000"/>
              </w:rPr>
              <w:t>Americas</w:t>
            </w:r>
          </w:p>
        </w:tc>
        <w:tc>
          <w:tcPr>
            <w:tcW w:w="9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0"/>
              <w:jc w:val="left"/>
              <w:rPr>
                <w:color w:val="000000"/>
              </w:rPr>
            </w:pPr>
            <w:r>
              <w:rPr>
                <w:color w:val="000000"/>
              </w:rPr>
              <w:t>$</w:t>
            </w:r>
          </w:p>
        </w:tc>
        <w:tc>
          <w:tcPr>
            <w:tcW w:w="761" w:type="dxa"/>
            <w:tcBorders/>
            <w:shd w:fill="CCEEFF" w:val="clear"/>
            <w:vAlign w:val="bottom"/>
          </w:tcPr>
          <w:p>
            <w:pPr>
              <w:pStyle w:val="TableContents"/>
              <w:bidi w:val="0"/>
              <w:spacing w:before="0" w:after="0"/>
              <w:jc w:val="right"/>
              <w:rPr>
                <w:color w:val="000000"/>
              </w:rPr>
            </w:pPr>
            <w:r>
              <w:rPr>
                <w:color w:val="000000"/>
              </w:rPr>
              <w:t>-</w:t>
            </w:r>
          </w:p>
        </w:tc>
        <w:tc>
          <w:tcPr>
            <w:tcW w:w="161"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0"/>
              <w:jc w:val="left"/>
              <w:rPr>
                <w:color w:val="000000"/>
              </w:rPr>
            </w:pPr>
            <w:r>
              <w:rPr>
                <w:color w:val="000000"/>
              </w:rPr>
              <w:t>$</w:t>
            </w:r>
          </w:p>
        </w:tc>
        <w:tc>
          <w:tcPr>
            <w:tcW w:w="761" w:type="dxa"/>
            <w:tcBorders/>
            <w:shd w:fill="CCEEFF" w:val="clear"/>
            <w:vAlign w:val="bottom"/>
          </w:tcPr>
          <w:p>
            <w:pPr>
              <w:pStyle w:val="TableContents"/>
              <w:bidi w:val="0"/>
              <w:spacing w:before="0" w:after="0"/>
              <w:jc w:val="right"/>
              <w:rPr>
                <w:color w:val="000000"/>
              </w:rPr>
            </w:pPr>
            <w:r>
              <w:rPr>
                <w:color w:val="000000"/>
              </w:rPr>
              <w:t>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color w:val="000000"/>
              </w:rPr>
            </w:pPr>
            <w:r>
              <w:rPr>
                <w:color w:val="000000"/>
              </w:rPr>
              <w:t>$</w:t>
            </w:r>
          </w:p>
        </w:tc>
        <w:tc>
          <w:tcPr>
            <w:tcW w:w="710" w:type="dxa"/>
            <w:tcBorders/>
            <w:shd w:fill="CCEEFF" w:val="clear"/>
            <w:vAlign w:val="bottom"/>
          </w:tcPr>
          <w:p>
            <w:pPr>
              <w:pStyle w:val="TableContents"/>
              <w:bidi w:val="0"/>
              <w:spacing w:before="0" w:after="0"/>
              <w:jc w:val="right"/>
              <w:rPr>
                <w:color w:val="000000"/>
              </w:rPr>
            </w:pPr>
            <w:r>
              <w:rPr>
                <w:color w:val="000000"/>
              </w:rPr>
              <w:t>19</w:t>
            </w:r>
          </w:p>
        </w:tc>
        <w:tc>
          <w:tcPr>
            <w:tcW w:w="135" w:type="dxa"/>
            <w:tcBorders/>
            <w:shd w:fill="CCEEFF" w:val="clear"/>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0"/>
              <w:ind w:left="360" w:right="0" w:hanging="0"/>
              <w:jc w:val="left"/>
              <w:rPr>
                <w:color w:val="000000"/>
              </w:rPr>
            </w:pPr>
            <w:r>
              <w:rPr>
                <w:color w:val="000000"/>
              </w:rPr>
              <w:t>Mainland China</w:t>
            </w:r>
          </w:p>
        </w:tc>
        <w:tc>
          <w:tcPr>
            <w:tcW w:w="9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0"/>
              <w:jc w:val="right"/>
              <w:rPr>
                <w:color w:val="000000"/>
              </w:rPr>
            </w:pPr>
            <w:r>
              <w:rPr>
                <w:color w:val="000000"/>
              </w:rPr>
              <w:t>277</w:t>
            </w:r>
          </w:p>
        </w:tc>
        <w:tc>
          <w:tcPr>
            <w:tcW w:w="161"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0"/>
              <w:jc w:val="right"/>
              <w:rPr>
                <w:color w:val="000000"/>
              </w:rPr>
            </w:pPr>
            <w:r>
              <w:rPr>
                <w:color w:val="000000"/>
              </w:rPr>
              <w:t>470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542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948</w:t>
            </w:r>
          </w:p>
        </w:tc>
        <w:tc>
          <w:tcPr>
            <w:tcW w:w="135" w:type="dxa"/>
            <w:tcBorders/>
            <w:vAlign w:val="bottom"/>
          </w:tcPr>
          <w:p>
            <w:pPr>
              <w:pStyle w:val="TableContents"/>
              <w:bidi w:val="0"/>
              <w:spacing w:before="0" w:after="283"/>
              <w:jc w:val="left"/>
              <w:rPr/>
            </w:pPr>
            <w:r>
              <w:rPr/>
              <w:t> </w:t>
            </w:r>
          </w:p>
        </w:tc>
      </w:tr>
      <w:tr>
        <w:trPr/>
        <w:tc>
          <w:tcPr>
            <w:tcW w:w="2585" w:type="dxa"/>
            <w:tcBorders/>
            <w:shd w:fill="CCEEFF" w:val="clear"/>
            <w:vAlign w:val="bottom"/>
          </w:tcPr>
          <w:p>
            <w:pPr>
              <w:pStyle w:val="TableContents"/>
              <w:bidi w:val="0"/>
              <w:spacing w:before="0" w:after="0"/>
              <w:ind w:left="360" w:right="0" w:hanging="0"/>
              <w:jc w:val="left"/>
              <w:rPr>
                <w:color w:val="000000"/>
              </w:rPr>
            </w:pPr>
            <w:r>
              <w:rPr>
                <w:color w:val="000000"/>
              </w:rPr>
              <w:t>Southeast Asia/Pacific</w:t>
            </w:r>
          </w:p>
        </w:tc>
        <w:tc>
          <w:tcPr>
            <w:tcW w:w="9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761" w:type="dxa"/>
            <w:tcBorders/>
            <w:shd w:fill="CCEEFF" w:val="clear"/>
            <w:vAlign w:val="bottom"/>
          </w:tcPr>
          <w:p>
            <w:pPr>
              <w:pStyle w:val="TableContents"/>
              <w:bidi w:val="0"/>
              <w:spacing w:before="0" w:after="0"/>
              <w:jc w:val="right"/>
              <w:rPr>
                <w:color w:val="000000"/>
              </w:rPr>
            </w:pPr>
            <w:r>
              <w:rPr>
                <w:color w:val="000000"/>
              </w:rPr>
              <w:t>-</w:t>
            </w:r>
          </w:p>
        </w:tc>
        <w:tc>
          <w:tcPr>
            <w:tcW w:w="161"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761" w:type="dxa"/>
            <w:tcBorders/>
            <w:shd w:fill="CCEEFF" w:val="clear"/>
            <w:vAlign w:val="bottom"/>
          </w:tcPr>
          <w:p>
            <w:pPr>
              <w:pStyle w:val="TableContents"/>
              <w:bidi w:val="0"/>
              <w:spacing w:before="0" w:after="0"/>
              <w:jc w:val="right"/>
              <w:rPr>
                <w:color w:val="000000"/>
              </w:rPr>
            </w:pPr>
            <w:r>
              <w:rPr>
                <w:color w:val="000000"/>
              </w:rPr>
              <w:t>79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10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79</w:t>
            </w:r>
          </w:p>
        </w:tc>
        <w:tc>
          <w:tcPr>
            <w:tcW w:w="135" w:type="dxa"/>
            <w:tcBorders/>
            <w:shd w:fill="CCEEFF" w:val="clear"/>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0"/>
              <w:ind w:left="360" w:right="0" w:hanging="0"/>
              <w:jc w:val="left"/>
              <w:rPr>
                <w:color w:val="000000"/>
              </w:rPr>
            </w:pPr>
            <w:r>
              <w:rPr>
                <w:color w:val="000000"/>
              </w:rPr>
              <w:t>Japan</w:t>
            </w:r>
          </w:p>
        </w:tc>
        <w:tc>
          <w:tcPr>
            <w:tcW w:w="9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0"/>
              <w:jc w:val="right"/>
              <w:rPr>
                <w:color w:val="000000"/>
              </w:rPr>
            </w:pPr>
            <w:r>
              <w:rPr>
                <w:color w:val="000000"/>
              </w:rPr>
              <w:t>18</w:t>
            </w:r>
          </w:p>
        </w:tc>
        <w:tc>
          <w:tcPr>
            <w:tcW w:w="161"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0"/>
              <w:jc w:val="right"/>
              <w:rPr>
                <w:color w:val="000000"/>
              </w:rPr>
            </w:pPr>
            <w:r>
              <w:rPr>
                <w:color w:val="000000"/>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21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w:t>
            </w:r>
          </w:p>
        </w:tc>
        <w:tc>
          <w:tcPr>
            <w:tcW w:w="135" w:type="dxa"/>
            <w:tcBorders/>
            <w:vAlign w:val="bottom"/>
          </w:tcPr>
          <w:p>
            <w:pPr>
              <w:pStyle w:val="TableContents"/>
              <w:bidi w:val="0"/>
              <w:spacing w:before="0" w:after="283"/>
              <w:jc w:val="left"/>
              <w:rPr/>
            </w:pPr>
            <w:r>
              <w:rPr/>
              <w:t> </w:t>
            </w:r>
          </w:p>
        </w:tc>
      </w:tr>
      <w:tr>
        <w:trPr/>
        <w:tc>
          <w:tcPr>
            <w:tcW w:w="2585" w:type="dxa"/>
            <w:tcBorders/>
            <w:shd w:fill="CCEEFF" w:val="clear"/>
            <w:vAlign w:val="bottom"/>
          </w:tcPr>
          <w:p>
            <w:pPr>
              <w:pStyle w:val="TableContents"/>
              <w:bidi w:val="0"/>
              <w:spacing w:before="0" w:after="0"/>
              <w:ind w:left="360" w:right="0" w:hanging="0"/>
              <w:jc w:val="left"/>
              <w:rPr>
                <w:color w:val="000000"/>
              </w:rPr>
            </w:pPr>
            <w:r>
              <w:rPr>
                <w:color w:val="000000"/>
              </w:rPr>
              <w:t>Europe &amp; Africa</w:t>
            </w:r>
          </w:p>
        </w:tc>
        <w:tc>
          <w:tcPr>
            <w:tcW w:w="9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761" w:type="dxa"/>
            <w:tcBorders/>
            <w:shd w:fill="CCEEFF" w:val="clear"/>
            <w:vAlign w:val="bottom"/>
          </w:tcPr>
          <w:p>
            <w:pPr>
              <w:pStyle w:val="TableContents"/>
              <w:bidi w:val="0"/>
              <w:spacing w:before="0" w:after="0"/>
              <w:jc w:val="right"/>
              <w:rPr>
                <w:color w:val="000000"/>
              </w:rPr>
            </w:pPr>
            <w:r>
              <w:rPr>
                <w:color w:val="000000"/>
              </w:rPr>
              <w:t>36</w:t>
            </w:r>
          </w:p>
        </w:tc>
        <w:tc>
          <w:tcPr>
            <w:tcW w:w="161"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761" w:type="dxa"/>
            <w:tcBorders/>
            <w:shd w:fill="CCEEFF" w:val="clear"/>
            <w:vAlign w:val="bottom"/>
          </w:tcPr>
          <w:p>
            <w:pPr>
              <w:pStyle w:val="TableContents"/>
              <w:bidi w:val="0"/>
              <w:spacing w:before="0" w:after="0"/>
              <w:jc w:val="right"/>
              <w:rPr>
                <w:color w:val="000000"/>
              </w:rPr>
            </w:pPr>
            <w:r>
              <w:rPr>
                <w:color w:val="000000"/>
              </w:rPr>
              <w:t>5</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80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color w:val="000000"/>
              </w:rPr>
            </w:pPr>
            <w:r>
              <w:rPr>
                <w:color w:val="000000"/>
              </w:rPr>
              <w:t>11</w:t>
            </w:r>
          </w:p>
        </w:tc>
        <w:tc>
          <w:tcPr>
            <w:tcW w:w="135" w:type="dxa"/>
            <w:tcBorders/>
            <w:shd w:fill="CCEEFF" w:val="clear"/>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0"/>
              <w:ind w:left="360" w:right="0" w:hanging="0"/>
              <w:jc w:val="left"/>
              <w:rPr>
                <w:color w:val="000000"/>
              </w:rPr>
            </w:pPr>
            <w:r>
              <w:rPr>
                <w:color w:val="000000"/>
              </w:rPr>
              <w:t>Hong Kong/Taiwan</w:t>
            </w:r>
          </w:p>
        </w:tc>
        <w:tc>
          <w:tcPr>
            <w:tcW w:w="9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0"/>
              <w:jc w:val="right"/>
              <w:rPr>
                <w:color w:val="000000"/>
              </w:rPr>
            </w:pPr>
            <w:r>
              <w:rPr>
                <w:color w:val="000000"/>
              </w:rPr>
              <w:t>15</w:t>
            </w:r>
          </w:p>
        </w:tc>
        <w:tc>
          <w:tcPr>
            <w:tcW w:w="161"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0"/>
              <w:jc w:val="right"/>
              <w:rPr>
                <w:color w:val="000000"/>
              </w:rPr>
            </w:pPr>
            <w:r>
              <w:rPr>
                <w:color w:val="000000"/>
              </w:rPr>
              <w:t>52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38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120</w:t>
            </w:r>
          </w:p>
        </w:tc>
        <w:tc>
          <w:tcPr>
            <w:tcW w:w="135" w:type="dxa"/>
            <w:tcBorders/>
            <w:vAlign w:val="bottom"/>
          </w:tcPr>
          <w:p>
            <w:pPr>
              <w:pStyle w:val="TableContents"/>
              <w:bidi w:val="0"/>
              <w:spacing w:before="0" w:after="283"/>
              <w:jc w:val="left"/>
              <w:rPr/>
            </w:pPr>
            <w:r>
              <w:rPr/>
              <w:t> </w:t>
            </w:r>
          </w:p>
        </w:tc>
      </w:tr>
      <w:tr>
        <w:trPr/>
        <w:tc>
          <w:tcPr>
            <w:tcW w:w="2585" w:type="dxa"/>
            <w:tcBorders/>
            <w:shd w:fill="CCEEFF" w:val="clear"/>
            <w:vAlign w:val="bottom"/>
          </w:tcPr>
          <w:p>
            <w:pPr>
              <w:pStyle w:val="TableContents"/>
              <w:bidi w:val="0"/>
              <w:spacing w:before="0" w:after="0"/>
              <w:ind w:left="360" w:right="0" w:hanging="0"/>
              <w:jc w:val="left"/>
              <w:rPr>
                <w:color w:val="000000"/>
              </w:rPr>
            </w:pPr>
            <w:r>
              <w:rPr>
                <w:color w:val="000000"/>
              </w:rPr>
              <w:t>South Korea</w:t>
            </w:r>
          </w:p>
        </w:tc>
        <w:tc>
          <w:tcPr>
            <w:tcW w:w="90" w:type="dxa"/>
            <w:tcBorders/>
            <w:shd w:fill="CCEEFF" w:val="clear"/>
            <w:vAlign w:val="bottom"/>
          </w:tcPr>
          <w:p>
            <w:pPr>
              <w:pStyle w:val="TableContents"/>
              <w:bidi w:val="0"/>
              <w:spacing w:before="0" w:after="283"/>
              <w:jc w:val="left"/>
              <w:rPr/>
            </w:pPr>
            <w:r>
              <w:rPr/>
              <w:t> </w:t>
            </w:r>
          </w:p>
        </w:tc>
        <w:tc>
          <w:tcPr>
            <w:tcW w:w="21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6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126</w:t>
            </w:r>
          </w:p>
        </w:tc>
        <w:tc>
          <w:tcPr>
            <w:tcW w:w="161"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21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6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133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18</w:t>
            </w:r>
          </w:p>
        </w:tc>
        <w:tc>
          <w:tcPr>
            <w:tcW w:w="135" w:type="dxa"/>
            <w:tcBorders/>
            <w:shd w:fill="CCEEFF" w:val="clear"/>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0"/>
              <w:jc w:val="left"/>
              <w:rPr>
                <w:i/>
                <w:color w:val="000000"/>
              </w:rPr>
            </w:pPr>
            <w:r>
              <w:rPr>
                <w:i/>
                <w:color w:val="000000"/>
              </w:rPr>
              <w:t>Total Nu Skin</w:t>
            </w:r>
          </w:p>
        </w:tc>
        <w:tc>
          <w:tcPr>
            <w:tcW w:w="9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0"/>
              <w:jc w:val="right"/>
              <w:rPr>
                <w:color w:val="000000"/>
              </w:rPr>
            </w:pPr>
            <w:r>
              <w:rPr>
                <w:color w:val="000000"/>
              </w:rPr>
              <w:t>472</w:t>
            </w:r>
          </w:p>
        </w:tc>
        <w:tc>
          <w:tcPr>
            <w:tcW w:w="161"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0"/>
              <w:jc w:val="right"/>
              <w:rPr>
                <w:color w:val="000000"/>
              </w:rPr>
            </w:pPr>
            <w:r>
              <w:rPr>
                <w:color w:val="000000"/>
              </w:rPr>
              <w:t>630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831</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1,195</w:t>
            </w:r>
          </w:p>
        </w:tc>
        <w:tc>
          <w:tcPr>
            <w:tcW w:w="135" w:type="dxa"/>
            <w:tcBorders/>
            <w:vAlign w:val="bottom"/>
          </w:tcPr>
          <w:p>
            <w:pPr>
              <w:pStyle w:val="TableContents"/>
              <w:bidi w:val="0"/>
              <w:spacing w:before="0" w:after="283"/>
              <w:jc w:val="left"/>
              <w:rPr/>
            </w:pPr>
            <w:r>
              <w:rPr/>
              <w:t> </w:t>
            </w:r>
          </w:p>
        </w:tc>
      </w:tr>
      <w:tr>
        <w:trPr/>
        <w:tc>
          <w:tcPr>
            <w:tcW w:w="2585" w:type="dxa"/>
            <w:tcBorders/>
            <w:shd w:fill="CCEEFF" w:val="clear"/>
            <w:vAlign w:val="bottom"/>
          </w:tcPr>
          <w:p>
            <w:pPr>
              <w:pStyle w:val="TableContents"/>
              <w:bidi w:val="0"/>
              <w:spacing w:before="0" w:after="0"/>
              <w:jc w:val="left"/>
              <w:rPr>
                <w:i/>
                <w:color w:val="000000"/>
              </w:rPr>
            </w:pPr>
            <w:r>
              <w:rPr>
                <w:i/>
                <w:color w:val="000000"/>
              </w:rPr>
              <w:t>Rhyz</w:t>
            </w:r>
          </w:p>
        </w:tc>
        <w:tc>
          <w:tcPr>
            <w:tcW w:w="90"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761"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761"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0"/>
              <w:ind w:left="360" w:right="0" w:hanging="0"/>
              <w:jc w:val="left"/>
              <w:rPr>
                <w:color w:val="000000"/>
              </w:rPr>
            </w:pPr>
            <w:r>
              <w:rPr>
                <w:color w:val="000000"/>
              </w:rPr>
              <w:t>Manufacturing</w:t>
            </w:r>
          </w:p>
        </w:tc>
        <w:tc>
          <w:tcPr>
            <w:tcW w:w="90"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0"/>
              <w:jc w:val="right"/>
              <w:rPr>
                <w:color w:val="000000"/>
              </w:rPr>
            </w:pPr>
            <w:r>
              <w:rPr>
                <w:color w:val="000000"/>
              </w:rPr>
              <w:t>(252</w:t>
            </w:r>
          </w:p>
        </w:tc>
        <w:tc>
          <w:tcPr>
            <w:tcW w:w="161" w:type="dxa"/>
            <w:tcBorders/>
            <w:vAlign w:val="bottom"/>
          </w:tcPr>
          <w:p>
            <w:pPr>
              <w:pStyle w:val="TableContents"/>
              <w:bidi w:val="0"/>
              <w:spacing w:before="0" w:after="0"/>
              <w:jc w:val="left"/>
              <w:rPr>
                <w:color w:val="000000"/>
              </w:rPr>
            </w:pPr>
            <w:r>
              <w:rPr>
                <w:color w:val="000000"/>
              </w:rPr>
              <w:t>)</w:t>
            </w:r>
          </w:p>
        </w:tc>
        <w:tc>
          <w:tcPr>
            <w:tcW w:w="116"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0"/>
              <w:jc w:val="right"/>
              <w:rPr>
                <w:color w:val="000000"/>
              </w:rPr>
            </w:pPr>
            <w:r>
              <w:rPr>
                <w:color w:val="000000"/>
              </w:rPr>
              <w:t>988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4,440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color w:val="000000"/>
              </w:rPr>
            </w:pPr>
            <w:r>
              <w:rPr>
                <w:color w:val="000000"/>
              </w:rPr>
              <w:t>1,662</w:t>
            </w:r>
          </w:p>
        </w:tc>
        <w:tc>
          <w:tcPr>
            <w:tcW w:w="135" w:type="dxa"/>
            <w:tcBorders/>
            <w:vAlign w:val="bottom"/>
          </w:tcPr>
          <w:p>
            <w:pPr>
              <w:pStyle w:val="TableContents"/>
              <w:bidi w:val="0"/>
              <w:spacing w:before="0" w:after="283"/>
              <w:jc w:val="left"/>
              <w:rPr/>
            </w:pPr>
            <w:r>
              <w:rPr/>
              <w:t> </w:t>
            </w:r>
          </w:p>
        </w:tc>
      </w:tr>
      <w:tr>
        <w:trPr/>
        <w:tc>
          <w:tcPr>
            <w:tcW w:w="2585" w:type="dxa"/>
            <w:tcBorders/>
            <w:shd w:fill="CCEEFF" w:val="clear"/>
            <w:vAlign w:val="bottom"/>
          </w:tcPr>
          <w:p>
            <w:pPr>
              <w:pStyle w:val="TableContents"/>
              <w:bidi w:val="0"/>
              <w:spacing w:before="0" w:after="0"/>
              <w:ind w:left="360" w:right="0" w:hanging="0"/>
              <w:jc w:val="left"/>
              <w:rPr>
                <w:color w:val="000000"/>
              </w:rPr>
            </w:pPr>
            <w:r>
              <w:rPr>
                <w:color w:val="000000"/>
              </w:rPr>
              <w:t>Rhyz Other</w:t>
            </w:r>
          </w:p>
        </w:tc>
        <w:tc>
          <w:tcPr>
            <w:tcW w:w="90" w:type="dxa"/>
            <w:tcBorders/>
            <w:shd w:fill="CCEEFF" w:val="clear"/>
            <w:vAlign w:val="bottom"/>
          </w:tcPr>
          <w:p>
            <w:pPr>
              <w:pStyle w:val="TableContents"/>
              <w:bidi w:val="0"/>
              <w:spacing w:before="0" w:after="283"/>
              <w:jc w:val="left"/>
              <w:rPr/>
            </w:pPr>
            <w:r>
              <w:rPr/>
              <w:t> </w:t>
            </w:r>
          </w:p>
        </w:tc>
        <w:tc>
          <w:tcPr>
            <w:tcW w:w="21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6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w:t>
            </w:r>
          </w:p>
        </w:tc>
        <w:tc>
          <w:tcPr>
            <w:tcW w:w="161"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21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6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16</w:t>
            </w:r>
          </w:p>
        </w:tc>
        <w:tc>
          <w:tcPr>
            <w:tcW w:w="135" w:type="dxa"/>
            <w:tcBorders/>
            <w:shd w:fill="CCEEFF" w:val="clear"/>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0"/>
              <w:jc w:val="left"/>
              <w:rPr>
                <w:i/>
                <w:color w:val="000000"/>
              </w:rPr>
            </w:pPr>
            <w:r>
              <w:rPr>
                <w:i/>
                <w:color w:val="000000"/>
              </w:rPr>
              <w:t>Total Rhyz</w:t>
            </w:r>
          </w:p>
        </w:tc>
        <w:tc>
          <w:tcPr>
            <w:tcW w:w="90" w:type="dxa"/>
            <w:tcBorders/>
            <w:vAlign w:val="bottom"/>
          </w:tcPr>
          <w:p>
            <w:pPr>
              <w:pStyle w:val="TableContents"/>
              <w:bidi w:val="0"/>
              <w:spacing w:before="0" w:after="283"/>
              <w:jc w:val="left"/>
              <w:rPr/>
            </w:pPr>
            <w:r>
              <w:rPr/>
              <w:t> </w:t>
            </w:r>
          </w:p>
        </w:tc>
        <w:tc>
          <w:tcPr>
            <w:tcW w:w="219" w:type="dxa"/>
            <w:tcBorders>
              <w:bottom w:val="single" w:sz="12" w:space="0" w:color="000000"/>
            </w:tcBorders>
            <w:tcMar>
              <w:bottom w:w="28" w:type="dxa"/>
            </w:tcMar>
            <w:vAlign w:val="bottom"/>
          </w:tcPr>
          <w:p>
            <w:pPr>
              <w:pStyle w:val="TableContents"/>
              <w:bidi w:val="0"/>
              <w:spacing w:before="0" w:after="283"/>
              <w:jc w:val="left"/>
              <w:rPr/>
            </w:pPr>
            <w:r>
              <w:rPr/>
              <w:t> </w:t>
            </w:r>
          </w:p>
        </w:tc>
        <w:tc>
          <w:tcPr>
            <w:tcW w:w="76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(250</w:t>
            </w:r>
          </w:p>
        </w:tc>
        <w:tc>
          <w:tcPr>
            <w:tcW w:w="161" w:type="dxa"/>
            <w:tcBorders/>
            <w:vAlign w:val="bottom"/>
          </w:tcPr>
          <w:p>
            <w:pPr>
              <w:pStyle w:val="TableContents"/>
              <w:bidi w:val="0"/>
              <w:spacing w:before="0" w:after="0"/>
              <w:jc w:val="left"/>
              <w:rPr>
                <w:color w:val="000000"/>
              </w:rPr>
            </w:pPr>
            <w:r>
              <w:rPr>
                <w:color w:val="000000"/>
              </w:rPr>
              <w:t>)</w:t>
            </w:r>
          </w:p>
        </w:tc>
        <w:tc>
          <w:tcPr>
            <w:tcW w:w="116" w:type="dxa"/>
            <w:tcBorders/>
            <w:vAlign w:val="bottom"/>
          </w:tcPr>
          <w:p>
            <w:pPr>
              <w:pStyle w:val="TableContents"/>
              <w:bidi w:val="0"/>
              <w:spacing w:before="0" w:after="283"/>
              <w:jc w:val="left"/>
              <w:rPr/>
            </w:pPr>
            <w:r>
              <w:rPr/>
              <w:t> </w:t>
            </w:r>
          </w:p>
        </w:tc>
        <w:tc>
          <w:tcPr>
            <w:tcW w:w="219" w:type="dxa"/>
            <w:tcBorders>
              <w:bottom w:val="single" w:sz="12" w:space="0" w:color="000000"/>
            </w:tcBorders>
            <w:tcMar>
              <w:bottom w:w="28" w:type="dxa"/>
            </w:tcMar>
            <w:vAlign w:val="bottom"/>
          </w:tcPr>
          <w:p>
            <w:pPr>
              <w:pStyle w:val="TableContents"/>
              <w:bidi w:val="0"/>
              <w:spacing w:before="0" w:after="283"/>
              <w:jc w:val="left"/>
              <w:rPr/>
            </w:pPr>
            <w:r>
              <w:rPr/>
              <w:t> </w:t>
            </w:r>
          </w:p>
        </w:tc>
        <w:tc>
          <w:tcPr>
            <w:tcW w:w="761"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988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4,442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1,678</w:t>
            </w:r>
          </w:p>
        </w:tc>
        <w:tc>
          <w:tcPr>
            <w:tcW w:w="135" w:type="dxa"/>
            <w:tcBorders/>
            <w:vAlign w:val="bottom"/>
          </w:tcPr>
          <w:p>
            <w:pPr>
              <w:pStyle w:val="TableContents"/>
              <w:bidi w:val="0"/>
              <w:spacing w:before="0" w:after="283"/>
              <w:jc w:val="left"/>
              <w:rPr/>
            </w:pPr>
            <w:r>
              <w:rPr/>
              <w:t> </w:t>
            </w:r>
          </w:p>
        </w:tc>
      </w:tr>
      <w:tr>
        <w:trPr/>
        <w:tc>
          <w:tcPr>
            <w:tcW w:w="2585" w:type="dxa"/>
            <w:tcBorders/>
            <w:shd w:fill="CCEEFF" w:val="clear"/>
            <w:vAlign w:val="bottom"/>
          </w:tcPr>
          <w:p>
            <w:pPr>
              <w:pStyle w:val="TableContents"/>
              <w:bidi w:val="0"/>
              <w:spacing w:before="0" w:after="0"/>
              <w:jc w:val="left"/>
              <w:rPr>
                <w:color w:val="000000"/>
              </w:rPr>
            </w:pPr>
            <w:r>
              <w:rPr>
                <w:color w:val="000000"/>
              </w:rPr>
              <w:t>Corporate and other</w:t>
            </w:r>
          </w:p>
        </w:tc>
        <w:tc>
          <w:tcPr>
            <w:tcW w:w="90" w:type="dxa"/>
            <w:tcBorders/>
            <w:shd w:fill="CCEEFF" w:val="clear"/>
            <w:vAlign w:val="bottom"/>
          </w:tcPr>
          <w:p>
            <w:pPr>
              <w:pStyle w:val="TableContents"/>
              <w:bidi w:val="0"/>
              <w:spacing w:before="0" w:after="283"/>
              <w:jc w:val="left"/>
              <w:rPr/>
            </w:pPr>
            <w:r>
              <w:rPr/>
              <w:t> </w:t>
            </w:r>
          </w:p>
        </w:tc>
        <w:tc>
          <w:tcPr>
            <w:tcW w:w="21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6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5,416</w:t>
            </w:r>
          </w:p>
        </w:tc>
        <w:tc>
          <w:tcPr>
            <w:tcW w:w="161"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21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61"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3,399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14,079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10,729</w:t>
            </w:r>
          </w:p>
        </w:tc>
        <w:tc>
          <w:tcPr>
            <w:tcW w:w="135" w:type="dxa"/>
            <w:tcBorders/>
            <w:shd w:fill="CCEEFF" w:val="clear"/>
            <w:vAlign w:val="bottom"/>
          </w:tcPr>
          <w:p>
            <w:pPr>
              <w:pStyle w:val="TableContents"/>
              <w:bidi w:val="0"/>
              <w:spacing w:before="0" w:after="283"/>
              <w:jc w:val="left"/>
              <w:rPr/>
            </w:pPr>
            <w:r>
              <w:rPr/>
              <w:t> </w:t>
            </w:r>
          </w:p>
        </w:tc>
      </w:tr>
      <w:tr>
        <w:trPr/>
        <w:tc>
          <w:tcPr>
            <w:tcW w:w="2585" w:type="dxa"/>
            <w:tcBorders/>
            <w:vAlign w:val="bottom"/>
          </w:tcPr>
          <w:p>
            <w:pPr>
              <w:pStyle w:val="TableContents"/>
              <w:bidi w:val="0"/>
              <w:spacing w:before="0" w:after="0"/>
              <w:ind w:left="180" w:right="0" w:hanging="0"/>
              <w:jc w:val="left"/>
              <w:rPr>
                <w:color w:val="000000"/>
              </w:rPr>
            </w:pPr>
            <w:r>
              <w:rPr>
                <w:color w:val="000000"/>
              </w:rPr>
              <w:t>Total</w:t>
            </w:r>
          </w:p>
        </w:tc>
        <w:tc>
          <w:tcPr>
            <w:tcW w:w="90" w:type="dxa"/>
            <w:tcBorders/>
            <w:vAlign w:val="bottom"/>
          </w:tcPr>
          <w:p>
            <w:pPr>
              <w:pStyle w:val="TableContents"/>
              <w:bidi w:val="0"/>
              <w:spacing w:before="0" w:after="283"/>
              <w:jc w:val="left"/>
              <w:rPr/>
            </w:pPr>
            <w:r>
              <w:rPr/>
              <w:t> </w:t>
            </w:r>
          </w:p>
        </w:tc>
        <w:tc>
          <w:tcPr>
            <w:tcW w:w="219"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61"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5,638</w:t>
            </w:r>
          </w:p>
        </w:tc>
        <w:tc>
          <w:tcPr>
            <w:tcW w:w="161"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219"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61"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5,017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19,352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color w:val="000000"/>
              </w:rPr>
            </w:pPr>
            <w:r>
              <w:rPr>
                <w:color w:val="000000"/>
              </w:rPr>
              <w:t>$</w:t>
            </w:r>
          </w:p>
        </w:tc>
        <w:tc>
          <w:tcPr>
            <w:tcW w:w="710" w:type="dxa"/>
            <w:tcBorders>
              <w:bottom w:val="double" w:sz="8" w:space="0" w:color="000000"/>
            </w:tcBorders>
            <w:tcMar>
              <w:bottom w:w="28" w:type="dxa"/>
            </w:tcMar>
            <w:vAlign w:val="bottom"/>
          </w:tcPr>
          <w:p>
            <w:pPr>
              <w:pStyle w:val="TableContents"/>
              <w:bidi w:val="0"/>
              <w:spacing w:before="0" w:after="0"/>
              <w:jc w:val="right"/>
              <w:rPr>
                <w:color w:val="000000"/>
              </w:rPr>
            </w:pPr>
            <w:r>
              <w:rPr>
                <w:color w:val="000000"/>
              </w:rPr>
              <w:t>13,602</w:t>
            </w:r>
          </w:p>
        </w:tc>
        <w:tc>
          <w:tcPr>
            <w:tcW w:w="13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tbl>
      <w:tblPr>
        <w:tblW w:w="3820" w:type="dxa"/>
        <w:jc w:val="left"/>
        <w:tblInd w:w="0" w:type="dxa"/>
        <w:tblLayout w:type="fixed"/>
        <w:tblCellMar>
          <w:top w:w="0" w:type="dxa"/>
          <w:left w:w="0" w:type="dxa"/>
          <w:bottom w:w="0" w:type="dxa"/>
          <w:right w:w="0" w:type="dxa"/>
        </w:tblCellMar>
      </w:tblPr>
      <w:tblGrid>
        <w:gridCol w:w="365"/>
        <w:gridCol w:w="3455"/>
      </w:tblGrid>
      <w:tr>
        <w:trPr/>
        <w:tc>
          <w:tcPr>
            <w:tcW w:w="365" w:type="dxa"/>
            <w:tcBorders/>
            <w:vAlign w:val="center"/>
          </w:tcPr>
          <w:p>
            <w:pPr>
              <w:pStyle w:val="TableContents"/>
              <w:bidi w:val="0"/>
              <w:spacing w:before="0" w:after="0"/>
              <w:jc w:val="left"/>
              <w:rPr>
                <w:b/>
              </w:rPr>
            </w:pPr>
            <w:r>
              <w:rPr>
                <w:b/>
              </w:rPr>
              <w:t>12.</w:t>
            </w:r>
          </w:p>
        </w:tc>
        <w:tc>
          <w:tcPr>
            <w:tcW w:w="3455" w:type="dxa"/>
            <w:tcBorders/>
            <w:vAlign w:val="center"/>
          </w:tcPr>
          <w:p>
            <w:pPr>
              <w:pStyle w:val="TableContents"/>
              <w:bidi w:val="0"/>
              <w:spacing w:before="0" w:after="0"/>
              <w:jc w:val="left"/>
              <w:rPr>
                <w:b/>
              </w:rPr>
            </w:pPr>
            <w:r>
              <w:rPr>
                <w:b/>
              </w:rPr>
              <w:t>Commitments and Contingencies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is subject to government regulations pertaining to product formulation, labeling and packaging, product claims and advertising, and the Company’s direct selling system. The Company is also subject to the jurisdiction of numerous foreign tax and customs authorities. Any assertions or determination that either the Company or the Company’s sales force is not in compliance with existing statutes, laws, rules or regulations could have a material adverse effect on the Company’s operations. In addition, in any country or jurisdiction, the adoption of new statutes, laws, rules or regulations or changes in the interpretation of existing statutes, laws, rules or regulations could have a material adverse effect on the Company and its operations. No assurance can be given that the Company’s compliance with applicable statutes, laws, rules and regulations will not be challenged by foreign authorities or that such challenges will not have a material adverse effect on the Company’s financial position, results of operations or cash flows. The Company and its Subsidiaries are defendants in litigation, investigations and other proceedings involving various matters. Management believes that the ultimate liability arising from such claims and contingencies, if any, is not likely to have a material adverse effect on the Company’s consolidated financial condition, results of operations or cash flows.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Company is subject to regular audits by federal, state and foreign tax authorities. These audits may result in additional tax liabilities. The Company believes it has appropriately provided for income taxes for all years. Several factors drive the calculation of its tax reserves. Some of these factors include: (i) the expiration of various statutes of limitations; (ii) changes in tax law and regulations; (iii) issuance of tax rulings; and (iv) settlements with tax authorities. Changes in any of these factors may result in adjustments to the Company’s reserves, which would impact its reported financial results.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Normal"/>
        <w:bidi w:val="0"/>
        <w:spacing w:before="0" w:after="0"/>
        <w:jc w:val="left"/>
        <w:rPr>
          <w:sz w:val="4"/>
          <w:szCs w:val="4"/>
        </w:rPr>
      </w:pPr>
      <w:r>
        <w:rPr>
          <w:sz w:val="4"/>
          <w:szCs w:val="4"/>
        </w:rPr>
      </w:r>
      <w:bookmarkStart w:id="13" w:name="MANAGEMENTSDISCUSSIONANDA"/>
      <w:bookmarkStart w:id="14" w:name="MANAGEMENTSDISCUSSIONANDA"/>
      <w:bookmarkEnd w:id="14"/>
    </w:p>
    <w:tbl>
      <w:tblPr>
        <w:tblW w:w="10205" w:type="dxa"/>
        <w:jc w:val="left"/>
        <w:tblInd w:w="0" w:type="dxa"/>
        <w:tblLayout w:type="fixed"/>
        <w:tblCellMar>
          <w:top w:w="0" w:type="dxa"/>
          <w:left w:w="0" w:type="dxa"/>
          <w:bottom w:w="0" w:type="dxa"/>
          <w:right w:w="0" w:type="dxa"/>
        </w:tblCellMar>
      </w:tblPr>
      <w:tblGrid>
        <w:gridCol w:w="872"/>
        <w:gridCol w:w="9333"/>
      </w:tblGrid>
      <w:tr>
        <w:trPr/>
        <w:tc>
          <w:tcPr>
            <w:tcW w:w="872" w:type="dxa"/>
            <w:tcBorders/>
            <w:vAlign w:val="center"/>
          </w:tcPr>
          <w:p>
            <w:pPr>
              <w:pStyle w:val="TableContents"/>
              <w:bidi w:val="0"/>
              <w:spacing w:before="0" w:after="283"/>
              <w:jc w:val="left"/>
              <w:rPr>
                <w:b/>
              </w:rPr>
            </w:pPr>
            <w:r>
              <w:rPr>
                <w:b/>
              </w:rPr>
              <w:t>ITEM 2.</w:t>
            </w:r>
          </w:p>
        </w:tc>
        <w:tc>
          <w:tcPr>
            <w:tcW w:w="9333" w:type="dxa"/>
            <w:tcBorders/>
            <w:vAlign w:val="center"/>
          </w:tcPr>
          <w:p>
            <w:pPr>
              <w:pStyle w:val="TableContents"/>
              <w:bidi w:val="0"/>
              <w:spacing w:before="0" w:after="0"/>
              <w:jc w:val="left"/>
              <w:rPr>
                <w:b/>
                <w:u w:val="single"/>
              </w:rPr>
            </w:pPr>
            <w:r>
              <w:rPr>
                <w:b/>
                <w:u w:val="single"/>
              </w:rPr>
              <w:t>MANAGEMENT’S DISCUSSION AND ANALYSIS OF FINANCIAL CONDITION AND RESULTS OF OPERATIONS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This Quarterly Report on Form 10-Q (this “Quarterly Report”) contains forward-looking statements within the meaning of Section 27A of the Securities Act of 1933, as amended, and Section 21E of the Securities Exchange Act of 1934, as amended, that represent our current expectations and beliefs. All statements other than statements of historical fact are “forward-looking statements” for purposes of federal and state securities laws and include, but are not limited to, statements of management’s expectations regarding our performance, growth, initiatives, strategies, products, ingredients, product introductions and offerings, product portfolio optimization, restructuring and exit activities, acquisitions, the integration and performance of acquired companies, divestitures, opportunities and risks; statements of management’s expectations, plans and beliefs regarding global economic conditions and our markets (including India), sales force, sales compensation plan and customer base; statements regarding government policies and regulations relating to our industry, including government policies and regulations in or related to the United States and Mainland China; statements regarding tariffs and trade policies; statements regarding the outcome of litigation, audits, investigations, and other legal or regulatory matters; statements of projections and expectations regarding future sales, expenses, operating results, taxes, duties, capital expenditures, sources and uses of cash, foreign-currency fluctuations or devaluations, repatriation of undistributed earnings, and other financial items; statements regarding the payment of future dividends and stock repurchases; accounting estimates and assumptions; statements of belief; and statements of assumptions underlying any of the foregoing. In some cases, you can identify these statements by forward-looking words such as “believe,” “expect,” “enable,” “project,” “anticipate,” “determine,” “estimate,” “intend,” “plan,” “goal,” “objective,” “targets,” “become,” “likely,” “will,” “would,” “could,” “may,” “might,” the negative of these words and other similar words. We undertake no obligation to publicly update or revise any forward-looking statement, whether as a result of new information, future events or otherwise, except as required by law. We caution and advise readers that these statements are based on assumptions that may not be realized and involve important risks and uncertainties that could cause actual results to differ materially from the expectations and beliefs contained herein. For a summary of these risks, see the risk factors included in our Annual Report on Form 10-K for the 2025 fiscal year and in any of our subsequent Securities and Exchange Commission filings, including this Quarterly Report.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Management’s Discussion and Analysis should be read in conjunction with our consolidated financial statements and related notes and Management’s Discussion and Analysis included in our Annual Report on Form 10-K for the 2025 fiscal year, and our other reports filed with the Securities and Exchange Commission through the date of this Quarterly Report.</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Overview</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Revenue for the three-month period ended June 30, 2026 decreased 17.1% to $320.1 million, compared to $386.1 million in the prior-year period, and revenue for the six-month period ended June 30, 2026 decreased 14.6% to $640.7 million, compared to $750.6 million in the prior-year period. Our revenue in the second quarter of 2026 was negatively impacted by 1.0% from foreign-currency fluctuations. Our Customers, Paid Affiliates and Sales Leaders declined 14%, 8% and 9%, respectively, on a year-over-year basis.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The declines for the three- and six-month periods ended June 30, 2026 were largely driven by the continued macroeconomic challenges we have been facing in our markets, which have negatively impacted consumer spending and customer acquisition. Our priorities for 2026 focus on business model optimization, driven by the continued rollout of enhancements to our sales performance plan, the continued launch of our </w:t>
      </w:r>
      <w:r>
        <w:rPr>
          <w:rFonts w:ascii="Times New Roman" w:hAnsi="Times New Roman"/>
          <w:i/>
          <w:color w:val="000000"/>
          <w:sz w:val="20"/>
          <w:shd w:fill="FFFFFF" w:val="clear"/>
        </w:rPr>
        <w:t>Prysm iO</w:t>
      </w:r>
      <w:r>
        <w:rPr>
          <w:rFonts w:ascii="Times New Roman" w:hAnsi="Times New Roman"/>
          <w:color w:val="000000"/>
          <w:sz w:val="20"/>
          <w:shd w:fill="FFFFFF" w:val="clear"/>
        </w:rPr>
        <w:t xml:space="preserve"> intelligent wellness platform and business expansion into India. Our early learnings from the </w:t>
      </w:r>
      <w:r>
        <w:rPr>
          <w:rFonts w:ascii="Times New Roman" w:hAnsi="Times New Roman"/>
          <w:i/>
          <w:color w:val="000000"/>
          <w:sz w:val="20"/>
          <w:shd w:fill="FFFFFF" w:val="clear"/>
        </w:rPr>
        <w:t xml:space="preserve">Prysm iO </w:t>
      </w:r>
      <w:r>
        <w:rPr>
          <w:rFonts w:ascii="Times New Roman" w:hAnsi="Times New Roman"/>
          <w:color w:val="000000"/>
          <w:sz w:val="20"/>
          <w:shd w:fill="FFFFFF" w:val="clear"/>
        </w:rPr>
        <w:t>have resulted in a shift in the strategy from a device placement focus to an assessment model that is more conducive to in-person engagement. In addition, from our preview in India we have identified the need to simplify the model in advance of our full market opening, which is now slated for the first half of 2027.</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Earnings per share for the second quarter of 2026 decreased to $(5.14), compared to $0.43 in the prior-year period. Earnings per share for the first six months of 2026 decreased to $(5.12), compared to $2.59 in the prior-year period. Our second quarter 2026 earnings per share were negatively impacted by an impairment charge of $78.9 million and a $167.5 million valuation allowance associated with our U.S. deferred tax assets, as well as the decline in revenue. Our earnings per share for the first six months of 2026 were negatively impacted by the second quarter impairment charge, second quarter valuation allowance, charges associated with our first quarter of 2026 wind down of our separate BeautyBio business and decline in revenue. Our 2025 earnings per share benefited from the January 2025 sale of our Mavely business, which generated a pre-tax gain of approximately $176.2 million, partially offset by the associated taxes, an intangible asset group impairment of $25.1 million in our Rhyz Other segment and a non-cash loss on equity investment of $28.1 million.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Segment Results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report our business in nine segments to reflect our current management approach. These segments consist of our seven geographic Nu Skin segments—Americas, Mainland China, Southeast Asia/Pacific, Japan, Europe &amp; Africa, South Korea and Hong Kong/Taiwan—and our two Rhyz segments—Manufacturing and Rhyz Other. The Nu Skin Other category includes miscellaneous corporate revenue and related adjustments.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sets forth revenue for the three- and six-month periods ended June 30, 2026 and 2025 for each of our reportable segments (U.S. dollars in thousands):</w:t>
      </w:r>
    </w:p>
    <w:p>
      <w:pPr>
        <w:pStyle w:val="TextBody"/>
        <w:bidi w:val="0"/>
        <w:spacing w:before="0" w:after="0"/>
        <w:jc w:val="left"/>
        <w:rPr/>
      </w:pPr>
      <w:r>
        <w:rPr/>
      </w:r>
    </w:p>
    <w:tbl>
      <w:tblPr>
        <w:tblW w:w="11370" w:type="dxa"/>
        <w:jc w:val="left"/>
        <w:tblInd w:w="0" w:type="dxa"/>
        <w:tblLayout w:type="fixed"/>
        <w:tblCellMar>
          <w:top w:w="0" w:type="dxa"/>
          <w:left w:w="0" w:type="dxa"/>
          <w:bottom w:w="0" w:type="dxa"/>
          <w:right w:w="0" w:type="dxa"/>
        </w:tblCellMar>
      </w:tblPr>
      <w:tblGrid>
        <w:gridCol w:w="1460"/>
        <w:gridCol w:w="90"/>
        <w:gridCol w:w="170"/>
        <w:gridCol w:w="830"/>
        <w:gridCol w:w="90"/>
        <w:gridCol w:w="90"/>
        <w:gridCol w:w="170"/>
        <w:gridCol w:w="830"/>
        <w:gridCol w:w="90"/>
        <w:gridCol w:w="90"/>
        <w:gridCol w:w="119"/>
        <w:gridCol w:w="726"/>
        <w:gridCol w:w="245"/>
        <w:gridCol w:w="90"/>
        <w:gridCol w:w="148"/>
        <w:gridCol w:w="892"/>
        <w:gridCol w:w="245"/>
        <w:gridCol w:w="90"/>
        <w:gridCol w:w="170"/>
        <w:gridCol w:w="830"/>
        <w:gridCol w:w="125"/>
        <w:gridCol w:w="90"/>
        <w:gridCol w:w="170"/>
        <w:gridCol w:w="830"/>
        <w:gridCol w:w="90"/>
        <w:gridCol w:w="90"/>
        <w:gridCol w:w="100"/>
        <w:gridCol w:w="745"/>
        <w:gridCol w:w="245"/>
        <w:gridCol w:w="90"/>
        <w:gridCol w:w="124"/>
        <w:gridCol w:w="916"/>
        <w:gridCol w:w="290"/>
      </w:tblGrid>
      <w:tr>
        <w:trPr/>
        <w:tc>
          <w:tcPr>
            <w:tcW w:w="14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80" w:type="dxa"/>
            <w:gridSpan w:val="6"/>
            <w:tcBorders/>
            <w:vAlign w:val="bottom"/>
          </w:tcPr>
          <w:p>
            <w:pPr>
              <w:pStyle w:val="TableContents"/>
              <w:bidi w:val="0"/>
              <w:spacing w:before="0" w:after="0"/>
              <w:jc w:val="center"/>
              <w:rPr>
                <w:b/>
              </w:rPr>
            </w:pPr>
            <w:r>
              <w:rPr>
                <w:b/>
              </w:rPr>
              <w:t>Three Months Ended</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45"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40" w:type="dxa"/>
            <w:gridSpan w:val="2"/>
            <w:tcBorders/>
            <w:vAlign w:val="bottom"/>
          </w:tcPr>
          <w:p>
            <w:pPr>
              <w:pStyle w:val="TableContents"/>
              <w:bidi w:val="0"/>
              <w:spacing w:before="0" w:after="0"/>
              <w:jc w:val="center"/>
              <w:rPr>
                <w:b/>
              </w:rPr>
            </w:pPr>
            <w:r>
              <w:rPr>
                <w:b/>
              </w:rPr>
              <w:t>Constant-</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15" w:type="dxa"/>
            <w:gridSpan w:val="6"/>
            <w:tcBorders/>
            <w:vAlign w:val="bottom"/>
          </w:tcPr>
          <w:p>
            <w:pPr>
              <w:pStyle w:val="TableContents"/>
              <w:bidi w:val="0"/>
              <w:spacing w:before="0" w:after="0"/>
              <w:jc w:val="center"/>
              <w:rPr>
                <w:b/>
              </w:rPr>
            </w:pPr>
            <w:r>
              <w:rPr>
                <w:b/>
              </w:rPr>
              <w:t>Six Months Ended</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45"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40" w:type="dxa"/>
            <w:gridSpan w:val="2"/>
            <w:tcBorders/>
            <w:vAlign w:val="bottom"/>
          </w:tcPr>
          <w:p>
            <w:pPr>
              <w:pStyle w:val="TableContents"/>
              <w:bidi w:val="0"/>
              <w:spacing w:before="0" w:after="0"/>
              <w:jc w:val="center"/>
              <w:rPr>
                <w:b/>
              </w:rPr>
            </w:pPr>
            <w:r>
              <w:rPr>
                <w:b/>
              </w:rPr>
              <w:t>Constant-</w:t>
            </w:r>
          </w:p>
        </w:tc>
        <w:tc>
          <w:tcPr>
            <w:tcW w:w="290" w:type="dxa"/>
            <w:tcBorders/>
            <w:vAlign w:val="bottom"/>
          </w:tcPr>
          <w:p>
            <w:pPr>
              <w:pStyle w:val="TableContents"/>
              <w:bidi w:val="0"/>
              <w:spacing w:before="0" w:after="283"/>
              <w:jc w:val="left"/>
              <w:rPr/>
            </w:pPr>
            <w:r>
              <w:rPr/>
              <w:t> </w:t>
            </w:r>
          </w:p>
        </w:tc>
      </w:tr>
      <w:tr>
        <w:trPr/>
        <w:tc>
          <w:tcPr>
            <w:tcW w:w="14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180" w:type="dxa"/>
            <w:gridSpan w:val="6"/>
            <w:tcBorders>
              <w:bottom w:val="single" w:sz="12" w:space="0" w:color="000000"/>
            </w:tcBorders>
            <w:tcMar>
              <w:bottom w:w="28" w:type="dxa"/>
            </w:tcMar>
            <w:vAlign w:val="bottom"/>
          </w:tcPr>
          <w:p>
            <w:pPr>
              <w:pStyle w:val="TableContents"/>
              <w:bidi w:val="0"/>
              <w:spacing w:before="0" w:after="0"/>
              <w:jc w:val="center"/>
              <w:rPr>
                <w:b/>
              </w:rPr>
            </w:pPr>
            <w:r>
              <w:rPr>
                <w:b/>
              </w:rPr>
              <w:t>June 30,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45"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40" w:type="dxa"/>
            <w:gridSpan w:val="2"/>
            <w:tcBorders/>
            <w:vAlign w:val="bottom"/>
          </w:tcPr>
          <w:p>
            <w:pPr>
              <w:pStyle w:val="TableContents"/>
              <w:bidi w:val="0"/>
              <w:spacing w:before="0" w:after="0"/>
              <w:jc w:val="center"/>
              <w:rPr>
                <w:b/>
              </w:rPr>
            </w:pPr>
            <w:r>
              <w:rPr>
                <w:b/>
              </w:rPr>
              <w:t>Currency</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215" w:type="dxa"/>
            <w:gridSpan w:val="6"/>
            <w:tcBorders>
              <w:bottom w:val="single" w:sz="12" w:space="0" w:color="000000"/>
            </w:tcBorders>
            <w:tcMar>
              <w:bottom w:w="28" w:type="dxa"/>
            </w:tcMar>
            <w:vAlign w:val="bottom"/>
          </w:tcPr>
          <w:p>
            <w:pPr>
              <w:pStyle w:val="TableContents"/>
              <w:bidi w:val="0"/>
              <w:spacing w:before="0" w:after="0"/>
              <w:jc w:val="center"/>
              <w:rPr>
                <w:b/>
              </w:rPr>
            </w:pPr>
            <w:r>
              <w:rPr>
                <w:b/>
              </w:rPr>
              <w:t>June 30,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45"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40" w:type="dxa"/>
            <w:gridSpan w:val="2"/>
            <w:tcBorders/>
            <w:vAlign w:val="bottom"/>
          </w:tcPr>
          <w:p>
            <w:pPr>
              <w:pStyle w:val="TableContents"/>
              <w:bidi w:val="0"/>
              <w:spacing w:before="0" w:after="0"/>
              <w:jc w:val="center"/>
              <w:rPr>
                <w:b/>
              </w:rPr>
            </w:pPr>
            <w:r>
              <w:rPr>
                <w:b/>
              </w:rPr>
              <w:t>Currency</w:t>
            </w:r>
          </w:p>
        </w:tc>
        <w:tc>
          <w:tcPr>
            <w:tcW w:w="290" w:type="dxa"/>
            <w:tcBorders/>
            <w:vAlign w:val="bottom"/>
          </w:tcPr>
          <w:p>
            <w:pPr>
              <w:pStyle w:val="TableContents"/>
              <w:bidi w:val="0"/>
              <w:spacing w:before="0" w:after="283"/>
              <w:jc w:val="left"/>
              <w:rPr/>
            </w:pPr>
            <w:r>
              <w:rPr/>
              <w:t> </w:t>
            </w:r>
          </w:p>
        </w:tc>
      </w:tr>
      <w:tr>
        <w:trPr/>
        <w:tc>
          <w:tcPr>
            <w:tcW w:w="146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bottom"/>
          </w:tcPr>
          <w:p>
            <w:pPr>
              <w:pStyle w:val="TableContents"/>
              <w:bidi w:val="0"/>
              <w:spacing w:before="0" w:after="0"/>
              <w:jc w:val="center"/>
              <w:rPr>
                <w:b/>
              </w:rPr>
            </w:pPr>
            <w:r>
              <w:rPr>
                <w:b/>
              </w:rPr>
              <w:t>Change</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bottom"/>
          </w:tcPr>
          <w:p>
            <w:pPr>
              <w:pStyle w:val="TableContents"/>
              <w:bidi w:val="0"/>
              <w:spacing w:lineRule="auto" w:line="240" w:before="0" w:after="0"/>
              <w:jc w:val="center"/>
              <w:rPr>
                <w:b/>
              </w:rPr>
            </w:pPr>
            <w:r>
              <w:rPr>
                <w:b/>
              </w:rPr>
              <w:t>Change(1)</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2026</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bottom"/>
          </w:tcPr>
          <w:p>
            <w:pPr>
              <w:pStyle w:val="TableContents"/>
              <w:bidi w:val="0"/>
              <w:spacing w:before="0" w:after="0"/>
              <w:jc w:val="center"/>
              <w:rPr>
                <w:b/>
              </w:rPr>
            </w:pPr>
            <w:r>
              <w:rPr>
                <w:b/>
              </w:rPr>
              <w:t>Change</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bottom"/>
          </w:tcPr>
          <w:p>
            <w:pPr>
              <w:pStyle w:val="TableContents"/>
              <w:bidi w:val="0"/>
              <w:spacing w:lineRule="auto" w:line="240" w:before="0" w:after="0"/>
              <w:jc w:val="center"/>
              <w:rPr>
                <w:b/>
              </w:rPr>
            </w:pPr>
            <w:r>
              <w:rPr>
                <w:b/>
              </w:rPr>
              <w:t>Change(1)</w:t>
            </w:r>
          </w:p>
        </w:tc>
        <w:tc>
          <w:tcPr>
            <w:tcW w:w="290" w:type="dxa"/>
            <w:tcBorders/>
            <w:vAlign w:val="bottom"/>
          </w:tcPr>
          <w:p>
            <w:pPr>
              <w:pStyle w:val="TableContents"/>
              <w:bidi w:val="0"/>
              <w:spacing w:before="0" w:after="283"/>
              <w:jc w:val="left"/>
              <w:rPr/>
            </w:pPr>
            <w:r>
              <w:rPr/>
              <w:t> </w:t>
            </w:r>
          </w:p>
        </w:tc>
      </w:tr>
      <w:tr>
        <w:trPr/>
        <w:tc>
          <w:tcPr>
            <w:tcW w:w="1460" w:type="dxa"/>
            <w:tcBorders/>
            <w:vAlign w:val="bottom"/>
          </w:tcPr>
          <w:p>
            <w:pPr>
              <w:pStyle w:val="TableContents"/>
              <w:bidi w:val="0"/>
              <w:spacing w:before="0" w:after="0"/>
              <w:jc w:val="left"/>
              <w:rPr>
                <w:i/>
              </w:rPr>
            </w:pPr>
            <w:r>
              <w:rPr>
                <w:i/>
              </w:rPr>
              <w:t>Nu Skin</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45"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40"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45" w:type="dxa"/>
            <w:gridSpan w:val="2"/>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40" w:type="dxa"/>
            <w:gridSpan w:val="2"/>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r>
      <w:tr>
        <w:trPr/>
        <w:tc>
          <w:tcPr>
            <w:tcW w:w="1460" w:type="dxa"/>
            <w:tcBorders/>
            <w:shd w:fill="CCEEFF" w:val="clear"/>
            <w:vAlign w:val="bottom"/>
          </w:tcPr>
          <w:p>
            <w:pPr>
              <w:pStyle w:val="TableContents"/>
              <w:bidi w:val="0"/>
              <w:spacing w:before="0" w:after="0"/>
              <w:ind w:left="180" w:right="0" w:hanging="0"/>
              <w:jc w:val="left"/>
              <w:rPr>
                <w:rFonts w:ascii="Times New Roman;Times;serif" w:hAnsi="Times New Roman;Times;serif"/>
              </w:rPr>
            </w:pPr>
            <w:r>
              <w:rPr>
                <w:rFonts w:ascii="Times New Roman;Times;serif" w:hAnsi="Times New Roman;Times;serif"/>
              </w:rPr>
              <w:t>Americas</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59,763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72,946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0"/>
              <w:jc w:val="right"/>
              <w:rPr/>
            </w:pPr>
            <w:r>
              <w:rPr/>
              <w:t>(18.1</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0"/>
              <w:jc w:val="right"/>
              <w:rPr/>
            </w:pPr>
            <w:r>
              <w:rPr/>
              <w:t>(15.8</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117,581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pPr>
            <w:r>
              <w:rPr/>
              <w:t>$</w:t>
            </w:r>
          </w:p>
        </w:tc>
        <w:tc>
          <w:tcPr>
            <w:tcW w:w="830" w:type="dxa"/>
            <w:tcBorders/>
            <w:shd w:fill="CCEEFF" w:val="clear"/>
            <w:vAlign w:val="bottom"/>
          </w:tcPr>
          <w:p>
            <w:pPr>
              <w:pStyle w:val="TableContents"/>
              <w:bidi w:val="0"/>
              <w:spacing w:before="0" w:after="0"/>
              <w:jc w:val="right"/>
              <w:rPr/>
            </w:pPr>
            <w:r>
              <w:rPr/>
              <w:t>142,004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0"/>
              <w:jc w:val="right"/>
              <w:rPr/>
            </w:pPr>
            <w:r>
              <w:rPr/>
              <w:t>(17.2</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0"/>
              <w:jc w:val="right"/>
              <w:rPr/>
            </w:pPr>
            <w:r>
              <w:rPr/>
              <w:t>(14.2</w:t>
            </w:r>
          </w:p>
        </w:tc>
        <w:tc>
          <w:tcPr>
            <w:tcW w:w="290" w:type="dxa"/>
            <w:tcBorders/>
            <w:shd w:fill="CCEEFF" w:val="clear"/>
            <w:vAlign w:val="bottom"/>
          </w:tcPr>
          <w:p>
            <w:pPr>
              <w:pStyle w:val="TableContents"/>
              <w:bidi w:val="0"/>
              <w:spacing w:before="0" w:after="0"/>
              <w:jc w:val="left"/>
              <w:rPr/>
            </w:pPr>
            <w:r>
              <w:rPr/>
              <w:t>)%</w:t>
            </w:r>
          </w:p>
        </w:tc>
      </w:tr>
      <w:tr>
        <w:trPr/>
        <w:tc>
          <w:tcPr>
            <w:tcW w:w="1460" w:type="dxa"/>
            <w:tcBorders/>
            <w:vAlign w:val="bottom"/>
          </w:tcPr>
          <w:p>
            <w:pPr>
              <w:pStyle w:val="TableContents"/>
              <w:bidi w:val="0"/>
              <w:spacing w:before="0" w:after="0"/>
              <w:ind w:left="180" w:right="0" w:hanging="0"/>
              <w:jc w:val="left"/>
              <w:rPr>
                <w:rFonts w:ascii="Times New Roman;Times;serif" w:hAnsi="Times New Roman;Times;serif"/>
              </w:rPr>
            </w:pPr>
            <w:r>
              <w:rPr>
                <w:rFonts w:ascii="Times New Roman;Times;serif" w:hAnsi="Times New Roman;Times;serif"/>
              </w:rPr>
              <w:t>Mainland China</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45,956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53,224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0"/>
              <w:jc w:val="right"/>
              <w:rPr/>
            </w:pPr>
            <w:r>
              <w:rPr/>
              <w:t>(13.7</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0"/>
              <w:jc w:val="right"/>
              <w:rPr/>
            </w:pPr>
            <w:r>
              <w:rPr/>
              <w:t>(18.7</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91,104</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100,999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0"/>
              <w:jc w:val="right"/>
              <w:rPr/>
            </w:pPr>
            <w:r>
              <w:rPr/>
              <w:t>(9.8</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0"/>
              <w:jc w:val="right"/>
              <w:rPr/>
            </w:pPr>
            <w:r>
              <w:rPr/>
              <w:t>(14.6</w:t>
            </w:r>
          </w:p>
        </w:tc>
        <w:tc>
          <w:tcPr>
            <w:tcW w:w="290" w:type="dxa"/>
            <w:tcBorders/>
            <w:vAlign w:val="bottom"/>
          </w:tcPr>
          <w:p>
            <w:pPr>
              <w:pStyle w:val="TableContents"/>
              <w:bidi w:val="0"/>
              <w:spacing w:before="0" w:after="0"/>
              <w:jc w:val="left"/>
              <w:rPr/>
            </w:pPr>
            <w:r>
              <w:rPr/>
              <w:t>)%</w:t>
            </w:r>
          </w:p>
        </w:tc>
      </w:tr>
      <w:tr>
        <w:trPr/>
        <w:tc>
          <w:tcPr>
            <w:tcW w:w="1460" w:type="dxa"/>
            <w:tcBorders/>
            <w:shd w:fill="CCEEFF" w:val="clear"/>
            <w:vAlign w:val="bottom"/>
          </w:tcPr>
          <w:p>
            <w:pPr>
              <w:pStyle w:val="TableContents"/>
              <w:bidi w:val="0"/>
              <w:spacing w:before="0" w:after="0"/>
              <w:ind w:left="180" w:right="0" w:hanging="0"/>
              <w:jc w:val="left"/>
              <w:rPr>
                <w:rFonts w:ascii="Times New Roman;Times;serif" w:hAnsi="Times New Roman;Times;serif"/>
              </w:rPr>
            </w:pPr>
            <w:r>
              <w:rPr>
                <w:rFonts w:ascii="Times New Roman;Times;serif" w:hAnsi="Times New Roman;Times;serif"/>
              </w:rPr>
              <w:t>Southeast Asia/Pacific</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43,257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50,834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0"/>
              <w:jc w:val="right"/>
              <w:rPr/>
            </w:pPr>
            <w:r>
              <w:rPr/>
              <w:t>(14.9</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0"/>
              <w:jc w:val="right"/>
              <w:rPr/>
            </w:pPr>
            <w:r>
              <w:rPr/>
              <w:t>(16.3</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88,731</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103,006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0"/>
              <w:jc w:val="right"/>
              <w:rPr/>
            </w:pPr>
            <w:r>
              <w:rPr/>
              <w:t>(13.9</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0"/>
              <w:jc w:val="right"/>
              <w:rPr/>
            </w:pPr>
            <w:r>
              <w:rPr/>
              <w:t>(16.5</w:t>
            </w:r>
          </w:p>
        </w:tc>
        <w:tc>
          <w:tcPr>
            <w:tcW w:w="290" w:type="dxa"/>
            <w:tcBorders/>
            <w:shd w:fill="CCEEFF" w:val="clear"/>
            <w:vAlign w:val="bottom"/>
          </w:tcPr>
          <w:p>
            <w:pPr>
              <w:pStyle w:val="TableContents"/>
              <w:bidi w:val="0"/>
              <w:spacing w:before="0" w:after="0"/>
              <w:jc w:val="left"/>
              <w:rPr/>
            </w:pPr>
            <w:r>
              <w:rPr/>
              <w:t>)%</w:t>
            </w:r>
          </w:p>
        </w:tc>
      </w:tr>
      <w:tr>
        <w:trPr/>
        <w:tc>
          <w:tcPr>
            <w:tcW w:w="1460" w:type="dxa"/>
            <w:tcBorders/>
            <w:vAlign w:val="bottom"/>
          </w:tcPr>
          <w:p>
            <w:pPr>
              <w:pStyle w:val="TableContents"/>
              <w:bidi w:val="0"/>
              <w:spacing w:before="0" w:after="0"/>
              <w:ind w:left="180" w:right="0" w:hanging="0"/>
              <w:jc w:val="left"/>
              <w:rPr>
                <w:rFonts w:ascii="Times New Roman;Times;serif" w:hAnsi="Times New Roman;Times;serif"/>
              </w:rPr>
            </w:pPr>
            <w:r>
              <w:rPr>
                <w:rFonts w:ascii="Times New Roman;Times;serif" w:hAnsi="Times New Roman;Times;serif"/>
              </w:rPr>
              <w:t>Japan</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38,143</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44,550</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0"/>
              <w:jc w:val="right"/>
              <w:rPr/>
            </w:pPr>
            <w:r>
              <w:rPr/>
              <w:t>(14.4</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0"/>
              <w:jc w:val="right"/>
              <w:rPr/>
            </w:pPr>
            <w:r>
              <w:rPr/>
              <w:t>(5.5</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77,882</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87,315</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0"/>
              <w:jc w:val="right"/>
              <w:rPr/>
            </w:pPr>
            <w:r>
              <w:rPr/>
              <w:t>(10.8</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0"/>
              <w:jc w:val="right"/>
              <w:rPr/>
            </w:pPr>
            <w:r>
              <w:rPr/>
              <w:t>(4.9</w:t>
            </w:r>
          </w:p>
        </w:tc>
        <w:tc>
          <w:tcPr>
            <w:tcW w:w="290" w:type="dxa"/>
            <w:tcBorders/>
            <w:vAlign w:val="bottom"/>
          </w:tcPr>
          <w:p>
            <w:pPr>
              <w:pStyle w:val="TableContents"/>
              <w:bidi w:val="0"/>
              <w:spacing w:before="0" w:after="0"/>
              <w:jc w:val="left"/>
              <w:rPr/>
            </w:pPr>
            <w:r>
              <w:rPr/>
              <w:t>)%</w:t>
            </w:r>
          </w:p>
        </w:tc>
      </w:tr>
      <w:tr>
        <w:trPr/>
        <w:tc>
          <w:tcPr>
            <w:tcW w:w="1460" w:type="dxa"/>
            <w:tcBorders/>
            <w:shd w:fill="CCEEFF" w:val="clear"/>
            <w:vAlign w:val="bottom"/>
          </w:tcPr>
          <w:p>
            <w:pPr>
              <w:pStyle w:val="TableContents"/>
              <w:bidi w:val="0"/>
              <w:spacing w:before="0" w:after="0"/>
              <w:ind w:left="180" w:right="0" w:hanging="0"/>
              <w:jc w:val="left"/>
              <w:rPr>
                <w:rFonts w:ascii="Times New Roman;Times;serif" w:hAnsi="Times New Roman;Times;serif"/>
              </w:rPr>
            </w:pPr>
            <w:r>
              <w:rPr>
                <w:rFonts w:ascii="Times New Roman;Times;serif" w:hAnsi="Times New Roman;Times;serif"/>
              </w:rPr>
              <w:t>Europe &amp; Africa</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32,317</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37,328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0"/>
              <w:jc w:val="right"/>
              <w:rPr/>
            </w:pPr>
            <w:r>
              <w:rPr/>
              <w:t>(13.4</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0"/>
              <w:jc w:val="right"/>
              <w:rPr/>
            </w:pPr>
            <w:r>
              <w:rPr/>
              <w:t>(15.2</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63,535</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70,349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0"/>
              <w:jc w:val="right"/>
              <w:rPr/>
            </w:pPr>
            <w:r>
              <w:rPr/>
              <w:t>(9.7</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0"/>
              <w:jc w:val="right"/>
              <w:rPr/>
            </w:pPr>
            <w:r>
              <w:rPr/>
              <w:t>(15.0</w:t>
            </w:r>
          </w:p>
        </w:tc>
        <w:tc>
          <w:tcPr>
            <w:tcW w:w="290" w:type="dxa"/>
            <w:tcBorders/>
            <w:shd w:fill="CCEEFF" w:val="clear"/>
            <w:vAlign w:val="bottom"/>
          </w:tcPr>
          <w:p>
            <w:pPr>
              <w:pStyle w:val="TableContents"/>
              <w:bidi w:val="0"/>
              <w:spacing w:before="0" w:after="0"/>
              <w:jc w:val="left"/>
              <w:rPr/>
            </w:pPr>
            <w:r>
              <w:rPr/>
              <w:t>)%</w:t>
            </w:r>
          </w:p>
        </w:tc>
      </w:tr>
      <w:tr>
        <w:trPr/>
        <w:tc>
          <w:tcPr>
            <w:tcW w:w="1460" w:type="dxa"/>
            <w:tcBorders/>
            <w:vAlign w:val="bottom"/>
          </w:tcPr>
          <w:p>
            <w:pPr>
              <w:pStyle w:val="TableContents"/>
              <w:bidi w:val="0"/>
              <w:spacing w:before="0" w:after="0"/>
              <w:ind w:left="180" w:right="0" w:hanging="0"/>
              <w:jc w:val="left"/>
              <w:rPr>
                <w:rFonts w:ascii="Times New Roman;Times;serif" w:hAnsi="Times New Roman;Times;serif"/>
              </w:rPr>
            </w:pPr>
            <w:r>
              <w:rPr>
                <w:rFonts w:ascii="Times New Roman;Times;serif" w:hAnsi="Times New Roman;Times;serif"/>
              </w:rPr>
              <w:t>Hong Kong/Taiwan</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26,074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27,527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0"/>
              <w:jc w:val="right"/>
              <w:rPr/>
            </w:pPr>
            <w:r>
              <w:rPr/>
              <w:t>(5.3</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0"/>
              <w:jc w:val="right"/>
              <w:rPr/>
            </w:pPr>
            <w:r>
              <w:rPr/>
              <w:t>(3.6</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53,531</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pPr>
            <w:r>
              <w:rPr/>
              <w:t>55,974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0"/>
              <w:jc w:val="right"/>
              <w:rPr/>
            </w:pPr>
            <w:r>
              <w:rPr/>
              <w:t>(4.4</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0"/>
              <w:jc w:val="right"/>
              <w:rPr/>
            </w:pPr>
            <w:r>
              <w:rPr/>
              <w:t>(4.8</w:t>
            </w:r>
          </w:p>
        </w:tc>
        <w:tc>
          <w:tcPr>
            <w:tcW w:w="290" w:type="dxa"/>
            <w:tcBorders/>
            <w:vAlign w:val="bottom"/>
          </w:tcPr>
          <w:p>
            <w:pPr>
              <w:pStyle w:val="TableContents"/>
              <w:bidi w:val="0"/>
              <w:spacing w:before="0" w:after="0"/>
              <w:jc w:val="left"/>
              <w:rPr/>
            </w:pPr>
            <w:r>
              <w:rPr/>
              <w:t>)%</w:t>
            </w:r>
          </w:p>
        </w:tc>
      </w:tr>
      <w:tr>
        <w:trPr/>
        <w:tc>
          <w:tcPr>
            <w:tcW w:w="1460" w:type="dxa"/>
            <w:tcBorders/>
            <w:shd w:fill="CCEEFF" w:val="clear"/>
            <w:vAlign w:val="bottom"/>
          </w:tcPr>
          <w:p>
            <w:pPr>
              <w:pStyle w:val="TableContents"/>
              <w:bidi w:val="0"/>
              <w:spacing w:before="0" w:after="0"/>
              <w:ind w:left="180" w:right="0" w:hanging="0"/>
              <w:jc w:val="left"/>
              <w:rPr>
                <w:rFonts w:ascii="Times New Roman;Times;serif" w:hAnsi="Times New Roman;Times;serif"/>
              </w:rPr>
            </w:pPr>
            <w:r>
              <w:rPr>
                <w:rFonts w:ascii="Times New Roman;Times;serif" w:hAnsi="Times New Roman;Times;serif"/>
              </w:rPr>
              <w:t>South Korea</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25,620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34,068</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0"/>
              <w:jc w:val="right"/>
              <w:rPr/>
            </w:pPr>
            <w:r>
              <w:rPr/>
              <w:t>(24.8</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0"/>
              <w:jc w:val="right"/>
              <w:rPr/>
            </w:pPr>
            <w:r>
              <w:rPr/>
              <w:t>(19.0</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50,949</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66,583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0"/>
              <w:jc w:val="right"/>
              <w:rPr/>
            </w:pPr>
            <w:r>
              <w:rPr/>
              <w:t>(23.5</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0"/>
              <w:jc w:val="right"/>
              <w:rPr/>
            </w:pPr>
            <w:r>
              <w:rPr/>
              <w:t>(20.2</w:t>
            </w:r>
          </w:p>
        </w:tc>
        <w:tc>
          <w:tcPr>
            <w:tcW w:w="290" w:type="dxa"/>
            <w:tcBorders/>
            <w:shd w:fill="CCEEFF" w:val="clear"/>
            <w:vAlign w:val="bottom"/>
          </w:tcPr>
          <w:p>
            <w:pPr>
              <w:pStyle w:val="TableContents"/>
              <w:bidi w:val="0"/>
              <w:spacing w:before="0" w:after="0"/>
              <w:jc w:val="left"/>
              <w:rPr/>
            </w:pPr>
            <w:r>
              <w:rPr/>
              <w:t>)%</w:t>
            </w:r>
          </w:p>
        </w:tc>
      </w:tr>
      <w:tr>
        <w:trPr/>
        <w:tc>
          <w:tcPr>
            <w:tcW w:w="1460" w:type="dxa"/>
            <w:tcBorders/>
            <w:vAlign w:val="bottom"/>
          </w:tcPr>
          <w:p>
            <w:pPr>
              <w:pStyle w:val="TableContents"/>
              <w:bidi w:val="0"/>
              <w:spacing w:before="0" w:after="0"/>
              <w:ind w:left="180" w:right="0" w:hanging="0"/>
              <w:jc w:val="left"/>
              <w:rPr>
                <w:rFonts w:ascii="Times New Roman;Times;serif" w:hAnsi="Times New Roman;Times;serif"/>
              </w:rPr>
            </w:pPr>
            <w:r>
              <w:rPr>
                <w:rFonts w:ascii="Times New Roman;Times;serif" w:hAnsi="Times New Roman;Times;serif"/>
              </w:rPr>
              <w:t>Nu Skin Other</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79</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427</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0"/>
              <w:jc w:val="right"/>
              <w:rPr/>
            </w:pPr>
            <w:r>
              <w:rPr/>
              <w:t>(81.5</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0"/>
              <w:jc w:val="right"/>
              <w:rPr/>
            </w:pPr>
            <w:r>
              <w:rPr/>
              <w:t>(81.5</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(155</w:t>
            </w:r>
          </w:p>
        </w:tc>
        <w:tc>
          <w:tcPr>
            <w:tcW w:w="12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956</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0"/>
              <w:jc w:val="right"/>
              <w:rPr/>
            </w:pPr>
            <w:r>
              <w:rPr/>
              <w:t>(116.2</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0"/>
              <w:jc w:val="right"/>
              <w:rPr/>
            </w:pPr>
            <w:r>
              <w:rPr/>
              <w:t>(116.2</w:t>
            </w:r>
          </w:p>
        </w:tc>
        <w:tc>
          <w:tcPr>
            <w:tcW w:w="290" w:type="dxa"/>
            <w:tcBorders/>
            <w:vAlign w:val="bottom"/>
          </w:tcPr>
          <w:p>
            <w:pPr>
              <w:pStyle w:val="TableContents"/>
              <w:bidi w:val="0"/>
              <w:spacing w:before="0" w:after="0"/>
              <w:jc w:val="left"/>
              <w:rPr/>
            </w:pPr>
            <w:r>
              <w:rPr/>
              <w:t>)%</w:t>
            </w:r>
          </w:p>
        </w:tc>
      </w:tr>
      <w:tr>
        <w:trPr/>
        <w:tc>
          <w:tcPr>
            <w:tcW w:w="1460" w:type="dxa"/>
            <w:tcBorders/>
            <w:shd w:fill="CCEEFF" w:val="clear"/>
            <w:vAlign w:val="bottom"/>
          </w:tcPr>
          <w:p>
            <w:pPr>
              <w:pStyle w:val="TableContents"/>
              <w:bidi w:val="0"/>
              <w:spacing w:before="0" w:after="0"/>
              <w:jc w:val="left"/>
              <w:rPr>
                <w:i/>
              </w:rPr>
            </w:pPr>
            <w:r>
              <w:rPr>
                <w:i/>
              </w:rPr>
              <w:t>Total Nu Skin</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271,209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320,904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0"/>
              <w:jc w:val="right"/>
              <w:rPr/>
            </w:pPr>
            <w:r>
              <w:rPr/>
              <w:t>(15.5</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0"/>
              <w:jc w:val="right"/>
              <w:rPr/>
            </w:pPr>
            <w:r>
              <w:rPr/>
              <w:t>(14.2</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543,158</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627,186</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0"/>
              <w:jc w:val="right"/>
              <w:rPr/>
            </w:pPr>
            <w:r>
              <w:rPr/>
              <w:t>(13.4</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0"/>
              <w:jc w:val="right"/>
              <w:rPr/>
            </w:pPr>
            <w:r>
              <w:rPr/>
              <w:t>(13.4</w:t>
            </w:r>
          </w:p>
        </w:tc>
        <w:tc>
          <w:tcPr>
            <w:tcW w:w="290" w:type="dxa"/>
            <w:tcBorders/>
            <w:shd w:fill="CCEEFF" w:val="clear"/>
            <w:vAlign w:val="bottom"/>
          </w:tcPr>
          <w:p>
            <w:pPr>
              <w:pStyle w:val="TableContents"/>
              <w:bidi w:val="0"/>
              <w:spacing w:before="0" w:after="0"/>
              <w:jc w:val="left"/>
              <w:rPr/>
            </w:pPr>
            <w:r>
              <w:rPr/>
              <w:t>)%</w:t>
            </w:r>
          </w:p>
        </w:tc>
      </w:tr>
      <w:tr>
        <w:trPr/>
        <w:tc>
          <w:tcPr>
            <w:tcW w:w="1460" w:type="dxa"/>
            <w:tcBorders/>
            <w:vAlign w:val="bottom"/>
          </w:tcPr>
          <w:p>
            <w:pPr>
              <w:pStyle w:val="TableContents"/>
              <w:bidi w:val="0"/>
              <w:spacing w:before="0" w:after="0"/>
              <w:jc w:val="left"/>
              <w:rPr>
                <w:i/>
              </w:rPr>
            </w:pPr>
            <w:r>
              <w:rPr>
                <w:i/>
              </w:rPr>
              <w:t>Rhyz</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r>
      <w:tr>
        <w:trPr/>
        <w:tc>
          <w:tcPr>
            <w:tcW w:w="1460" w:type="dxa"/>
            <w:tcBorders/>
            <w:shd w:fill="CCEEFF" w:val="clear"/>
            <w:vAlign w:val="bottom"/>
          </w:tcPr>
          <w:p>
            <w:pPr>
              <w:pStyle w:val="TableContents"/>
              <w:bidi w:val="0"/>
              <w:spacing w:before="0" w:after="0"/>
              <w:ind w:left="180" w:right="0" w:hanging="0"/>
              <w:jc w:val="left"/>
              <w:rPr>
                <w:rFonts w:ascii="Times New Roman;Times;serif" w:hAnsi="Times New Roman;Times;serif"/>
              </w:rPr>
            </w:pPr>
            <w:r>
              <w:rPr>
                <w:rFonts w:ascii="Times New Roman;Times;serif" w:hAnsi="Times New Roman;Times;serif"/>
              </w:rPr>
              <w:t>Manufacturing</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46,369</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60,400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0"/>
              <w:jc w:val="right"/>
              <w:rPr/>
            </w:pPr>
            <w:r>
              <w:rPr/>
              <w:t>(23.2</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0"/>
              <w:jc w:val="right"/>
              <w:rPr/>
            </w:pPr>
            <w:r>
              <w:rPr/>
              <w:t>(23.2</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91,294</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830" w:type="dxa"/>
            <w:tcBorders/>
            <w:shd w:fill="CCEEFF" w:val="clear"/>
            <w:vAlign w:val="bottom"/>
          </w:tcPr>
          <w:p>
            <w:pPr>
              <w:pStyle w:val="TableContents"/>
              <w:bidi w:val="0"/>
              <w:spacing w:before="0" w:after="0"/>
              <w:jc w:val="right"/>
              <w:rPr/>
            </w:pPr>
            <w:r>
              <w:rPr/>
              <w:t>115,690</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0"/>
              <w:jc w:val="right"/>
              <w:rPr/>
            </w:pPr>
            <w:r>
              <w:rPr/>
              <w:t>(21.1</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0"/>
              <w:jc w:val="right"/>
              <w:rPr/>
            </w:pPr>
            <w:r>
              <w:rPr/>
              <w:t>(21.1</w:t>
            </w:r>
          </w:p>
        </w:tc>
        <w:tc>
          <w:tcPr>
            <w:tcW w:w="290" w:type="dxa"/>
            <w:tcBorders/>
            <w:shd w:fill="CCEEFF" w:val="clear"/>
            <w:vAlign w:val="bottom"/>
          </w:tcPr>
          <w:p>
            <w:pPr>
              <w:pStyle w:val="TableContents"/>
              <w:bidi w:val="0"/>
              <w:spacing w:before="0" w:after="0"/>
              <w:jc w:val="left"/>
              <w:rPr/>
            </w:pPr>
            <w:r>
              <w:rPr/>
              <w:t>)%</w:t>
            </w:r>
          </w:p>
        </w:tc>
      </w:tr>
      <w:tr>
        <w:trPr/>
        <w:tc>
          <w:tcPr>
            <w:tcW w:w="1460" w:type="dxa"/>
            <w:tcBorders/>
            <w:vAlign w:val="bottom"/>
          </w:tcPr>
          <w:p>
            <w:pPr>
              <w:pStyle w:val="TableContents"/>
              <w:bidi w:val="0"/>
              <w:spacing w:before="0" w:after="0"/>
              <w:ind w:left="180" w:right="0" w:hanging="0"/>
              <w:jc w:val="left"/>
              <w:rPr>
                <w:rFonts w:ascii="Times New Roman;Times;serif" w:hAnsi="Times New Roman;Times;serif"/>
              </w:rPr>
            </w:pPr>
            <w:r>
              <w:rPr>
                <w:rFonts w:ascii="Times New Roman;Times;serif" w:hAnsi="Times New Roman;Times;serif"/>
              </w:rPr>
              <w:t>Rhyz Other</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2,534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4,834</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0"/>
              <w:jc w:val="right"/>
              <w:rPr/>
            </w:pPr>
            <w:r>
              <w:rPr/>
              <w:t>(47.6</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0"/>
              <w:jc w:val="right"/>
              <w:rPr/>
            </w:pPr>
            <w:r>
              <w:rPr/>
              <w:t>(47.6</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6,268</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pPr>
            <w:r>
              <w:rPr/>
              <w:t>7,752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0"/>
              <w:jc w:val="right"/>
              <w:rPr/>
            </w:pPr>
            <w:r>
              <w:rPr/>
              <w:t>(19.1</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0"/>
              <w:jc w:val="right"/>
              <w:rPr/>
            </w:pPr>
            <w:r>
              <w:rPr/>
              <w:t>(19.1</w:t>
            </w:r>
          </w:p>
        </w:tc>
        <w:tc>
          <w:tcPr>
            <w:tcW w:w="290" w:type="dxa"/>
            <w:tcBorders/>
            <w:vAlign w:val="bottom"/>
          </w:tcPr>
          <w:p>
            <w:pPr>
              <w:pStyle w:val="TableContents"/>
              <w:bidi w:val="0"/>
              <w:spacing w:before="0" w:after="0"/>
              <w:jc w:val="left"/>
              <w:rPr/>
            </w:pPr>
            <w:r>
              <w:rPr/>
              <w:t>)%</w:t>
            </w:r>
          </w:p>
        </w:tc>
      </w:tr>
      <w:tr>
        <w:trPr/>
        <w:tc>
          <w:tcPr>
            <w:tcW w:w="1460" w:type="dxa"/>
            <w:tcBorders/>
            <w:shd w:fill="CCEEFF" w:val="clear"/>
            <w:vAlign w:val="bottom"/>
          </w:tcPr>
          <w:p>
            <w:pPr>
              <w:pStyle w:val="TableContents"/>
              <w:bidi w:val="0"/>
              <w:spacing w:before="0" w:after="0"/>
              <w:jc w:val="left"/>
              <w:rPr>
                <w:i/>
              </w:rPr>
            </w:pPr>
            <w:r>
              <w:rPr>
                <w:i/>
              </w:rPr>
              <w:t>Total Rhyz</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48,903</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65,234</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726" w:type="dxa"/>
            <w:tcBorders/>
            <w:shd w:fill="CCEEFF" w:val="clear"/>
            <w:vAlign w:val="bottom"/>
          </w:tcPr>
          <w:p>
            <w:pPr>
              <w:pStyle w:val="TableContents"/>
              <w:bidi w:val="0"/>
              <w:spacing w:before="0" w:after="0"/>
              <w:jc w:val="right"/>
              <w:rPr/>
            </w:pPr>
            <w:r>
              <w:rPr/>
              <w:t>(25.0</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0"/>
              <w:jc w:val="right"/>
              <w:rPr/>
            </w:pPr>
            <w:r>
              <w:rPr/>
              <w:t>(25.0</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97,562</w:t>
            </w:r>
          </w:p>
        </w:tc>
        <w:tc>
          <w:tcPr>
            <w:tcW w:w="12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pPr>
            <w:r>
              <w:rPr/>
              <w:t>123,442</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0"/>
              <w:jc w:val="right"/>
              <w:rPr/>
            </w:pPr>
            <w:r>
              <w:rPr/>
              <w:t>(21.0</w:t>
            </w:r>
          </w:p>
        </w:tc>
        <w:tc>
          <w:tcPr>
            <w:tcW w:w="245" w:type="dxa"/>
            <w:tcBorders/>
            <w:shd w:fill="CCEEFF" w:val="clear"/>
            <w:vAlign w:val="bottom"/>
          </w:tcPr>
          <w:p>
            <w:pPr>
              <w:pStyle w:val="TableContents"/>
              <w:bidi w:val="0"/>
              <w:spacing w:before="0" w:after="0"/>
              <w:jc w:val="left"/>
              <w:rPr/>
            </w:pPr>
            <w:r>
              <w:rPr/>
              <w:t>)%</w:t>
            </w:r>
          </w:p>
        </w:tc>
        <w:tc>
          <w:tcPr>
            <w:tcW w:w="90"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916" w:type="dxa"/>
            <w:tcBorders/>
            <w:shd w:fill="CCEEFF" w:val="clear"/>
            <w:vAlign w:val="bottom"/>
          </w:tcPr>
          <w:p>
            <w:pPr>
              <w:pStyle w:val="TableContents"/>
              <w:bidi w:val="0"/>
              <w:spacing w:before="0" w:after="0"/>
              <w:jc w:val="right"/>
              <w:rPr/>
            </w:pPr>
            <w:r>
              <w:rPr/>
              <w:t>(21.0</w:t>
            </w:r>
          </w:p>
        </w:tc>
        <w:tc>
          <w:tcPr>
            <w:tcW w:w="290" w:type="dxa"/>
            <w:tcBorders/>
            <w:shd w:fill="CCEEFF" w:val="clear"/>
            <w:vAlign w:val="bottom"/>
          </w:tcPr>
          <w:p>
            <w:pPr>
              <w:pStyle w:val="TableContents"/>
              <w:bidi w:val="0"/>
              <w:spacing w:before="0" w:after="0"/>
              <w:jc w:val="left"/>
              <w:rPr/>
            </w:pPr>
            <w:r>
              <w:rPr/>
              <w:t>)%</w:t>
            </w:r>
          </w:p>
        </w:tc>
      </w:tr>
      <w:tr>
        <w:trPr/>
        <w:tc>
          <w:tcPr>
            <w:tcW w:w="1460" w:type="dxa"/>
            <w:tcBorders/>
            <w:vAlign w:val="bottom"/>
          </w:tcPr>
          <w:p>
            <w:pPr>
              <w:pStyle w:val="TableContents"/>
              <w:bidi w:val="0"/>
              <w:spacing w:before="0" w:after="0"/>
              <w:jc w:val="left"/>
              <w:rPr/>
            </w:pPr>
            <w:r>
              <w:rPr/>
              <w:t>Total</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320,112</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386,138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726" w:type="dxa"/>
            <w:tcBorders/>
            <w:vAlign w:val="bottom"/>
          </w:tcPr>
          <w:p>
            <w:pPr>
              <w:pStyle w:val="TableContents"/>
              <w:bidi w:val="0"/>
              <w:spacing w:before="0" w:after="0"/>
              <w:jc w:val="right"/>
              <w:rPr/>
            </w:pPr>
            <w:r>
              <w:rPr/>
              <w:t>(17.1</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0"/>
              <w:jc w:val="right"/>
              <w:rPr/>
            </w:pPr>
            <w:r>
              <w:rPr/>
              <w:t>(16.1</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640,720</w:t>
            </w:r>
          </w:p>
        </w:tc>
        <w:tc>
          <w:tcPr>
            <w:tcW w:w="12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double" w:sz="8" w:space="0" w:color="000000"/>
            </w:tcBorders>
            <w:tcMar>
              <w:bottom w:w="28" w:type="dxa"/>
            </w:tcMar>
            <w:vAlign w:val="bottom"/>
          </w:tcPr>
          <w:p>
            <w:pPr>
              <w:pStyle w:val="TableContents"/>
              <w:bidi w:val="0"/>
              <w:spacing w:before="0" w:after="0"/>
              <w:jc w:val="left"/>
              <w:rPr/>
            </w:pPr>
            <w:r>
              <w:rPr/>
              <w:t>$</w:t>
            </w:r>
          </w:p>
        </w:tc>
        <w:tc>
          <w:tcPr>
            <w:tcW w:w="830" w:type="dxa"/>
            <w:tcBorders>
              <w:bottom w:val="double" w:sz="8" w:space="0" w:color="000000"/>
            </w:tcBorders>
            <w:tcMar>
              <w:bottom w:w="28" w:type="dxa"/>
            </w:tcMar>
            <w:vAlign w:val="bottom"/>
          </w:tcPr>
          <w:p>
            <w:pPr>
              <w:pStyle w:val="TableContents"/>
              <w:bidi w:val="0"/>
              <w:spacing w:before="0" w:after="0"/>
              <w:jc w:val="right"/>
              <w:rPr/>
            </w:pPr>
            <w:r>
              <w:rPr/>
              <w:t>750,628</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0"/>
              <w:jc w:val="right"/>
              <w:rPr/>
            </w:pPr>
            <w:r>
              <w:rPr/>
              <w:t>(14.6</w:t>
            </w:r>
          </w:p>
        </w:tc>
        <w:tc>
          <w:tcPr>
            <w:tcW w:w="245" w:type="dxa"/>
            <w:tcBorders/>
            <w:vAlign w:val="bottom"/>
          </w:tcPr>
          <w:p>
            <w:pPr>
              <w:pStyle w:val="TableContents"/>
              <w:bidi w:val="0"/>
              <w:spacing w:before="0" w:after="0"/>
              <w:jc w:val="left"/>
              <w:rPr/>
            </w:pPr>
            <w:r>
              <w:rPr/>
              <w:t>)%</w:t>
            </w:r>
          </w:p>
        </w:tc>
        <w:tc>
          <w:tcPr>
            <w:tcW w:w="90"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916" w:type="dxa"/>
            <w:tcBorders/>
            <w:vAlign w:val="bottom"/>
          </w:tcPr>
          <w:p>
            <w:pPr>
              <w:pStyle w:val="TableContents"/>
              <w:bidi w:val="0"/>
              <w:spacing w:before="0" w:after="0"/>
              <w:jc w:val="right"/>
              <w:rPr/>
            </w:pPr>
            <w:r>
              <w:rPr/>
              <w:t>(14.6</w:t>
            </w:r>
          </w:p>
        </w:tc>
        <w:tc>
          <w:tcPr>
            <w:tcW w:w="290" w:type="dxa"/>
            <w:tcBorders/>
            <w:vAlign w:val="bottom"/>
          </w:tcPr>
          <w:p>
            <w:pPr>
              <w:pStyle w:val="TableContents"/>
              <w:bidi w:val="0"/>
              <w:spacing w:before="0" w:after="0"/>
              <w:jc w:val="left"/>
              <w:rPr/>
            </w:pPr>
            <w:r>
              <w:rPr/>
              <w: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24"/>
        <w:gridCol w:w="9881"/>
      </w:tblGrid>
      <w:tr>
        <w:trPr/>
        <w:tc>
          <w:tcPr>
            <w:tcW w:w="324" w:type="dxa"/>
            <w:tcBorders/>
            <w:vAlign w:val="center"/>
          </w:tcPr>
          <w:p>
            <w:pPr>
              <w:pStyle w:val="TableContents"/>
              <w:bidi w:val="0"/>
              <w:spacing w:before="0" w:after="0"/>
              <w:jc w:val="both"/>
              <w:rPr/>
            </w:pPr>
            <w:r>
              <w:rPr/>
              <w:t>(1)</w:t>
            </w:r>
          </w:p>
        </w:tc>
        <w:tc>
          <w:tcPr>
            <w:tcW w:w="9881" w:type="dxa"/>
            <w:tcBorders/>
            <w:vAlign w:val="center"/>
          </w:tcPr>
          <w:p>
            <w:pPr>
              <w:pStyle w:val="TableContents"/>
              <w:bidi w:val="0"/>
              <w:spacing w:before="0" w:after="0"/>
              <w:jc w:val="both"/>
              <w:rPr/>
            </w:pPr>
            <w:r>
              <w:rPr/>
              <w:t>Constant-currency revenue change is a non-GAAP financial measure. See “Non-GAAP Financial Measures,” below.</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tables below set forth summarized financial information for each of our reportable segments for the three- and six-month periods ended June 30, 2026 and 2025 (U.S. dollars in thousands). Segment contribution excludes certain intercompany charges, specifically royalties, license fees, transfer pricing and other miscellaneous items. We use segment contribution to measure the portion of profitability that the segment managers have the ability to control for their respective segments. For additional information regarding our segments and the calculation of segment contribution, see Note 11 to the consolidated financial statements contained in this report.</w:t>
      </w:r>
    </w:p>
    <w:p>
      <w:pPr>
        <w:pStyle w:val="TextBody"/>
        <w:bidi w:val="0"/>
        <w:spacing w:before="0" w:after="0"/>
        <w:jc w:val="left"/>
        <w:rPr/>
      </w:pPr>
      <w:r>
        <w:rPr/>
      </w:r>
    </w:p>
    <w:tbl>
      <w:tblPr>
        <w:tblW w:w="14455" w:type="dxa"/>
        <w:jc w:val="left"/>
        <w:tblInd w:w="0" w:type="dxa"/>
        <w:tblLayout w:type="fixed"/>
        <w:tblCellMar>
          <w:top w:w="0" w:type="dxa"/>
          <w:left w:w="0" w:type="dxa"/>
          <w:bottom w:w="0" w:type="dxa"/>
          <w:right w:w="0" w:type="dxa"/>
        </w:tblCellMar>
      </w:tblPr>
      <w:tblGrid>
        <w:gridCol w:w="1085"/>
        <w:gridCol w:w="90"/>
        <w:gridCol w:w="195"/>
        <w:gridCol w:w="815"/>
        <w:gridCol w:w="245"/>
        <w:gridCol w:w="90"/>
        <w:gridCol w:w="200"/>
        <w:gridCol w:w="840"/>
        <w:gridCol w:w="245"/>
        <w:gridCol w:w="90"/>
        <w:gridCol w:w="200"/>
        <w:gridCol w:w="840"/>
        <w:gridCol w:w="245"/>
        <w:gridCol w:w="90"/>
        <w:gridCol w:w="170"/>
        <w:gridCol w:w="710"/>
        <w:gridCol w:w="245"/>
        <w:gridCol w:w="90"/>
        <w:gridCol w:w="170"/>
        <w:gridCol w:w="710"/>
        <w:gridCol w:w="245"/>
        <w:gridCol w:w="90"/>
        <w:gridCol w:w="170"/>
        <w:gridCol w:w="710"/>
        <w:gridCol w:w="245"/>
        <w:gridCol w:w="90"/>
        <w:gridCol w:w="170"/>
        <w:gridCol w:w="710"/>
        <w:gridCol w:w="245"/>
        <w:gridCol w:w="90"/>
        <w:gridCol w:w="308"/>
        <w:gridCol w:w="1287"/>
        <w:gridCol w:w="245"/>
        <w:gridCol w:w="90"/>
        <w:gridCol w:w="170"/>
        <w:gridCol w:w="590"/>
        <w:gridCol w:w="245"/>
        <w:gridCol w:w="90"/>
        <w:gridCol w:w="171"/>
        <w:gridCol w:w="839"/>
        <w:gridCol w:w="290"/>
      </w:tblGrid>
      <w:tr>
        <w:trPr/>
        <w:tc>
          <w:tcPr>
            <w:tcW w:w="108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990" w:type="dxa"/>
            <w:gridSpan w:val="38"/>
            <w:tcBorders>
              <w:bottom w:val="single" w:sz="12" w:space="0" w:color="000000"/>
            </w:tcBorders>
            <w:tcMar>
              <w:bottom w:w="28" w:type="dxa"/>
            </w:tcMar>
            <w:vAlign w:val="bottom"/>
          </w:tcPr>
          <w:p>
            <w:pPr>
              <w:pStyle w:val="TableContents"/>
              <w:bidi w:val="0"/>
              <w:spacing w:before="0" w:after="0"/>
              <w:jc w:val="center"/>
              <w:rPr>
                <w:rFonts w:ascii="Times New Roman" w:hAnsi="Times New Roman"/>
                <w:b/>
              </w:rPr>
            </w:pPr>
            <w:r>
              <w:rPr>
                <w:rFonts w:ascii="Times New Roman" w:hAnsi="Times New Roman"/>
                <w:b/>
              </w:rPr>
              <w:t>Three Months Ended June 30, 2026</w:t>
            </w:r>
          </w:p>
        </w:tc>
        <w:tc>
          <w:tcPr>
            <w:tcW w:w="290" w:type="dxa"/>
            <w:tcBorders/>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620" w:type="dxa"/>
            <w:gridSpan w:val="26"/>
            <w:tcBorders>
              <w:bottom w:val="single" w:sz="12" w:space="0" w:color="000000"/>
            </w:tcBorders>
            <w:tcMar>
              <w:bottom w:w="28" w:type="dxa"/>
            </w:tcMar>
            <w:vAlign w:val="bottom"/>
          </w:tcPr>
          <w:p>
            <w:pPr>
              <w:pStyle w:val="TableContents"/>
              <w:bidi w:val="0"/>
              <w:spacing w:before="0" w:after="0"/>
              <w:jc w:val="center"/>
              <w:rPr>
                <w:rFonts w:ascii="Times New Roman" w:hAnsi="Times New Roman"/>
                <w:b/>
              </w:rPr>
            </w:pPr>
            <w:r>
              <w:rPr>
                <w:rFonts w:ascii="Times New Roman" w:hAnsi="Times New Roman"/>
                <w:b/>
              </w:rPr>
              <w:t>Nu Skin</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69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rPr>
            </w:pPr>
            <w:r>
              <w:rPr>
                <w:rFonts w:ascii="Times New Roman" w:hAnsi="Times New Roman"/>
                <w:b/>
              </w:rPr>
              <w:t>Rhyz</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rFonts w:ascii="Times New Roman" w:hAnsi="Times New Roman"/>
                <w:b/>
              </w:rPr>
            </w:pPr>
            <w:r>
              <w:rPr>
                <w:rFonts w:ascii="Times New Roman" w:hAnsi="Times New Roman"/>
                <w:b/>
              </w:rPr>
              <w:t>Mainland</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rFonts w:ascii="Times New Roman" w:hAnsi="Times New Roman"/>
                <w:b/>
              </w:rPr>
            </w:pPr>
            <w:r>
              <w:rPr>
                <w:rFonts w:ascii="Times New Roman" w:hAnsi="Times New Roman"/>
                <w:b/>
              </w:rPr>
              <w:t xml:space="preserve">Southeast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0"/>
              <w:jc w:val="center"/>
              <w:rPr>
                <w:rFonts w:ascii="Times New Roman" w:hAnsi="Times New Roman"/>
                <w:b/>
              </w:rPr>
            </w:pPr>
            <w:r>
              <w:rPr>
                <w:rFonts w:ascii="Times New Roman" w:hAnsi="Times New Roman"/>
                <w:b/>
              </w:rPr>
              <w:t>Europe &amp;</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0"/>
              <w:jc w:val="center"/>
              <w:rPr>
                <w:rFonts w:ascii="Times New Roman" w:hAnsi="Times New Roman"/>
                <w:b/>
              </w:rPr>
            </w:pPr>
            <w:r>
              <w:rPr>
                <w:rFonts w:ascii="Times New Roman" w:hAnsi="Times New Roman"/>
                <w:b/>
              </w:rPr>
              <w:t>Hong Kong/</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0"/>
              <w:jc w:val="center"/>
              <w:rPr>
                <w:rFonts w:ascii="Times New Roman" w:hAnsi="Times New Roman"/>
                <w:b/>
              </w:rPr>
            </w:pPr>
            <w:r>
              <w:rPr>
                <w:rFonts w:ascii="Times New Roman" w:hAnsi="Times New Roman"/>
                <w:b/>
              </w:rPr>
              <w:t>South</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95"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vAlign w:val="center"/>
          </w:tcPr>
          <w:p>
            <w:pPr>
              <w:pStyle w:val="TableContents"/>
              <w:bidi w:val="0"/>
              <w:spacing w:before="0" w:after="0"/>
              <w:jc w:val="center"/>
              <w:rPr>
                <w:rFonts w:ascii="Times New Roman" w:hAnsi="Times New Roman"/>
                <w:b/>
              </w:rPr>
            </w:pPr>
            <w:r>
              <w:rPr>
                <w:rFonts w:ascii="Times New Roman" w:hAnsi="Times New Roman"/>
                <w:b/>
              </w:rPr>
              <w:t>Rhyz</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0"/>
              <w:jc w:val="center"/>
              <w:rPr>
                <w:rFonts w:ascii="Times New Roman" w:hAnsi="Times New Roman"/>
                <w:b/>
              </w:rPr>
            </w:pPr>
            <w:r>
              <w:rPr>
                <w:rFonts w:ascii="Times New Roman" w:hAnsi="Times New Roman"/>
                <w:b/>
              </w:rPr>
              <w:t>Total</w:t>
            </w:r>
          </w:p>
        </w:tc>
        <w:tc>
          <w:tcPr>
            <w:tcW w:w="290" w:type="dxa"/>
            <w:tcBorders/>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rPr>
            </w:pPr>
            <w:r>
              <w:rPr>
                <w:rFonts w:ascii="Times New Roman" w:hAnsi="Times New Roman"/>
                <w:b/>
              </w:rPr>
              <w:t>Americas</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rPr>
            </w:pPr>
            <w:r>
              <w:rPr>
                <w:rFonts w:ascii="Times New Roman" w:hAnsi="Times New Roman"/>
                <w:b/>
              </w:rPr>
              <w:t>China</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rPr>
            </w:pPr>
            <w:r>
              <w:rPr>
                <w:rFonts w:ascii="Times New Roman" w:hAnsi="Times New Roman"/>
                <w:b/>
              </w:rPr>
              <w:t>Asia/Pacific</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rPr>
            </w:pPr>
            <w:r>
              <w:rPr>
                <w:rFonts w:ascii="Times New Roman" w:hAnsi="Times New Roman"/>
                <w:b/>
              </w:rPr>
              <w:t>Japan</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rPr>
            </w:pPr>
            <w:r>
              <w:rPr>
                <w:rFonts w:ascii="Times New Roman" w:hAnsi="Times New Roman"/>
                <w:b/>
              </w:rPr>
              <w:t>Africa</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rPr>
            </w:pPr>
            <w:r>
              <w:rPr>
                <w:rFonts w:ascii="Times New Roman" w:hAnsi="Times New Roman"/>
                <w:b/>
              </w:rPr>
              <w:t>Taiwan</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rPr>
            </w:pPr>
            <w:r>
              <w:rPr>
                <w:rFonts w:ascii="Times New Roman" w:hAnsi="Times New Roman"/>
                <w:b/>
              </w:rPr>
              <w:t>Korea</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95"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rPr>
            </w:pPr>
            <w:r>
              <w:rPr>
                <w:rFonts w:ascii="Times New Roman" w:hAnsi="Times New Roman"/>
                <w:b/>
              </w:rPr>
              <w:t>Manufacturing</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rPr>
            </w:pPr>
            <w:r>
              <w:rPr>
                <w:rFonts w:ascii="Times New Roman" w:hAnsi="Times New Roman"/>
                <w:b/>
              </w:rPr>
              <w:t>Other</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rPr>
            </w:pPr>
            <w:r>
              <w:rPr>
                <w:rFonts w:ascii="Times New Roman" w:hAnsi="Times New Roman"/>
                <w:b/>
              </w:rPr>
              <w:t>Segments</w:t>
            </w:r>
          </w:p>
        </w:tc>
        <w:tc>
          <w:tcPr>
            <w:tcW w:w="290" w:type="dxa"/>
            <w:tcBorders/>
            <w:vAlign w:val="bottom"/>
          </w:tcPr>
          <w:p>
            <w:pPr>
              <w:pStyle w:val="TableContents"/>
              <w:bidi w:val="0"/>
              <w:spacing w:before="0" w:after="283"/>
              <w:jc w:val="left"/>
              <w:rPr/>
            </w:pPr>
            <w:r>
              <w:rPr/>
              <w:t> </w:t>
            </w:r>
          </w:p>
        </w:tc>
      </w:tr>
      <w:tr>
        <w:trPr/>
        <w:tc>
          <w:tcPr>
            <w:tcW w:w="1085" w:type="dxa"/>
            <w:tcBorders/>
            <w:shd w:fill="CCEEFF" w:val="clear"/>
            <w:vAlign w:val="bottom"/>
          </w:tcPr>
          <w:p>
            <w:pPr>
              <w:pStyle w:val="TableContents"/>
              <w:bidi w:val="0"/>
              <w:spacing w:before="0" w:after="0"/>
              <w:ind w:left="120" w:right="0" w:hanging="120"/>
              <w:jc w:val="left"/>
              <w:rPr>
                <w:rFonts w:ascii="Times New Roman" w:hAnsi="Times New Roman"/>
              </w:rPr>
            </w:pPr>
            <w:r>
              <w:rPr>
                <w:rFonts w:ascii="Times New Roman" w:hAnsi="Times New Roman"/>
              </w:rPr>
              <w:t>Revenue</w:t>
            </w:r>
          </w:p>
        </w:tc>
        <w:tc>
          <w:tcPr>
            <w:tcW w:w="9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815"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59,763</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840"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45,956</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840"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43,257</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710"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38,143</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710"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32,317</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710"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26,074</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710"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25,620</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1287"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46,369</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590"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2,534</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839"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320,033</w:t>
            </w:r>
          </w:p>
        </w:tc>
        <w:tc>
          <w:tcPr>
            <w:tcW w:w="290" w:type="dxa"/>
            <w:tcBorders/>
            <w:shd w:fill="CCEEFF" w:val="clear"/>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0"/>
              <w:ind w:left="120" w:right="0" w:hanging="120"/>
              <w:jc w:val="left"/>
              <w:rPr>
                <w:rFonts w:ascii="Times New Roman" w:hAnsi="Times New Roman"/>
              </w:rPr>
            </w:pPr>
            <w:r>
              <w:rPr>
                <w:rFonts w:ascii="Times New Roman" w:hAnsi="Times New Roman"/>
              </w:rPr>
              <w:t>Cost of sales</w:t>
            </w:r>
          </w:p>
        </w:tc>
        <w:tc>
          <w:tcPr>
            <w:tcW w:w="9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0"/>
              <w:jc w:val="right"/>
              <w:rPr>
                <w:rFonts w:ascii="Times New Roman" w:hAnsi="Times New Roman"/>
              </w:rPr>
            </w:pPr>
            <w:r>
              <w:rPr>
                <w:rFonts w:ascii="Times New Roman" w:hAnsi="Times New Roman"/>
              </w:rPr>
              <w:t>15,037</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0"/>
              <w:jc w:val="right"/>
              <w:rPr>
                <w:rFonts w:ascii="Times New Roman" w:hAnsi="Times New Roman"/>
              </w:rPr>
            </w:pPr>
            <w:r>
              <w:rPr>
                <w:rFonts w:ascii="Times New Roman" w:hAnsi="Times New Roman"/>
              </w:rPr>
              <w:t>8,283</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0"/>
              <w:jc w:val="right"/>
              <w:rPr>
                <w:rFonts w:ascii="Times New Roman" w:hAnsi="Times New Roman"/>
              </w:rPr>
            </w:pPr>
            <w:r>
              <w:rPr>
                <w:rFonts w:ascii="Times New Roman" w:hAnsi="Times New Roman"/>
              </w:rPr>
              <w:t>10,518</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rFonts w:ascii="Times New Roman" w:hAnsi="Times New Roman"/>
              </w:rPr>
            </w:pPr>
            <w:r>
              <w:rPr>
                <w:rFonts w:ascii="Times New Roman" w:hAnsi="Times New Roman"/>
              </w:rPr>
              <w:t>7,832</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rFonts w:ascii="Times New Roman" w:hAnsi="Times New Roman"/>
              </w:rPr>
            </w:pPr>
            <w:r>
              <w:rPr>
                <w:rFonts w:ascii="Times New Roman" w:hAnsi="Times New Roman"/>
              </w:rPr>
              <w:t>7,784</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rFonts w:ascii="Times New Roman" w:hAnsi="Times New Roman"/>
              </w:rPr>
            </w:pPr>
            <w:r>
              <w:rPr>
                <w:rFonts w:ascii="Times New Roman" w:hAnsi="Times New Roman"/>
              </w:rPr>
              <w:t>4,255</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rFonts w:ascii="Times New Roman" w:hAnsi="Times New Roman"/>
              </w:rPr>
            </w:pPr>
            <w:r>
              <w:rPr>
                <w:rFonts w:ascii="Times New Roman" w:hAnsi="Times New Roman"/>
              </w:rPr>
              <w:t>5,441</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0"/>
              <w:jc w:val="right"/>
              <w:rPr>
                <w:rFonts w:ascii="Times New Roman" w:hAnsi="Times New Roman"/>
              </w:rPr>
            </w:pPr>
            <w:r>
              <w:rPr>
                <w:rFonts w:ascii="Times New Roman" w:hAnsi="Times New Roman"/>
              </w:rPr>
              <w:t>40,873</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rPr>
            </w:pPr>
            <w:r>
              <w:rPr>
                <w:rFonts w:ascii="Times New Roman" w:hAnsi="Times New Roman"/>
              </w:rPr>
              <w:t>478</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0"/>
              <w:jc w:val="right"/>
              <w:rPr>
                <w:rFonts w:ascii="Times New Roman" w:hAnsi="Times New Roman"/>
              </w:rPr>
            </w:pPr>
            <w:r>
              <w:rPr>
                <w:rFonts w:ascii="Times New Roman" w:hAnsi="Times New Roman"/>
              </w:rPr>
              <w:t>100,501</w:t>
            </w:r>
          </w:p>
        </w:tc>
        <w:tc>
          <w:tcPr>
            <w:tcW w:w="290" w:type="dxa"/>
            <w:tcBorders/>
            <w:vAlign w:val="bottom"/>
          </w:tcPr>
          <w:p>
            <w:pPr>
              <w:pStyle w:val="TableContents"/>
              <w:bidi w:val="0"/>
              <w:spacing w:before="0" w:after="283"/>
              <w:jc w:val="left"/>
              <w:rPr/>
            </w:pPr>
            <w:r>
              <w:rPr/>
              <w:t> </w:t>
            </w:r>
          </w:p>
        </w:tc>
      </w:tr>
      <w:tr>
        <w:trPr/>
        <w:tc>
          <w:tcPr>
            <w:tcW w:w="1085" w:type="dxa"/>
            <w:tcBorders/>
            <w:shd w:fill="CCEEFF" w:val="clear"/>
            <w:vAlign w:val="bottom"/>
          </w:tcPr>
          <w:p>
            <w:pPr>
              <w:pStyle w:val="TableContents"/>
              <w:bidi w:val="0"/>
              <w:spacing w:before="0" w:after="0"/>
              <w:ind w:left="120" w:right="0" w:hanging="120"/>
              <w:jc w:val="left"/>
              <w:rPr>
                <w:rFonts w:ascii="Times New Roman" w:hAnsi="Times New Roman"/>
              </w:rPr>
            </w:pPr>
            <w:r>
              <w:rPr>
                <w:rFonts w:ascii="Times New Roman" w:hAnsi="Times New Roman"/>
              </w:rPr>
              <w:t>Other segment items</w:t>
            </w:r>
          </w:p>
        </w:tc>
        <w:tc>
          <w:tcPr>
            <w:tcW w:w="90" w:type="dxa"/>
            <w:tcBorders/>
            <w:shd w:fill="CCEEFF" w:val="clear"/>
            <w:vAlign w:val="bottom"/>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33,582</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26,335</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25,080</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19,385</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19,944</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13,949</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12,695</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0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8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6,073</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2,503</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159,546</w:t>
            </w:r>
          </w:p>
        </w:tc>
        <w:tc>
          <w:tcPr>
            <w:tcW w:w="290" w:type="dxa"/>
            <w:tcBorders/>
            <w:shd w:fill="CCEEFF" w:val="clear"/>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0"/>
              <w:ind w:left="120" w:right="0" w:hanging="120"/>
              <w:jc w:val="left"/>
              <w:rPr>
                <w:rFonts w:ascii="Times New Roman" w:hAnsi="Times New Roman"/>
              </w:rPr>
            </w:pPr>
            <w:r>
              <w:rPr>
                <w:rFonts w:ascii="Times New Roman" w:hAnsi="Times New Roman"/>
              </w:rPr>
              <w:t>Segment contribution</w:t>
            </w:r>
          </w:p>
        </w:tc>
        <w:tc>
          <w:tcPr>
            <w:tcW w:w="90" w:type="dxa"/>
            <w:tcBorders/>
            <w:vAlign w:val="bottom"/>
          </w:tcPr>
          <w:p>
            <w:pPr>
              <w:pStyle w:val="TableContents"/>
              <w:bidi w:val="0"/>
              <w:spacing w:before="0" w:after="283"/>
              <w:jc w:val="left"/>
              <w:rPr/>
            </w:pPr>
            <w:r>
              <w:rPr/>
              <w:t> </w:t>
            </w:r>
          </w:p>
        </w:tc>
        <w:tc>
          <w:tcPr>
            <w:tcW w:w="19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rPr>
            </w:pPr>
            <w:r>
              <w:rPr>
                <w:rFonts w:ascii="Times New Roman" w:hAnsi="Times New Roman"/>
              </w:rPr>
              <w:t>$</w:t>
            </w:r>
          </w:p>
        </w:tc>
        <w:tc>
          <w:tcPr>
            <w:tcW w:w="81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11,144</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rPr>
            </w:pPr>
            <w:r>
              <w:rPr>
                <w:rFonts w:ascii="Times New Roman" w:hAnsi="Times New Roman"/>
              </w:rPr>
              <w:t>$</w:t>
            </w:r>
          </w:p>
        </w:tc>
        <w:tc>
          <w:tcPr>
            <w:tcW w:w="84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11,338</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rPr>
            </w:pPr>
            <w:r>
              <w:rPr>
                <w:rFonts w:ascii="Times New Roman" w:hAnsi="Times New Roman"/>
              </w:rPr>
              <w:t>$</w:t>
            </w:r>
          </w:p>
        </w:tc>
        <w:tc>
          <w:tcPr>
            <w:tcW w:w="84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7,659</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rPr>
            </w:pPr>
            <w:r>
              <w:rPr>
                <w:rFonts w:ascii="Times New Roman" w:hAnsi="Times New Roman"/>
              </w:rPr>
              <w:t>$</w:t>
            </w:r>
          </w:p>
        </w:tc>
        <w:tc>
          <w:tcPr>
            <w:tcW w:w="71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10,926</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rPr>
            </w:pPr>
            <w:r>
              <w:rPr>
                <w:rFonts w:ascii="Times New Roman" w:hAnsi="Times New Roman"/>
              </w:rPr>
              <w:t>$</w:t>
            </w:r>
          </w:p>
        </w:tc>
        <w:tc>
          <w:tcPr>
            <w:tcW w:w="71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4,589</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rPr>
            </w:pPr>
            <w:r>
              <w:rPr>
                <w:rFonts w:ascii="Times New Roman" w:hAnsi="Times New Roman"/>
              </w:rPr>
              <w:t>$</w:t>
            </w:r>
          </w:p>
        </w:tc>
        <w:tc>
          <w:tcPr>
            <w:tcW w:w="71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7,870</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rPr>
            </w:pPr>
            <w:r>
              <w:rPr>
                <w:rFonts w:ascii="Times New Roman" w:hAnsi="Times New Roman"/>
              </w:rPr>
              <w:t>$</w:t>
            </w:r>
          </w:p>
        </w:tc>
        <w:tc>
          <w:tcPr>
            <w:tcW w:w="71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7,484</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08"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rPr>
            </w:pPr>
            <w:r>
              <w:rPr>
                <w:rFonts w:ascii="Times New Roman" w:hAnsi="Times New Roman"/>
              </w:rPr>
              <w:t>$</w:t>
            </w:r>
          </w:p>
        </w:tc>
        <w:tc>
          <w:tcPr>
            <w:tcW w:w="128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(577</w:t>
            </w:r>
          </w:p>
        </w:tc>
        <w:tc>
          <w:tcPr>
            <w:tcW w:w="245" w:type="dxa"/>
            <w:tcBorders/>
            <w:vAlign w:val="bottom"/>
          </w:tcPr>
          <w:p>
            <w:pPr>
              <w:pStyle w:val="TableContents"/>
              <w:bidi w:val="0"/>
              <w:spacing w:before="0" w:after="0"/>
              <w:jc w:val="left"/>
              <w:rPr>
                <w:rFonts w:ascii="Times New Roman" w:hAnsi="Times New Roman"/>
              </w:rPr>
            </w:pPr>
            <w:r>
              <w:rPr>
                <w:rFonts w:ascii="Times New Roman" w:hAnsi="Times New Roman"/>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rPr>
            </w:pPr>
            <w:r>
              <w:rPr>
                <w:rFonts w:ascii="Times New Roman" w:hAnsi="Times New Roman"/>
              </w:rPr>
              <w:t>$</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(447</w:t>
            </w:r>
          </w:p>
        </w:tc>
        <w:tc>
          <w:tcPr>
            <w:tcW w:w="245" w:type="dxa"/>
            <w:tcBorders/>
            <w:vAlign w:val="bottom"/>
          </w:tcPr>
          <w:p>
            <w:pPr>
              <w:pStyle w:val="TableContents"/>
              <w:bidi w:val="0"/>
              <w:spacing w:before="0" w:after="0"/>
              <w:jc w:val="left"/>
              <w:rPr>
                <w:rFonts w:ascii="Times New Roman" w:hAnsi="Times New Roman"/>
              </w:rPr>
            </w:pPr>
            <w:r>
              <w:rPr>
                <w:rFonts w:ascii="Times New Roman" w:hAnsi="Times New Roman"/>
              </w:rPr>
              <w:t>)</w:t>
            </w:r>
          </w:p>
        </w:tc>
        <w:tc>
          <w:tcPr>
            <w:tcW w:w="90" w:type="dxa"/>
            <w:tcBorders/>
            <w:vAlign w:val="bottom"/>
          </w:tcPr>
          <w:p>
            <w:pPr>
              <w:pStyle w:val="TableContents"/>
              <w:bidi w:val="0"/>
              <w:spacing w:before="0" w:after="283"/>
              <w:jc w:val="left"/>
              <w:rPr/>
            </w:pPr>
            <w:r>
              <w:rPr/>
              <w:t> </w:t>
            </w:r>
          </w:p>
        </w:tc>
        <w:tc>
          <w:tcPr>
            <w:tcW w:w="171"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rPr>
            </w:pPr>
            <w:r>
              <w:rPr>
                <w:rFonts w:ascii="Times New Roman" w:hAnsi="Times New Roman"/>
              </w:rPr>
              <w:t>$</w:t>
            </w:r>
          </w:p>
        </w:tc>
        <w:tc>
          <w:tcPr>
            <w:tcW w:w="83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59,986</w:t>
            </w:r>
          </w:p>
        </w:tc>
        <w:tc>
          <w:tcPr>
            <w:tcW w:w="290" w:type="dxa"/>
            <w:tcBorders/>
            <w:vAlign w:val="bottom"/>
          </w:tcPr>
          <w:p>
            <w:pPr>
              <w:pStyle w:val="TableContents"/>
              <w:bidi w:val="0"/>
              <w:spacing w:before="0" w:after="283"/>
              <w:jc w:val="left"/>
              <w:rPr/>
            </w:pPr>
            <w:r>
              <w:rPr/>
              <w:t> </w:t>
            </w:r>
          </w:p>
        </w:tc>
      </w:tr>
      <w:tr>
        <w:trPr/>
        <w:tc>
          <w:tcPr>
            <w:tcW w:w="1085" w:type="dxa"/>
            <w:tcBorders/>
            <w:shd w:fill="CCEEFF" w:val="clear"/>
            <w:vAlign w:val="bottom"/>
          </w:tcPr>
          <w:p>
            <w:pPr>
              <w:pStyle w:val="TableContents"/>
              <w:bidi w:val="0"/>
              <w:spacing w:before="0" w:after="0"/>
              <w:ind w:left="180" w:right="0" w:hanging="180"/>
              <w:jc w:val="left"/>
              <w:rPr>
                <w:rFonts w:ascii="Times New Roman" w:hAnsi="Times New Roman"/>
              </w:rPr>
            </w:pPr>
            <w:r>
              <w:rPr>
                <w:rFonts w:ascii="Times New Roman" w:hAnsi="Times New Roman"/>
              </w:rPr>
              <w:t>Segment contribution as a percentage of revenue</w:t>
            </w:r>
          </w:p>
        </w:tc>
        <w:tc>
          <w:tcPr>
            <w:tcW w:w="9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18.6</w:t>
            </w:r>
          </w:p>
        </w:tc>
        <w:tc>
          <w:tcPr>
            <w:tcW w:w="245"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9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24.7</w:t>
            </w:r>
          </w:p>
        </w:tc>
        <w:tc>
          <w:tcPr>
            <w:tcW w:w="245"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9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17.7</w:t>
            </w:r>
          </w:p>
        </w:tc>
        <w:tc>
          <w:tcPr>
            <w:tcW w:w="245"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28.6</w:t>
            </w:r>
          </w:p>
        </w:tc>
        <w:tc>
          <w:tcPr>
            <w:tcW w:w="245"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14.2</w:t>
            </w:r>
          </w:p>
        </w:tc>
        <w:tc>
          <w:tcPr>
            <w:tcW w:w="245"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30.2</w:t>
            </w:r>
          </w:p>
        </w:tc>
        <w:tc>
          <w:tcPr>
            <w:tcW w:w="245"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29.2</w:t>
            </w:r>
          </w:p>
        </w:tc>
        <w:tc>
          <w:tcPr>
            <w:tcW w:w="245"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9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(1.2</w:t>
            </w:r>
          </w:p>
        </w:tc>
        <w:tc>
          <w:tcPr>
            <w:tcW w:w="245"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(17.6</w:t>
            </w:r>
          </w:p>
        </w:tc>
        <w:tc>
          <w:tcPr>
            <w:tcW w:w="245"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18.7</w:t>
            </w:r>
          </w:p>
        </w:tc>
        <w:tc>
          <w:tcPr>
            <w:tcW w:w="290"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r>
    </w:tbl>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tbl>
      <w:tblPr>
        <w:tblW w:w="14410" w:type="dxa"/>
        <w:jc w:val="left"/>
        <w:tblInd w:w="0" w:type="dxa"/>
        <w:tblLayout w:type="fixed"/>
        <w:tblCellMar>
          <w:top w:w="0" w:type="dxa"/>
          <w:left w:w="0" w:type="dxa"/>
          <w:bottom w:w="0" w:type="dxa"/>
          <w:right w:w="0" w:type="dxa"/>
        </w:tblCellMar>
      </w:tblPr>
      <w:tblGrid>
        <w:gridCol w:w="1040"/>
        <w:gridCol w:w="90"/>
        <w:gridCol w:w="195"/>
        <w:gridCol w:w="815"/>
        <w:gridCol w:w="245"/>
        <w:gridCol w:w="90"/>
        <w:gridCol w:w="200"/>
        <w:gridCol w:w="840"/>
        <w:gridCol w:w="245"/>
        <w:gridCol w:w="90"/>
        <w:gridCol w:w="200"/>
        <w:gridCol w:w="840"/>
        <w:gridCol w:w="245"/>
        <w:gridCol w:w="90"/>
        <w:gridCol w:w="170"/>
        <w:gridCol w:w="710"/>
        <w:gridCol w:w="245"/>
        <w:gridCol w:w="90"/>
        <w:gridCol w:w="170"/>
        <w:gridCol w:w="710"/>
        <w:gridCol w:w="245"/>
        <w:gridCol w:w="90"/>
        <w:gridCol w:w="170"/>
        <w:gridCol w:w="710"/>
        <w:gridCol w:w="245"/>
        <w:gridCol w:w="90"/>
        <w:gridCol w:w="170"/>
        <w:gridCol w:w="710"/>
        <w:gridCol w:w="245"/>
        <w:gridCol w:w="90"/>
        <w:gridCol w:w="308"/>
        <w:gridCol w:w="1287"/>
        <w:gridCol w:w="245"/>
        <w:gridCol w:w="90"/>
        <w:gridCol w:w="170"/>
        <w:gridCol w:w="590"/>
        <w:gridCol w:w="245"/>
        <w:gridCol w:w="90"/>
        <w:gridCol w:w="171"/>
        <w:gridCol w:w="839"/>
        <w:gridCol w:w="290"/>
      </w:tblGrid>
      <w:tr>
        <w:trPr/>
        <w:tc>
          <w:tcPr>
            <w:tcW w:w="10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2990" w:type="dxa"/>
            <w:gridSpan w:val="38"/>
            <w:tcBorders>
              <w:bottom w:val="single" w:sz="12" w:space="0" w:color="000000"/>
            </w:tcBorders>
            <w:tcMar>
              <w:bottom w:w="28" w:type="dxa"/>
            </w:tcMar>
            <w:vAlign w:val="bottom"/>
          </w:tcPr>
          <w:p>
            <w:pPr>
              <w:pStyle w:val="TableContents"/>
              <w:bidi w:val="0"/>
              <w:spacing w:before="0" w:after="0"/>
              <w:jc w:val="center"/>
              <w:rPr>
                <w:rFonts w:ascii="Times New Roman" w:hAnsi="Times New Roman"/>
                <w:b/>
              </w:rPr>
            </w:pPr>
            <w:r>
              <w:rPr>
                <w:rFonts w:ascii="Times New Roman" w:hAnsi="Times New Roman"/>
                <w:b/>
              </w:rPr>
              <w:t>Three Months Ended June 30, 2025</w:t>
            </w:r>
          </w:p>
        </w:tc>
        <w:tc>
          <w:tcPr>
            <w:tcW w:w="290" w:type="dxa"/>
            <w:tcBorders/>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620" w:type="dxa"/>
            <w:gridSpan w:val="26"/>
            <w:tcBorders>
              <w:bottom w:val="single" w:sz="12" w:space="0" w:color="000000"/>
            </w:tcBorders>
            <w:tcMar>
              <w:bottom w:w="28" w:type="dxa"/>
            </w:tcMar>
            <w:vAlign w:val="bottom"/>
          </w:tcPr>
          <w:p>
            <w:pPr>
              <w:pStyle w:val="TableContents"/>
              <w:bidi w:val="0"/>
              <w:spacing w:before="0" w:after="0"/>
              <w:jc w:val="center"/>
              <w:rPr>
                <w:rFonts w:ascii="Times New Roman" w:hAnsi="Times New Roman"/>
                <w:b/>
              </w:rPr>
            </w:pPr>
            <w:r>
              <w:rPr>
                <w:rFonts w:ascii="Times New Roman" w:hAnsi="Times New Roman"/>
                <w:b/>
              </w:rPr>
              <w:t>Nu Skin</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69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rPr>
            </w:pPr>
            <w:r>
              <w:rPr>
                <w:rFonts w:ascii="Times New Roman" w:hAnsi="Times New Roman"/>
                <w:b/>
              </w:rPr>
              <w:t>Rhyz</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rFonts w:ascii="Times New Roman" w:hAnsi="Times New Roman"/>
                <w:b/>
              </w:rPr>
            </w:pPr>
            <w:r>
              <w:rPr>
                <w:rFonts w:ascii="Times New Roman" w:hAnsi="Times New Roman"/>
                <w:b/>
              </w:rPr>
              <w:t>Mainland</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rFonts w:ascii="Times New Roman" w:hAnsi="Times New Roman"/>
                <w:b/>
              </w:rPr>
            </w:pPr>
            <w:r>
              <w:rPr>
                <w:rFonts w:ascii="Times New Roman" w:hAnsi="Times New Roman"/>
                <w:b/>
              </w:rPr>
              <w:t>Southeast</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0"/>
              <w:jc w:val="center"/>
              <w:rPr>
                <w:rFonts w:ascii="Times New Roman" w:hAnsi="Times New Roman"/>
                <w:b/>
              </w:rPr>
            </w:pPr>
            <w:r>
              <w:rPr>
                <w:rFonts w:ascii="Times New Roman" w:hAnsi="Times New Roman"/>
                <w:b/>
              </w:rPr>
              <w:t>Europe &amp;</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0"/>
              <w:jc w:val="center"/>
              <w:rPr>
                <w:rFonts w:ascii="Times New Roman" w:hAnsi="Times New Roman"/>
                <w:b/>
              </w:rPr>
            </w:pPr>
            <w:r>
              <w:rPr>
                <w:rFonts w:ascii="Times New Roman" w:hAnsi="Times New Roman"/>
                <w:b/>
              </w:rPr>
              <w:t>Hong Kong/</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0"/>
              <w:jc w:val="center"/>
              <w:rPr>
                <w:rFonts w:ascii="Times New Roman" w:hAnsi="Times New Roman"/>
                <w:b/>
              </w:rPr>
            </w:pPr>
            <w:r>
              <w:rPr>
                <w:rFonts w:ascii="Times New Roman" w:hAnsi="Times New Roman"/>
                <w:b/>
              </w:rPr>
              <w:t>South</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95"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vAlign w:val="center"/>
          </w:tcPr>
          <w:p>
            <w:pPr>
              <w:pStyle w:val="TableContents"/>
              <w:bidi w:val="0"/>
              <w:spacing w:before="0" w:after="0"/>
              <w:jc w:val="center"/>
              <w:rPr>
                <w:rFonts w:ascii="Times New Roman" w:hAnsi="Times New Roman"/>
                <w:b/>
              </w:rPr>
            </w:pPr>
            <w:r>
              <w:rPr>
                <w:rFonts w:ascii="Times New Roman" w:hAnsi="Times New Roman"/>
                <w:b/>
              </w:rPr>
              <w:t>Rhyz</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0"/>
              <w:jc w:val="center"/>
              <w:rPr>
                <w:rFonts w:ascii="Times New Roman" w:hAnsi="Times New Roman"/>
                <w:b/>
              </w:rPr>
            </w:pPr>
            <w:r>
              <w:rPr>
                <w:rFonts w:ascii="Times New Roman" w:hAnsi="Times New Roman"/>
                <w:b/>
              </w:rPr>
              <w:t>Total</w:t>
            </w:r>
          </w:p>
        </w:tc>
        <w:tc>
          <w:tcPr>
            <w:tcW w:w="290" w:type="dxa"/>
            <w:tcBorders/>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rPr>
            </w:pPr>
            <w:r>
              <w:rPr>
                <w:rFonts w:ascii="Times New Roman" w:hAnsi="Times New Roman"/>
                <w:b/>
              </w:rPr>
              <w:t>Americas</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rPr>
            </w:pPr>
            <w:r>
              <w:rPr>
                <w:rFonts w:ascii="Times New Roman" w:hAnsi="Times New Roman"/>
                <w:b/>
              </w:rPr>
              <w:t>China</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rPr>
            </w:pPr>
            <w:r>
              <w:rPr>
                <w:rFonts w:ascii="Times New Roman" w:hAnsi="Times New Roman"/>
                <w:b/>
              </w:rPr>
              <w:t>Asia/Pacific</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rPr>
            </w:pPr>
            <w:r>
              <w:rPr>
                <w:rFonts w:ascii="Times New Roman" w:hAnsi="Times New Roman"/>
                <w:b/>
              </w:rPr>
              <w:t>Japan</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rPr>
            </w:pPr>
            <w:r>
              <w:rPr>
                <w:rFonts w:ascii="Times New Roman" w:hAnsi="Times New Roman"/>
                <w:b/>
              </w:rPr>
              <w:t>Africa</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rPr>
            </w:pPr>
            <w:r>
              <w:rPr>
                <w:rFonts w:ascii="Times New Roman" w:hAnsi="Times New Roman"/>
                <w:b/>
              </w:rPr>
              <w:t>Taiwan</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rPr>
            </w:pPr>
            <w:r>
              <w:rPr>
                <w:rFonts w:ascii="Times New Roman" w:hAnsi="Times New Roman"/>
                <w:b/>
              </w:rPr>
              <w:t>Korea</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95"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rPr>
            </w:pPr>
            <w:r>
              <w:rPr>
                <w:rFonts w:ascii="Times New Roman" w:hAnsi="Times New Roman"/>
                <w:b/>
              </w:rPr>
              <w:t>Manufacturing</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rPr>
            </w:pPr>
            <w:r>
              <w:rPr>
                <w:rFonts w:ascii="Times New Roman" w:hAnsi="Times New Roman"/>
                <w:b/>
              </w:rPr>
              <w:t>Other</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rPr>
            </w:pPr>
            <w:r>
              <w:rPr>
                <w:rFonts w:ascii="Times New Roman" w:hAnsi="Times New Roman"/>
                <w:b/>
              </w:rPr>
              <w:t>Segments</w:t>
            </w:r>
          </w:p>
        </w:tc>
        <w:tc>
          <w:tcPr>
            <w:tcW w:w="290" w:type="dxa"/>
            <w:tcBorders/>
            <w:vAlign w:val="bottom"/>
          </w:tcPr>
          <w:p>
            <w:pPr>
              <w:pStyle w:val="TableContents"/>
              <w:bidi w:val="0"/>
              <w:spacing w:before="0" w:after="283"/>
              <w:jc w:val="left"/>
              <w:rPr/>
            </w:pPr>
            <w:r>
              <w:rPr/>
              <w:t> </w:t>
            </w:r>
          </w:p>
        </w:tc>
      </w:tr>
      <w:tr>
        <w:trPr/>
        <w:tc>
          <w:tcPr>
            <w:tcW w:w="1040"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Revenue</w:t>
            </w:r>
          </w:p>
        </w:tc>
        <w:tc>
          <w:tcPr>
            <w:tcW w:w="9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815"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72,946</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840"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53,224</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840"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50,834</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710"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44,550</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710"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37,328</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710"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27,527</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710"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34,068</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1287"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60,400</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590"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4,834</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839"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385,711</w:t>
            </w:r>
          </w:p>
        </w:tc>
        <w:tc>
          <w:tcPr>
            <w:tcW w:w="290" w:type="dxa"/>
            <w:tcBorders/>
            <w:shd w:fill="CCEEFF" w:val="clear"/>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0"/>
              <w:jc w:val="left"/>
              <w:rPr>
                <w:rFonts w:ascii="Times New Roman" w:hAnsi="Times New Roman"/>
              </w:rPr>
            </w:pPr>
            <w:r>
              <w:rPr>
                <w:rFonts w:ascii="Times New Roman" w:hAnsi="Times New Roman"/>
              </w:rPr>
              <w:t>Cost of sales</w:t>
            </w:r>
          </w:p>
        </w:tc>
        <w:tc>
          <w:tcPr>
            <w:tcW w:w="9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0"/>
              <w:jc w:val="right"/>
              <w:rPr>
                <w:rFonts w:ascii="Times New Roman" w:hAnsi="Times New Roman"/>
              </w:rPr>
            </w:pPr>
            <w:r>
              <w:rPr>
                <w:rFonts w:ascii="Times New Roman" w:hAnsi="Times New Roman"/>
              </w:rPr>
              <w:t>18,401</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0"/>
              <w:jc w:val="right"/>
              <w:rPr>
                <w:rFonts w:ascii="Times New Roman" w:hAnsi="Times New Roman"/>
              </w:rPr>
            </w:pPr>
            <w:r>
              <w:rPr>
                <w:rFonts w:ascii="Times New Roman" w:hAnsi="Times New Roman"/>
              </w:rPr>
              <w:t>9,800</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0"/>
              <w:jc w:val="right"/>
              <w:rPr>
                <w:rFonts w:ascii="Times New Roman" w:hAnsi="Times New Roman"/>
              </w:rPr>
            </w:pPr>
            <w:r>
              <w:rPr>
                <w:rFonts w:ascii="Times New Roman" w:hAnsi="Times New Roman"/>
              </w:rPr>
              <w:t>12,025</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rFonts w:ascii="Times New Roman" w:hAnsi="Times New Roman"/>
              </w:rPr>
            </w:pPr>
            <w:r>
              <w:rPr>
                <w:rFonts w:ascii="Times New Roman" w:hAnsi="Times New Roman"/>
              </w:rPr>
              <w:t>9,035</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rFonts w:ascii="Times New Roman" w:hAnsi="Times New Roman"/>
              </w:rPr>
            </w:pPr>
            <w:r>
              <w:rPr>
                <w:rFonts w:ascii="Times New Roman" w:hAnsi="Times New Roman"/>
              </w:rPr>
              <w:t>9,531</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rFonts w:ascii="Times New Roman" w:hAnsi="Times New Roman"/>
              </w:rPr>
            </w:pPr>
            <w:r>
              <w:rPr>
                <w:rFonts w:ascii="Times New Roman" w:hAnsi="Times New Roman"/>
              </w:rPr>
              <w:t>4,662</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rFonts w:ascii="Times New Roman" w:hAnsi="Times New Roman"/>
              </w:rPr>
            </w:pPr>
            <w:r>
              <w:rPr>
                <w:rFonts w:ascii="Times New Roman" w:hAnsi="Times New Roman"/>
              </w:rPr>
              <w:t>7,058</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0"/>
              <w:jc w:val="right"/>
              <w:rPr>
                <w:rFonts w:ascii="Times New Roman" w:hAnsi="Times New Roman"/>
              </w:rPr>
            </w:pPr>
            <w:r>
              <w:rPr>
                <w:rFonts w:ascii="Times New Roman" w:hAnsi="Times New Roman"/>
              </w:rPr>
              <w:t>46,963</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rPr>
            </w:pPr>
            <w:r>
              <w:rPr>
                <w:rFonts w:ascii="Times New Roman" w:hAnsi="Times New Roman"/>
              </w:rPr>
              <w:t>1,085</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0"/>
              <w:jc w:val="right"/>
              <w:rPr>
                <w:rFonts w:ascii="Times New Roman" w:hAnsi="Times New Roman"/>
              </w:rPr>
            </w:pPr>
            <w:r>
              <w:rPr>
                <w:rFonts w:ascii="Times New Roman" w:hAnsi="Times New Roman"/>
              </w:rPr>
              <w:t>118,560</w:t>
            </w:r>
          </w:p>
        </w:tc>
        <w:tc>
          <w:tcPr>
            <w:tcW w:w="290" w:type="dxa"/>
            <w:tcBorders/>
            <w:vAlign w:val="bottom"/>
          </w:tcPr>
          <w:p>
            <w:pPr>
              <w:pStyle w:val="TableContents"/>
              <w:bidi w:val="0"/>
              <w:spacing w:before="0" w:after="283"/>
              <w:jc w:val="left"/>
              <w:rPr/>
            </w:pPr>
            <w:r>
              <w:rPr/>
              <w:t> </w:t>
            </w:r>
          </w:p>
        </w:tc>
      </w:tr>
      <w:tr>
        <w:trPr/>
        <w:tc>
          <w:tcPr>
            <w:tcW w:w="1040" w:type="dxa"/>
            <w:tcBorders/>
            <w:shd w:fill="CCEEFF" w:val="clear"/>
            <w:vAlign w:val="bottom"/>
          </w:tcPr>
          <w:p>
            <w:pPr>
              <w:pStyle w:val="TableContents"/>
              <w:bidi w:val="0"/>
              <w:spacing w:before="0" w:after="0"/>
              <w:ind w:left="165" w:right="0" w:hanging="165"/>
              <w:jc w:val="left"/>
              <w:rPr>
                <w:rFonts w:ascii="Times New Roman" w:hAnsi="Times New Roman"/>
              </w:rPr>
            </w:pPr>
            <w:r>
              <w:rPr>
                <w:rFonts w:ascii="Times New Roman" w:hAnsi="Times New Roman"/>
              </w:rPr>
              <w:t>Other segment items</w:t>
            </w:r>
          </w:p>
        </w:tc>
        <w:tc>
          <w:tcPr>
            <w:tcW w:w="90" w:type="dxa"/>
            <w:tcBorders/>
            <w:shd w:fill="CCEEFF" w:val="clear"/>
            <w:vAlign w:val="bottom"/>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37,729</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28,967</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26,587</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23,562</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21,877</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14,536</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16,934</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0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8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9,737</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3,886</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183,815</w:t>
            </w:r>
          </w:p>
        </w:tc>
        <w:tc>
          <w:tcPr>
            <w:tcW w:w="290" w:type="dxa"/>
            <w:tcBorders/>
            <w:shd w:fill="CCEEFF" w:val="clear"/>
            <w:vAlign w:val="bottom"/>
          </w:tcPr>
          <w:p>
            <w:pPr>
              <w:pStyle w:val="TableContents"/>
              <w:bidi w:val="0"/>
              <w:spacing w:before="0" w:after="283"/>
              <w:jc w:val="left"/>
              <w:rPr/>
            </w:pPr>
            <w:r>
              <w:rPr/>
              <w:t> </w:t>
            </w:r>
          </w:p>
        </w:tc>
      </w:tr>
      <w:tr>
        <w:trPr/>
        <w:tc>
          <w:tcPr>
            <w:tcW w:w="1040" w:type="dxa"/>
            <w:tcBorders/>
            <w:vAlign w:val="bottom"/>
          </w:tcPr>
          <w:p>
            <w:pPr>
              <w:pStyle w:val="TableContents"/>
              <w:bidi w:val="0"/>
              <w:spacing w:before="0" w:after="0"/>
              <w:ind w:left="165" w:right="0" w:hanging="165"/>
              <w:jc w:val="left"/>
              <w:rPr>
                <w:rFonts w:ascii="Times New Roman" w:hAnsi="Times New Roman"/>
              </w:rPr>
            </w:pPr>
            <w:r>
              <w:rPr>
                <w:rFonts w:ascii="Times New Roman" w:hAnsi="Times New Roman"/>
              </w:rPr>
              <w:t>Segment contribution</w:t>
            </w:r>
          </w:p>
        </w:tc>
        <w:tc>
          <w:tcPr>
            <w:tcW w:w="90" w:type="dxa"/>
            <w:tcBorders/>
            <w:vAlign w:val="bottom"/>
          </w:tcPr>
          <w:p>
            <w:pPr>
              <w:pStyle w:val="TableContents"/>
              <w:bidi w:val="0"/>
              <w:spacing w:before="0" w:after="283"/>
              <w:jc w:val="left"/>
              <w:rPr/>
            </w:pPr>
            <w:r>
              <w:rPr/>
              <w:t> </w:t>
            </w:r>
          </w:p>
        </w:tc>
        <w:tc>
          <w:tcPr>
            <w:tcW w:w="19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rPr>
            </w:pPr>
            <w:r>
              <w:rPr>
                <w:rFonts w:ascii="Times New Roman" w:hAnsi="Times New Roman"/>
              </w:rPr>
              <w:t>$</w:t>
            </w:r>
          </w:p>
        </w:tc>
        <w:tc>
          <w:tcPr>
            <w:tcW w:w="81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16,816</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rPr>
            </w:pPr>
            <w:r>
              <w:rPr>
                <w:rFonts w:ascii="Times New Roman" w:hAnsi="Times New Roman"/>
              </w:rPr>
              <w:t>$</w:t>
            </w:r>
          </w:p>
        </w:tc>
        <w:tc>
          <w:tcPr>
            <w:tcW w:w="84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14,457</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rPr>
            </w:pPr>
            <w:r>
              <w:rPr>
                <w:rFonts w:ascii="Times New Roman" w:hAnsi="Times New Roman"/>
              </w:rPr>
              <w:t>$</w:t>
            </w:r>
          </w:p>
        </w:tc>
        <w:tc>
          <w:tcPr>
            <w:tcW w:w="84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12,222</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rPr>
            </w:pPr>
            <w:r>
              <w:rPr>
                <w:rFonts w:ascii="Times New Roman" w:hAnsi="Times New Roman"/>
              </w:rPr>
              <w:t>$</w:t>
            </w:r>
          </w:p>
        </w:tc>
        <w:tc>
          <w:tcPr>
            <w:tcW w:w="71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11,953</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rPr>
            </w:pPr>
            <w:r>
              <w:rPr>
                <w:rFonts w:ascii="Times New Roman" w:hAnsi="Times New Roman"/>
              </w:rPr>
              <w:t>$</w:t>
            </w:r>
          </w:p>
        </w:tc>
        <w:tc>
          <w:tcPr>
            <w:tcW w:w="71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5,920</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rPr>
            </w:pPr>
            <w:r>
              <w:rPr>
                <w:rFonts w:ascii="Times New Roman" w:hAnsi="Times New Roman"/>
              </w:rPr>
              <w:t>$</w:t>
            </w:r>
          </w:p>
        </w:tc>
        <w:tc>
          <w:tcPr>
            <w:tcW w:w="71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8,329</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rPr>
            </w:pPr>
            <w:r>
              <w:rPr>
                <w:rFonts w:ascii="Times New Roman" w:hAnsi="Times New Roman"/>
              </w:rPr>
              <w:t>$</w:t>
            </w:r>
          </w:p>
        </w:tc>
        <w:tc>
          <w:tcPr>
            <w:tcW w:w="71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10,076</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08"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rPr>
            </w:pPr>
            <w:r>
              <w:rPr>
                <w:rFonts w:ascii="Times New Roman" w:hAnsi="Times New Roman"/>
              </w:rPr>
              <w:t>$</w:t>
            </w:r>
          </w:p>
        </w:tc>
        <w:tc>
          <w:tcPr>
            <w:tcW w:w="128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3,700</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rPr>
            </w:pPr>
            <w:r>
              <w:rPr>
                <w:rFonts w:ascii="Times New Roman" w:hAnsi="Times New Roman"/>
              </w:rPr>
              <w:t>$</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(137</w:t>
            </w:r>
          </w:p>
        </w:tc>
        <w:tc>
          <w:tcPr>
            <w:tcW w:w="245" w:type="dxa"/>
            <w:tcBorders/>
            <w:vAlign w:val="bottom"/>
          </w:tcPr>
          <w:p>
            <w:pPr>
              <w:pStyle w:val="TableContents"/>
              <w:bidi w:val="0"/>
              <w:spacing w:before="0" w:after="0"/>
              <w:jc w:val="left"/>
              <w:rPr>
                <w:rFonts w:ascii="Times New Roman" w:hAnsi="Times New Roman"/>
              </w:rPr>
            </w:pPr>
            <w:r>
              <w:rPr>
                <w:rFonts w:ascii="Times New Roman" w:hAnsi="Times New Roman"/>
              </w:rPr>
              <w:t>)</w:t>
            </w:r>
          </w:p>
        </w:tc>
        <w:tc>
          <w:tcPr>
            <w:tcW w:w="90" w:type="dxa"/>
            <w:tcBorders/>
            <w:vAlign w:val="bottom"/>
          </w:tcPr>
          <w:p>
            <w:pPr>
              <w:pStyle w:val="TableContents"/>
              <w:bidi w:val="0"/>
              <w:spacing w:before="0" w:after="283"/>
              <w:jc w:val="left"/>
              <w:rPr/>
            </w:pPr>
            <w:r>
              <w:rPr/>
              <w:t> </w:t>
            </w:r>
          </w:p>
        </w:tc>
        <w:tc>
          <w:tcPr>
            <w:tcW w:w="171"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rPr>
            </w:pPr>
            <w:r>
              <w:rPr>
                <w:rFonts w:ascii="Times New Roman" w:hAnsi="Times New Roman"/>
              </w:rPr>
              <w:t>$</w:t>
            </w:r>
          </w:p>
        </w:tc>
        <w:tc>
          <w:tcPr>
            <w:tcW w:w="83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83,336</w:t>
            </w:r>
          </w:p>
        </w:tc>
        <w:tc>
          <w:tcPr>
            <w:tcW w:w="290" w:type="dxa"/>
            <w:tcBorders/>
            <w:vAlign w:val="bottom"/>
          </w:tcPr>
          <w:p>
            <w:pPr>
              <w:pStyle w:val="TableContents"/>
              <w:bidi w:val="0"/>
              <w:spacing w:before="0" w:after="283"/>
              <w:jc w:val="left"/>
              <w:rPr/>
            </w:pPr>
            <w:r>
              <w:rPr/>
              <w:t> </w:t>
            </w:r>
          </w:p>
        </w:tc>
      </w:tr>
      <w:tr>
        <w:trPr/>
        <w:tc>
          <w:tcPr>
            <w:tcW w:w="1040" w:type="dxa"/>
            <w:tcBorders/>
            <w:shd w:fill="CCEEFF" w:val="clear"/>
            <w:vAlign w:val="bottom"/>
          </w:tcPr>
          <w:p>
            <w:pPr>
              <w:pStyle w:val="TableContents"/>
              <w:bidi w:val="0"/>
              <w:spacing w:before="0" w:after="0"/>
              <w:ind w:left="180" w:right="0" w:hanging="180"/>
              <w:jc w:val="left"/>
              <w:rPr>
                <w:rFonts w:ascii="Times New Roman" w:hAnsi="Times New Roman"/>
              </w:rPr>
            </w:pPr>
            <w:r>
              <w:rPr>
                <w:rFonts w:ascii="Times New Roman" w:hAnsi="Times New Roman"/>
              </w:rPr>
              <w:t>Segment contribution as a percentage of revenue</w:t>
            </w:r>
          </w:p>
        </w:tc>
        <w:tc>
          <w:tcPr>
            <w:tcW w:w="9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23.1</w:t>
            </w:r>
          </w:p>
        </w:tc>
        <w:tc>
          <w:tcPr>
            <w:tcW w:w="245"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9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27.2</w:t>
            </w:r>
          </w:p>
        </w:tc>
        <w:tc>
          <w:tcPr>
            <w:tcW w:w="245"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9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24.0</w:t>
            </w:r>
          </w:p>
        </w:tc>
        <w:tc>
          <w:tcPr>
            <w:tcW w:w="245"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26.8</w:t>
            </w:r>
          </w:p>
        </w:tc>
        <w:tc>
          <w:tcPr>
            <w:tcW w:w="245"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15.9</w:t>
            </w:r>
          </w:p>
        </w:tc>
        <w:tc>
          <w:tcPr>
            <w:tcW w:w="245"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30.3</w:t>
            </w:r>
          </w:p>
        </w:tc>
        <w:tc>
          <w:tcPr>
            <w:tcW w:w="245"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29.6</w:t>
            </w:r>
          </w:p>
        </w:tc>
        <w:tc>
          <w:tcPr>
            <w:tcW w:w="245"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9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6.1</w:t>
            </w:r>
          </w:p>
        </w:tc>
        <w:tc>
          <w:tcPr>
            <w:tcW w:w="245"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(2.8</w:t>
            </w:r>
          </w:p>
        </w:tc>
        <w:tc>
          <w:tcPr>
            <w:tcW w:w="245"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21.6</w:t>
            </w:r>
          </w:p>
        </w:tc>
        <w:tc>
          <w:tcPr>
            <w:tcW w:w="290"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r>
    </w:tbl>
    <w:p>
      <w:pPr>
        <w:pStyle w:val="TextBody"/>
        <w:bidi w:val="0"/>
        <w:spacing w:before="0" w:after="0"/>
        <w:jc w:val="both"/>
        <w:rPr/>
      </w:pPr>
      <w:r>
        <w:rPr/>
      </w:r>
    </w:p>
    <w:tbl>
      <w:tblPr>
        <w:tblW w:w="14575" w:type="dxa"/>
        <w:jc w:val="left"/>
        <w:tblInd w:w="0" w:type="dxa"/>
        <w:tblLayout w:type="fixed"/>
        <w:tblCellMar>
          <w:top w:w="0" w:type="dxa"/>
          <w:left w:w="0" w:type="dxa"/>
          <w:bottom w:w="0" w:type="dxa"/>
          <w:right w:w="0" w:type="dxa"/>
        </w:tblCellMar>
      </w:tblPr>
      <w:tblGrid>
        <w:gridCol w:w="1130"/>
        <w:gridCol w:w="90"/>
        <w:gridCol w:w="171"/>
        <w:gridCol w:w="839"/>
        <w:gridCol w:w="245"/>
        <w:gridCol w:w="90"/>
        <w:gridCol w:w="200"/>
        <w:gridCol w:w="840"/>
        <w:gridCol w:w="245"/>
        <w:gridCol w:w="90"/>
        <w:gridCol w:w="200"/>
        <w:gridCol w:w="840"/>
        <w:gridCol w:w="245"/>
        <w:gridCol w:w="90"/>
        <w:gridCol w:w="170"/>
        <w:gridCol w:w="710"/>
        <w:gridCol w:w="245"/>
        <w:gridCol w:w="90"/>
        <w:gridCol w:w="170"/>
        <w:gridCol w:w="710"/>
        <w:gridCol w:w="245"/>
        <w:gridCol w:w="90"/>
        <w:gridCol w:w="170"/>
        <w:gridCol w:w="710"/>
        <w:gridCol w:w="245"/>
        <w:gridCol w:w="90"/>
        <w:gridCol w:w="170"/>
        <w:gridCol w:w="710"/>
        <w:gridCol w:w="245"/>
        <w:gridCol w:w="90"/>
        <w:gridCol w:w="308"/>
        <w:gridCol w:w="1287"/>
        <w:gridCol w:w="245"/>
        <w:gridCol w:w="90"/>
        <w:gridCol w:w="170"/>
        <w:gridCol w:w="665"/>
        <w:gridCol w:w="245"/>
        <w:gridCol w:w="90"/>
        <w:gridCol w:w="171"/>
        <w:gridCol w:w="839"/>
        <w:gridCol w:w="290"/>
      </w:tblGrid>
      <w:tr>
        <w:trPr/>
        <w:tc>
          <w:tcPr>
            <w:tcW w:w="11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065" w:type="dxa"/>
            <w:gridSpan w:val="38"/>
            <w:tcBorders>
              <w:bottom w:val="single" w:sz="12" w:space="0" w:color="000000"/>
            </w:tcBorders>
            <w:tcMar>
              <w:bottom w:w="28" w:type="dxa"/>
            </w:tcMar>
            <w:vAlign w:val="bottom"/>
          </w:tcPr>
          <w:p>
            <w:pPr>
              <w:pStyle w:val="TableContents"/>
              <w:bidi w:val="0"/>
              <w:spacing w:before="0" w:after="0"/>
              <w:jc w:val="center"/>
              <w:rPr>
                <w:rFonts w:ascii="Times New Roman" w:hAnsi="Times New Roman"/>
                <w:b/>
              </w:rPr>
            </w:pPr>
            <w:r>
              <w:rPr>
                <w:rFonts w:ascii="Times New Roman" w:hAnsi="Times New Roman"/>
                <w:b/>
              </w:rPr>
              <w:t>Six Months Ended June 30, 2026</w:t>
            </w:r>
          </w:p>
        </w:tc>
        <w:tc>
          <w:tcPr>
            <w:tcW w:w="290" w:type="dxa"/>
            <w:tcBorders/>
            <w:vAlign w:val="bottom"/>
          </w:tcPr>
          <w:p>
            <w:pPr>
              <w:pStyle w:val="TableContents"/>
              <w:bidi w:val="0"/>
              <w:spacing w:before="0" w:after="283"/>
              <w:jc w:val="left"/>
              <w:rPr/>
            </w:pPr>
            <w:r>
              <w:rPr/>
              <w:t> </w:t>
            </w:r>
          </w:p>
        </w:tc>
      </w:tr>
      <w:tr>
        <w:trPr/>
        <w:tc>
          <w:tcPr>
            <w:tcW w:w="11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620" w:type="dxa"/>
            <w:gridSpan w:val="26"/>
            <w:tcBorders>
              <w:bottom w:val="single" w:sz="12" w:space="0" w:color="000000"/>
            </w:tcBorders>
            <w:tcMar>
              <w:bottom w:w="28" w:type="dxa"/>
            </w:tcMar>
            <w:vAlign w:val="bottom"/>
          </w:tcPr>
          <w:p>
            <w:pPr>
              <w:pStyle w:val="TableContents"/>
              <w:bidi w:val="0"/>
              <w:spacing w:before="0" w:after="0"/>
              <w:jc w:val="center"/>
              <w:rPr>
                <w:rFonts w:ascii="Times New Roman" w:hAnsi="Times New Roman"/>
                <w:b/>
              </w:rPr>
            </w:pPr>
            <w:r>
              <w:rPr>
                <w:rFonts w:ascii="Times New Roman" w:hAnsi="Times New Roman"/>
                <w:b/>
              </w:rPr>
              <w:t>Nu Skin</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6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rPr>
            </w:pPr>
            <w:r>
              <w:rPr>
                <w:rFonts w:ascii="Times New Roman" w:hAnsi="Times New Roman"/>
                <w:b/>
              </w:rPr>
              <w:t>Rhyz</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r>
      <w:tr>
        <w:trPr/>
        <w:tc>
          <w:tcPr>
            <w:tcW w:w="11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rFonts w:ascii="Times New Roman" w:hAnsi="Times New Roman"/>
                <w:b/>
              </w:rPr>
            </w:pPr>
            <w:r>
              <w:rPr>
                <w:rFonts w:ascii="Times New Roman" w:hAnsi="Times New Roman"/>
                <w:b/>
              </w:rPr>
              <w:t>Mainland</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rFonts w:ascii="Times New Roman" w:hAnsi="Times New Roman"/>
                <w:b/>
              </w:rPr>
            </w:pPr>
            <w:r>
              <w:rPr>
                <w:rFonts w:ascii="Times New Roman" w:hAnsi="Times New Roman"/>
                <w:b/>
              </w:rPr>
              <w:t xml:space="preserve">Southeast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0"/>
              <w:jc w:val="center"/>
              <w:rPr>
                <w:rFonts w:ascii="Times New Roman" w:hAnsi="Times New Roman"/>
                <w:b/>
              </w:rPr>
            </w:pPr>
            <w:r>
              <w:rPr>
                <w:rFonts w:ascii="Times New Roman" w:hAnsi="Times New Roman"/>
                <w:b/>
              </w:rPr>
              <w:t>Europe &amp;</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0"/>
              <w:jc w:val="center"/>
              <w:rPr>
                <w:rFonts w:ascii="Times New Roman" w:hAnsi="Times New Roman"/>
                <w:b/>
              </w:rPr>
            </w:pPr>
            <w:r>
              <w:rPr>
                <w:rFonts w:ascii="Times New Roman" w:hAnsi="Times New Roman"/>
                <w:b/>
              </w:rPr>
              <w:t>Hong Kong/</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0"/>
              <w:jc w:val="center"/>
              <w:rPr>
                <w:rFonts w:ascii="Times New Roman" w:hAnsi="Times New Roman"/>
                <w:b/>
              </w:rPr>
            </w:pPr>
            <w:r>
              <w:rPr>
                <w:rFonts w:ascii="Times New Roman" w:hAnsi="Times New Roman"/>
                <w:b/>
              </w:rPr>
              <w:t>South</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95"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5" w:type="dxa"/>
            <w:gridSpan w:val="2"/>
            <w:tcBorders/>
            <w:vAlign w:val="center"/>
          </w:tcPr>
          <w:p>
            <w:pPr>
              <w:pStyle w:val="TableContents"/>
              <w:bidi w:val="0"/>
              <w:spacing w:before="0" w:after="0"/>
              <w:jc w:val="center"/>
              <w:rPr>
                <w:rFonts w:ascii="Times New Roman" w:hAnsi="Times New Roman"/>
                <w:b/>
              </w:rPr>
            </w:pPr>
            <w:r>
              <w:rPr>
                <w:rFonts w:ascii="Times New Roman" w:hAnsi="Times New Roman"/>
                <w:b/>
              </w:rPr>
              <w:t>Rhyz</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0"/>
              <w:jc w:val="center"/>
              <w:rPr>
                <w:rFonts w:ascii="Times New Roman" w:hAnsi="Times New Roman"/>
                <w:b/>
              </w:rPr>
            </w:pPr>
            <w:r>
              <w:rPr>
                <w:rFonts w:ascii="Times New Roman" w:hAnsi="Times New Roman"/>
                <w:b/>
              </w:rPr>
              <w:t>Total</w:t>
            </w:r>
          </w:p>
        </w:tc>
        <w:tc>
          <w:tcPr>
            <w:tcW w:w="290" w:type="dxa"/>
            <w:tcBorders/>
            <w:vAlign w:val="bottom"/>
          </w:tcPr>
          <w:p>
            <w:pPr>
              <w:pStyle w:val="TableContents"/>
              <w:bidi w:val="0"/>
              <w:spacing w:before="0" w:after="283"/>
              <w:jc w:val="left"/>
              <w:rPr/>
            </w:pPr>
            <w:r>
              <w:rPr/>
              <w:t> </w:t>
            </w:r>
          </w:p>
        </w:tc>
      </w:tr>
      <w:tr>
        <w:trPr/>
        <w:tc>
          <w:tcPr>
            <w:tcW w:w="11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rPr>
            </w:pPr>
            <w:r>
              <w:rPr>
                <w:rFonts w:ascii="Times New Roman" w:hAnsi="Times New Roman"/>
                <w:b/>
              </w:rPr>
              <w:t>Americas</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rPr>
            </w:pPr>
            <w:r>
              <w:rPr>
                <w:rFonts w:ascii="Times New Roman" w:hAnsi="Times New Roman"/>
                <w:b/>
              </w:rPr>
              <w:t>China</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rPr>
            </w:pPr>
            <w:r>
              <w:rPr>
                <w:rFonts w:ascii="Times New Roman" w:hAnsi="Times New Roman"/>
                <w:b/>
              </w:rPr>
              <w:t>Asia/Pacific</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rPr>
            </w:pPr>
            <w:r>
              <w:rPr>
                <w:rFonts w:ascii="Times New Roman" w:hAnsi="Times New Roman"/>
                <w:b/>
              </w:rPr>
              <w:t>Japan</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rPr>
            </w:pPr>
            <w:r>
              <w:rPr>
                <w:rFonts w:ascii="Times New Roman" w:hAnsi="Times New Roman"/>
                <w:b/>
              </w:rPr>
              <w:t>Africa</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rPr>
            </w:pPr>
            <w:r>
              <w:rPr>
                <w:rFonts w:ascii="Times New Roman" w:hAnsi="Times New Roman"/>
                <w:b/>
              </w:rPr>
              <w:t>Taiwan</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rPr>
            </w:pPr>
            <w:r>
              <w:rPr>
                <w:rFonts w:ascii="Times New Roman" w:hAnsi="Times New Roman"/>
                <w:b/>
              </w:rPr>
              <w:t>Korea</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95"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rPr>
            </w:pPr>
            <w:r>
              <w:rPr>
                <w:rFonts w:ascii="Times New Roman" w:hAnsi="Times New Roman"/>
                <w:b/>
              </w:rPr>
              <w:t>Manufacturing</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5"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rPr>
            </w:pPr>
            <w:r>
              <w:rPr>
                <w:rFonts w:ascii="Times New Roman" w:hAnsi="Times New Roman"/>
                <w:b/>
              </w:rPr>
              <w:t>Other</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rPr>
            </w:pPr>
            <w:r>
              <w:rPr>
                <w:rFonts w:ascii="Times New Roman" w:hAnsi="Times New Roman"/>
                <w:b/>
              </w:rPr>
              <w:t>Segments</w:t>
            </w:r>
          </w:p>
        </w:tc>
        <w:tc>
          <w:tcPr>
            <w:tcW w:w="290" w:type="dxa"/>
            <w:tcBorders/>
            <w:vAlign w:val="bottom"/>
          </w:tcPr>
          <w:p>
            <w:pPr>
              <w:pStyle w:val="TableContents"/>
              <w:bidi w:val="0"/>
              <w:spacing w:before="0" w:after="283"/>
              <w:jc w:val="left"/>
              <w:rPr/>
            </w:pPr>
            <w:r>
              <w:rPr/>
              <w:t> </w:t>
            </w:r>
          </w:p>
        </w:tc>
      </w:tr>
      <w:tr>
        <w:trPr/>
        <w:tc>
          <w:tcPr>
            <w:tcW w:w="1130"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Revenue</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839"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117,581</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840"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91,104</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840"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88,730</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710"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77,882</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710"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63,535</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710"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53,531</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710"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50,948</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1287"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91,293</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665"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6,268</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839"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640,872</w:t>
            </w:r>
          </w:p>
        </w:tc>
        <w:tc>
          <w:tcPr>
            <w:tcW w:w="290" w:type="dxa"/>
            <w:tcBorders/>
            <w:shd w:fill="CCEEFF" w:val="clear"/>
            <w:vAlign w:val="bottom"/>
          </w:tcPr>
          <w:p>
            <w:pPr>
              <w:pStyle w:val="TableContents"/>
              <w:bidi w:val="0"/>
              <w:spacing w:before="0" w:after="283"/>
              <w:jc w:val="left"/>
              <w:rPr/>
            </w:pPr>
            <w:r>
              <w:rPr/>
              <w:t> </w:t>
            </w:r>
          </w:p>
        </w:tc>
      </w:tr>
      <w:tr>
        <w:trPr/>
        <w:tc>
          <w:tcPr>
            <w:tcW w:w="1130" w:type="dxa"/>
            <w:tcBorders/>
            <w:vAlign w:val="bottom"/>
          </w:tcPr>
          <w:p>
            <w:pPr>
              <w:pStyle w:val="TableContents"/>
              <w:bidi w:val="0"/>
              <w:spacing w:before="0" w:after="0"/>
              <w:jc w:val="left"/>
              <w:rPr>
                <w:rFonts w:ascii="Times New Roman" w:hAnsi="Times New Roman"/>
              </w:rPr>
            </w:pPr>
            <w:r>
              <w:rPr>
                <w:rFonts w:ascii="Times New Roman" w:hAnsi="Times New Roman"/>
              </w:rPr>
              <w:t>Cost of sales</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0"/>
              <w:jc w:val="right"/>
              <w:rPr>
                <w:rFonts w:ascii="Times New Roman" w:hAnsi="Times New Roman"/>
              </w:rPr>
            </w:pPr>
            <w:r>
              <w:rPr>
                <w:rFonts w:ascii="Times New Roman" w:hAnsi="Times New Roman"/>
              </w:rPr>
              <w:t>29,263</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0"/>
              <w:jc w:val="right"/>
              <w:rPr>
                <w:rFonts w:ascii="Times New Roman" w:hAnsi="Times New Roman"/>
              </w:rPr>
            </w:pPr>
            <w:r>
              <w:rPr>
                <w:rFonts w:ascii="Times New Roman" w:hAnsi="Times New Roman"/>
              </w:rPr>
              <w:t>16,288</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0"/>
              <w:jc w:val="right"/>
              <w:rPr>
                <w:rFonts w:ascii="Times New Roman" w:hAnsi="Times New Roman"/>
              </w:rPr>
            </w:pPr>
            <w:r>
              <w:rPr>
                <w:rFonts w:ascii="Times New Roman" w:hAnsi="Times New Roman"/>
              </w:rPr>
              <w:t>21,702</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rFonts w:ascii="Times New Roman" w:hAnsi="Times New Roman"/>
              </w:rPr>
            </w:pPr>
            <w:r>
              <w:rPr>
                <w:rFonts w:ascii="Times New Roman" w:hAnsi="Times New Roman"/>
              </w:rPr>
              <w:t>16,415</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rFonts w:ascii="Times New Roman" w:hAnsi="Times New Roman"/>
              </w:rPr>
            </w:pPr>
            <w:r>
              <w:rPr>
                <w:rFonts w:ascii="Times New Roman" w:hAnsi="Times New Roman"/>
              </w:rPr>
              <w:t>15,791</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rFonts w:ascii="Times New Roman" w:hAnsi="Times New Roman"/>
              </w:rPr>
            </w:pPr>
            <w:r>
              <w:rPr>
                <w:rFonts w:ascii="Times New Roman" w:hAnsi="Times New Roman"/>
              </w:rPr>
              <w:t>8,574</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rFonts w:ascii="Times New Roman" w:hAnsi="Times New Roman"/>
              </w:rPr>
            </w:pPr>
            <w:r>
              <w:rPr>
                <w:rFonts w:ascii="Times New Roman" w:hAnsi="Times New Roman"/>
              </w:rPr>
              <w:t>10,927</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0"/>
              <w:jc w:val="right"/>
              <w:rPr>
                <w:rFonts w:ascii="Times New Roman" w:hAnsi="Times New Roman"/>
              </w:rPr>
            </w:pPr>
            <w:r>
              <w:rPr>
                <w:rFonts w:ascii="Times New Roman" w:hAnsi="Times New Roman"/>
              </w:rPr>
              <w:t>79,762</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0"/>
              <w:jc w:val="right"/>
              <w:rPr>
                <w:rFonts w:ascii="Times New Roman" w:hAnsi="Times New Roman"/>
              </w:rPr>
            </w:pPr>
            <w:r>
              <w:rPr>
                <w:rFonts w:ascii="Times New Roman" w:hAnsi="Times New Roman"/>
              </w:rPr>
              <w:t>4,832</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0"/>
              <w:jc w:val="right"/>
              <w:rPr>
                <w:rFonts w:ascii="Times New Roman" w:hAnsi="Times New Roman"/>
              </w:rPr>
            </w:pPr>
            <w:r>
              <w:rPr>
                <w:rFonts w:ascii="Times New Roman" w:hAnsi="Times New Roman"/>
              </w:rPr>
              <w:t>203,554</w:t>
            </w:r>
          </w:p>
        </w:tc>
        <w:tc>
          <w:tcPr>
            <w:tcW w:w="290" w:type="dxa"/>
            <w:tcBorders/>
            <w:vAlign w:val="bottom"/>
          </w:tcPr>
          <w:p>
            <w:pPr>
              <w:pStyle w:val="TableContents"/>
              <w:bidi w:val="0"/>
              <w:spacing w:before="0" w:after="283"/>
              <w:jc w:val="left"/>
              <w:rPr/>
            </w:pPr>
            <w:r>
              <w:rPr/>
              <w:t> </w:t>
            </w:r>
          </w:p>
        </w:tc>
      </w:tr>
      <w:tr>
        <w:trPr/>
        <w:tc>
          <w:tcPr>
            <w:tcW w:w="1130" w:type="dxa"/>
            <w:tcBorders/>
            <w:shd w:fill="CCEEFF" w:val="clear"/>
            <w:vAlign w:val="bottom"/>
          </w:tcPr>
          <w:p>
            <w:pPr>
              <w:pStyle w:val="TableContents"/>
              <w:bidi w:val="0"/>
              <w:spacing w:before="0" w:after="0"/>
              <w:ind w:left="75" w:right="0" w:hanging="75"/>
              <w:jc w:val="left"/>
              <w:rPr>
                <w:rFonts w:ascii="Times New Roman" w:hAnsi="Times New Roman"/>
              </w:rPr>
            </w:pPr>
            <w:r>
              <w:rPr>
                <w:rFonts w:ascii="Times New Roman" w:hAnsi="Times New Roman"/>
              </w:rPr>
              <w:t>Other segment items</w:t>
            </w:r>
          </w:p>
        </w:tc>
        <w:tc>
          <w:tcPr>
            <w:tcW w:w="90" w:type="dxa"/>
            <w:tcBorders/>
            <w:shd w:fill="CCEEFF" w:val="clear"/>
            <w:vAlign w:val="bottom"/>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66,173</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53,655</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50,066</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39,178</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39,404</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28,439</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25,255</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0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8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12,190</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9,591</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323,951</w:t>
            </w:r>
          </w:p>
        </w:tc>
        <w:tc>
          <w:tcPr>
            <w:tcW w:w="290" w:type="dxa"/>
            <w:tcBorders/>
            <w:shd w:fill="CCEEFF" w:val="clear"/>
            <w:vAlign w:val="bottom"/>
          </w:tcPr>
          <w:p>
            <w:pPr>
              <w:pStyle w:val="TableContents"/>
              <w:bidi w:val="0"/>
              <w:spacing w:before="0" w:after="283"/>
              <w:jc w:val="left"/>
              <w:rPr/>
            </w:pPr>
            <w:r>
              <w:rPr/>
              <w:t> </w:t>
            </w:r>
          </w:p>
        </w:tc>
      </w:tr>
      <w:tr>
        <w:trPr/>
        <w:tc>
          <w:tcPr>
            <w:tcW w:w="1130" w:type="dxa"/>
            <w:tcBorders/>
            <w:vAlign w:val="bottom"/>
          </w:tcPr>
          <w:p>
            <w:pPr>
              <w:pStyle w:val="TableContents"/>
              <w:bidi w:val="0"/>
              <w:spacing w:before="0" w:after="0"/>
              <w:ind w:left="75" w:right="0" w:hanging="75"/>
              <w:jc w:val="left"/>
              <w:rPr>
                <w:rFonts w:ascii="Times New Roman" w:hAnsi="Times New Roman"/>
              </w:rPr>
            </w:pPr>
            <w:r>
              <w:rPr>
                <w:rFonts w:ascii="Times New Roman" w:hAnsi="Times New Roman"/>
              </w:rPr>
              <w:t>Segment contribution</w:t>
            </w:r>
          </w:p>
        </w:tc>
        <w:tc>
          <w:tcPr>
            <w:tcW w:w="90" w:type="dxa"/>
            <w:tcBorders/>
            <w:vAlign w:val="bottom"/>
          </w:tcPr>
          <w:p>
            <w:pPr>
              <w:pStyle w:val="TableContents"/>
              <w:bidi w:val="0"/>
              <w:spacing w:before="0" w:after="283"/>
              <w:jc w:val="left"/>
              <w:rPr/>
            </w:pPr>
            <w:r>
              <w:rPr/>
              <w:t> </w:t>
            </w:r>
          </w:p>
        </w:tc>
        <w:tc>
          <w:tcPr>
            <w:tcW w:w="171"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rPr>
            </w:pPr>
            <w:r>
              <w:rPr>
                <w:rFonts w:ascii="Times New Roman" w:hAnsi="Times New Roman"/>
              </w:rPr>
              <w:t>$</w:t>
            </w:r>
          </w:p>
        </w:tc>
        <w:tc>
          <w:tcPr>
            <w:tcW w:w="83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22,145</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rPr>
            </w:pPr>
            <w:r>
              <w:rPr>
                <w:rFonts w:ascii="Times New Roman" w:hAnsi="Times New Roman"/>
              </w:rPr>
              <w:t>$</w:t>
            </w:r>
          </w:p>
        </w:tc>
        <w:tc>
          <w:tcPr>
            <w:tcW w:w="84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21,161</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0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rPr>
            </w:pPr>
            <w:r>
              <w:rPr>
                <w:rFonts w:ascii="Times New Roman" w:hAnsi="Times New Roman"/>
              </w:rPr>
              <w:t>$</w:t>
            </w:r>
          </w:p>
        </w:tc>
        <w:tc>
          <w:tcPr>
            <w:tcW w:w="84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16,962</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rPr>
            </w:pPr>
            <w:r>
              <w:rPr>
                <w:rFonts w:ascii="Times New Roman" w:hAnsi="Times New Roman"/>
              </w:rPr>
              <w:t>$</w:t>
            </w:r>
          </w:p>
        </w:tc>
        <w:tc>
          <w:tcPr>
            <w:tcW w:w="71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22,289</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rPr>
            </w:pPr>
            <w:r>
              <w:rPr>
                <w:rFonts w:ascii="Times New Roman" w:hAnsi="Times New Roman"/>
              </w:rPr>
              <w:t>$</w:t>
            </w:r>
          </w:p>
        </w:tc>
        <w:tc>
          <w:tcPr>
            <w:tcW w:w="71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8,340</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rPr>
            </w:pPr>
            <w:r>
              <w:rPr>
                <w:rFonts w:ascii="Times New Roman" w:hAnsi="Times New Roman"/>
              </w:rPr>
              <w:t>$</w:t>
            </w:r>
          </w:p>
        </w:tc>
        <w:tc>
          <w:tcPr>
            <w:tcW w:w="71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16,518</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rPr>
            </w:pPr>
            <w:r>
              <w:rPr>
                <w:rFonts w:ascii="Times New Roman" w:hAnsi="Times New Roman"/>
              </w:rPr>
              <w:t>$</w:t>
            </w:r>
          </w:p>
        </w:tc>
        <w:tc>
          <w:tcPr>
            <w:tcW w:w="71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14,766</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08"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rPr>
            </w:pPr>
            <w:r>
              <w:rPr>
                <w:rFonts w:ascii="Times New Roman" w:hAnsi="Times New Roman"/>
              </w:rPr>
              <w:t>$</w:t>
            </w:r>
          </w:p>
        </w:tc>
        <w:tc>
          <w:tcPr>
            <w:tcW w:w="128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(659</w:t>
            </w:r>
          </w:p>
        </w:tc>
        <w:tc>
          <w:tcPr>
            <w:tcW w:w="245" w:type="dxa"/>
            <w:tcBorders/>
            <w:vAlign w:val="bottom"/>
          </w:tcPr>
          <w:p>
            <w:pPr>
              <w:pStyle w:val="TableContents"/>
              <w:bidi w:val="0"/>
              <w:spacing w:before="0" w:after="0"/>
              <w:jc w:val="left"/>
              <w:rPr>
                <w:rFonts w:ascii="Times New Roman" w:hAnsi="Times New Roman"/>
              </w:rPr>
            </w:pPr>
            <w:r>
              <w:rPr>
                <w:rFonts w:ascii="Times New Roman" w:hAnsi="Times New Roman"/>
              </w:rPr>
              <w:t>)</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rPr>
            </w:pPr>
            <w:r>
              <w:rPr>
                <w:rFonts w:ascii="Times New Roman" w:hAnsi="Times New Roman"/>
              </w:rPr>
              <w:t>$</w:t>
            </w:r>
          </w:p>
        </w:tc>
        <w:tc>
          <w:tcPr>
            <w:tcW w:w="66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(8,155</w:t>
            </w:r>
          </w:p>
        </w:tc>
        <w:tc>
          <w:tcPr>
            <w:tcW w:w="245" w:type="dxa"/>
            <w:tcBorders/>
            <w:vAlign w:val="bottom"/>
          </w:tcPr>
          <w:p>
            <w:pPr>
              <w:pStyle w:val="TableContents"/>
              <w:bidi w:val="0"/>
              <w:spacing w:before="0" w:after="0"/>
              <w:jc w:val="left"/>
              <w:rPr>
                <w:rFonts w:ascii="Times New Roman" w:hAnsi="Times New Roman"/>
              </w:rPr>
            </w:pPr>
            <w:r>
              <w:rPr>
                <w:rFonts w:ascii="Times New Roman" w:hAnsi="Times New Roman"/>
              </w:rPr>
              <w:t>)</w:t>
            </w:r>
          </w:p>
        </w:tc>
        <w:tc>
          <w:tcPr>
            <w:tcW w:w="90" w:type="dxa"/>
            <w:tcBorders/>
            <w:vAlign w:val="bottom"/>
          </w:tcPr>
          <w:p>
            <w:pPr>
              <w:pStyle w:val="TableContents"/>
              <w:bidi w:val="0"/>
              <w:spacing w:before="0" w:after="283"/>
              <w:jc w:val="left"/>
              <w:rPr/>
            </w:pPr>
            <w:r>
              <w:rPr/>
              <w:t> </w:t>
            </w:r>
          </w:p>
        </w:tc>
        <w:tc>
          <w:tcPr>
            <w:tcW w:w="171"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rPr>
            </w:pPr>
            <w:r>
              <w:rPr>
                <w:rFonts w:ascii="Times New Roman" w:hAnsi="Times New Roman"/>
              </w:rPr>
              <w:t>$</w:t>
            </w:r>
          </w:p>
        </w:tc>
        <w:tc>
          <w:tcPr>
            <w:tcW w:w="83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113,367</w:t>
            </w:r>
          </w:p>
        </w:tc>
        <w:tc>
          <w:tcPr>
            <w:tcW w:w="290" w:type="dxa"/>
            <w:tcBorders/>
            <w:vAlign w:val="bottom"/>
          </w:tcPr>
          <w:p>
            <w:pPr>
              <w:pStyle w:val="TableContents"/>
              <w:bidi w:val="0"/>
              <w:spacing w:before="0" w:after="283"/>
              <w:jc w:val="left"/>
              <w:rPr/>
            </w:pPr>
            <w:r>
              <w:rPr/>
              <w:t> </w:t>
            </w:r>
          </w:p>
        </w:tc>
      </w:tr>
      <w:tr>
        <w:trPr/>
        <w:tc>
          <w:tcPr>
            <w:tcW w:w="1130" w:type="dxa"/>
            <w:tcBorders/>
            <w:shd w:fill="CCEEFF" w:val="clear"/>
            <w:vAlign w:val="bottom"/>
          </w:tcPr>
          <w:p>
            <w:pPr>
              <w:pStyle w:val="TableContents"/>
              <w:bidi w:val="0"/>
              <w:spacing w:before="0" w:after="0"/>
              <w:ind w:left="180" w:right="0" w:hanging="180"/>
              <w:jc w:val="left"/>
              <w:rPr>
                <w:rFonts w:ascii="Times New Roman" w:hAnsi="Times New Roman"/>
              </w:rPr>
            </w:pPr>
            <w:r>
              <w:rPr>
                <w:rFonts w:ascii="Times New Roman" w:hAnsi="Times New Roman"/>
              </w:rPr>
              <w:t>Segment contribution as a percentage of revenue</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18.8</w:t>
            </w:r>
          </w:p>
        </w:tc>
        <w:tc>
          <w:tcPr>
            <w:tcW w:w="245"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9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23.2</w:t>
            </w:r>
          </w:p>
        </w:tc>
        <w:tc>
          <w:tcPr>
            <w:tcW w:w="245"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9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19.1</w:t>
            </w:r>
          </w:p>
        </w:tc>
        <w:tc>
          <w:tcPr>
            <w:tcW w:w="245"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28.6</w:t>
            </w:r>
          </w:p>
        </w:tc>
        <w:tc>
          <w:tcPr>
            <w:tcW w:w="245"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13.1</w:t>
            </w:r>
          </w:p>
        </w:tc>
        <w:tc>
          <w:tcPr>
            <w:tcW w:w="245"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30.9</w:t>
            </w:r>
          </w:p>
        </w:tc>
        <w:tc>
          <w:tcPr>
            <w:tcW w:w="245"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29.0</w:t>
            </w:r>
          </w:p>
        </w:tc>
        <w:tc>
          <w:tcPr>
            <w:tcW w:w="245"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90"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(0.7</w:t>
            </w:r>
          </w:p>
        </w:tc>
        <w:tc>
          <w:tcPr>
            <w:tcW w:w="245"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(130.1</w:t>
            </w:r>
          </w:p>
        </w:tc>
        <w:tc>
          <w:tcPr>
            <w:tcW w:w="245"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17.7</w:t>
            </w:r>
          </w:p>
        </w:tc>
        <w:tc>
          <w:tcPr>
            <w:tcW w:w="290"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r>
    </w:tbl>
    <w:p>
      <w:pPr>
        <w:pStyle w:val="TextBody"/>
        <w:bidi w:val="0"/>
        <w:spacing w:before="0" w:after="0"/>
        <w:jc w:val="both"/>
        <w:rPr/>
      </w:pPr>
      <w:r>
        <w:rPr/>
      </w:r>
    </w:p>
    <w:tbl>
      <w:tblPr>
        <w:tblW w:w="14575" w:type="dxa"/>
        <w:jc w:val="left"/>
        <w:tblInd w:w="0" w:type="dxa"/>
        <w:tblLayout w:type="fixed"/>
        <w:tblCellMar>
          <w:top w:w="0" w:type="dxa"/>
          <w:left w:w="0" w:type="dxa"/>
          <w:bottom w:w="0" w:type="dxa"/>
          <w:right w:w="0" w:type="dxa"/>
        </w:tblCellMar>
      </w:tblPr>
      <w:tblGrid>
        <w:gridCol w:w="1130"/>
        <w:gridCol w:w="90"/>
        <w:gridCol w:w="171"/>
        <w:gridCol w:w="839"/>
        <w:gridCol w:w="245"/>
        <w:gridCol w:w="90"/>
        <w:gridCol w:w="176"/>
        <w:gridCol w:w="864"/>
        <w:gridCol w:w="245"/>
        <w:gridCol w:w="90"/>
        <w:gridCol w:w="176"/>
        <w:gridCol w:w="864"/>
        <w:gridCol w:w="245"/>
        <w:gridCol w:w="90"/>
        <w:gridCol w:w="170"/>
        <w:gridCol w:w="710"/>
        <w:gridCol w:w="245"/>
        <w:gridCol w:w="90"/>
        <w:gridCol w:w="170"/>
        <w:gridCol w:w="710"/>
        <w:gridCol w:w="245"/>
        <w:gridCol w:w="90"/>
        <w:gridCol w:w="170"/>
        <w:gridCol w:w="710"/>
        <w:gridCol w:w="245"/>
        <w:gridCol w:w="90"/>
        <w:gridCol w:w="170"/>
        <w:gridCol w:w="710"/>
        <w:gridCol w:w="245"/>
        <w:gridCol w:w="90"/>
        <w:gridCol w:w="271"/>
        <w:gridCol w:w="1324"/>
        <w:gridCol w:w="245"/>
        <w:gridCol w:w="90"/>
        <w:gridCol w:w="170"/>
        <w:gridCol w:w="665"/>
        <w:gridCol w:w="245"/>
        <w:gridCol w:w="90"/>
        <w:gridCol w:w="171"/>
        <w:gridCol w:w="839"/>
        <w:gridCol w:w="290"/>
      </w:tblGrid>
      <w:tr>
        <w:trPr/>
        <w:tc>
          <w:tcPr>
            <w:tcW w:w="11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3065" w:type="dxa"/>
            <w:gridSpan w:val="38"/>
            <w:tcBorders>
              <w:bottom w:val="single" w:sz="12" w:space="0" w:color="000000"/>
            </w:tcBorders>
            <w:tcMar>
              <w:bottom w:w="28" w:type="dxa"/>
            </w:tcMar>
            <w:vAlign w:val="bottom"/>
          </w:tcPr>
          <w:p>
            <w:pPr>
              <w:pStyle w:val="TableContents"/>
              <w:bidi w:val="0"/>
              <w:spacing w:before="0" w:after="0"/>
              <w:jc w:val="center"/>
              <w:rPr>
                <w:rFonts w:ascii="Times New Roman" w:hAnsi="Times New Roman"/>
                <w:b/>
              </w:rPr>
            </w:pPr>
            <w:r>
              <w:rPr>
                <w:rFonts w:ascii="Times New Roman" w:hAnsi="Times New Roman"/>
                <w:b/>
              </w:rPr>
              <w:t>Six Months Ended June 30, 2025</w:t>
            </w:r>
          </w:p>
        </w:tc>
        <w:tc>
          <w:tcPr>
            <w:tcW w:w="290" w:type="dxa"/>
            <w:tcBorders/>
            <w:vAlign w:val="bottom"/>
          </w:tcPr>
          <w:p>
            <w:pPr>
              <w:pStyle w:val="TableContents"/>
              <w:bidi w:val="0"/>
              <w:spacing w:before="0" w:after="283"/>
              <w:jc w:val="left"/>
              <w:rPr/>
            </w:pPr>
            <w:r>
              <w:rPr/>
              <w:t> </w:t>
            </w:r>
          </w:p>
        </w:tc>
      </w:tr>
      <w:tr>
        <w:trPr/>
        <w:tc>
          <w:tcPr>
            <w:tcW w:w="11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8620" w:type="dxa"/>
            <w:gridSpan w:val="26"/>
            <w:tcBorders>
              <w:bottom w:val="single" w:sz="12" w:space="0" w:color="000000"/>
            </w:tcBorders>
            <w:tcMar>
              <w:bottom w:w="28" w:type="dxa"/>
            </w:tcMar>
            <w:vAlign w:val="bottom"/>
          </w:tcPr>
          <w:p>
            <w:pPr>
              <w:pStyle w:val="TableContents"/>
              <w:bidi w:val="0"/>
              <w:spacing w:before="0" w:after="0"/>
              <w:jc w:val="center"/>
              <w:rPr>
                <w:rFonts w:ascii="Times New Roman" w:hAnsi="Times New Roman"/>
                <w:b/>
              </w:rPr>
            </w:pPr>
            <w:r>
              <w:rPr>
                <w:rFonts w:ascii="Times New Roman" w:hAnsi="Times New Roman"/>
                <w:b/>
              </w:rPr>
              <w:t>Nu Skin</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6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rPr>
            </w:pPr>
            <w:r>
              <w:rPr>
                <w:rFonts w:ascii="Times New Roman" w:hAnsi="Times New Roman"/>
                <w:b/>
              </w:rPr>
              <w:t>Rhyz</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r>
      <w:tr>
        <w:trPr/>
        <w:tc>
          <w:tcPr>
            <w:tcW w:w="11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rFonts w:ascii="Times New Roman" w:hAnsi="Times New Roman"/>
                <w:b/>
              </w:rPr>
            </w:pPr>
            <w:r>
              <w:rPr>
                <w:rFonts w:ascii="Times New Roman" w:hAnsi="Times New Roman"/>
                <w:b/>
              </w:rPr>
              <w:t>Mainland</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rFonts w:ascii="Times New Roman" w:hAnsi="Times New Roman"/>
                <w:b/>
              </w:rPr>
            </w:pPr>
            <w:r>
              <w:rPr>
                <w:rFonts w:ascii="Times New Roman" w:hAnsi="Times New Roman"/>
                <w:b/>
              </w:rPr>
              <w:t xml:space="preserve">Southeast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0"/>
              <w:jc w:val="center"/>
              <w:rPr>
                <w:rFonts w:ascii="Times New Roman" w:hAnsi="Times New Roman"/>
                <w:b/>
              </w:rPr>
            </w:pPr>
            <w:r>
              <w:rPr>
                <w:rFonts w:ascii="Times New Roman" w:hAnsi="Times New Roman"/>
                <w:b/>
              </w:rPr>
              <w:t>Europe &amp;</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0"/>
              <w:jc w:val="center"/>
              <w:rPr>
                <w:rFonts w:ascii="Times New Roman" w:hAnsi="Times New Roman"/>
                <w:b/>
              </w:rPr>
            </w:pPr>
            <w:r>
              <w:rPr>
                <w:rFonts w:ascii="Times New Roman" w:hAnsi="Times New Roman"/>
                <w:b/>
              </w:rPr>
              <w:t>Hong Kong/</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0"/>
              <w:jc w:val="center"/>
              <w:rPr>
                <w:rFonts w:ascii="Times New Roman" w:hAnsi="Times New Roman"/>
                <w:b/>
              </w:rPr>
            </w:pPr>
            <w:r>
              <w:rPr>
                <w:rFonts w:ascii="Times New Roman" w:hAnsi="Times New Roman"/>
                <w:b/>
              </w:rPr>
              <w:t>South</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95"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5" w:type="dxa"/>
            <w:gridSpan w:val="2"/>
            <w:tcBorders/>
            <w:vAlign w:val="center"/>
          </w:tcPr>
          <w:p>
            <w:pPr>
              <w:pStyle w:val="TableContents"/>
              <w:bidi w:val="0"/>
              <w:spacing w:before="0" w:after="0"/>
              <w:jc w:val="center"/>
              <w:rPr>
                <w:rFonts w:ascii="Times New Roman" w:hAnsi="Times New Roman"/>
                <w:b/>
              </w:rPr>
            </w:pPr>
            <w:r>
              <w:rPr>
                <w:rFonts w:ascii="Times New Roman" w:hAnsi="Times New Roman"/>
                <w:b/>
              </w:rPr>
              <w:t>Rhyz</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0"/>
              <w:jc w:val="center"/>
              <w:rPr>
                <w:rFonts w:ascii="Times New Roman" w:hAnsi="Times New Roman"/>
                <w:b/>
              </w:rPr>
            </w:pPr>
            <w:r>
              <w:rPr>
                <w:rFonts w:ascii="Times New Roman" w:hAnsi="Times New Roman"/>
                <w:b/>
              </w:rPr>
              <w:t>Total</w:t>
            </w:r>
          </w:p>
        </w:tc>
        <w:tc>
          <w:tcPr>
            <w:tcW w:w="290" w:type="dxa"/>
            <w:tcBorders/>
            <w:vAlign w:val="bottom"/>
          </w:tcPr>
          <w:p>
            <w:pPr>
              <w:pStyle w:val="TableContents"/>
              <w:bidi w:val="0"/>
              <w:spacing w:before="0" w:after="283"/>
              <w:jc w:val="left"/>
              <w:rPr/>
            </w:pPr>
            <w:r>
              <w:rPr/>
              <w:t> </w:t>
            </w:r>
          </w:p>
        </w:tc>
      </w:tr>
      <w:tr>
        <w:trPr/>
        <w:tc>
          <w:tcPr>
            <w:tcW w:w="113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rPr>
            </w:pPr>
            <w:r>
              <w:rPr>
                <w:rFonts w:ascii="Times New Roman" w:hAnsi="Times New Roman"/>
                <w:b/>
              </w:rPr>
              <w:t>Americas</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rPr>
            </w:pPr>
            <w:r>
              <w:rPr>
                <w:rFonts w:ascii="Times New Roman" w:hAnsi="Times New Roman"/>
                <w:b/>
              </w:rPr>
              <w:t>China</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rPr>
            </w:pPr>
            <w:r>
              <w:rPr>
                <w:rFonts w:ascii="Times New Roman" w:hAnsi="Times New Roman"/>
                <w:b/>
              </w:rPr>
              <w:t>Asia/Pacific</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rPr>
            </w:pPr>
            <w:r>
              <w:rPr>
                <w:rFonts w:ascii="Times New Roman" w:hAnsi="Times New Roman"/>
                <w:b/>
              </w:rPr>
              <w:t>Japan</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rPr>
            </w:pPr>
            <w:r>
              <w:rPr>
                <w:rFonts w:ascii="Times New Roman" w:hAnsi="Times New Roman"/>
                <w:b/>
              </w:rPr>
              <w:t>Africa</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rPr>
            </w:pPr>
            <w:r>
              <w:rPr>
                <w:rFonts w:ascii="Times New Roman" w:hAnsi="Times New Roman"/>
                <w:b/>
              </w:rPr>
              <w:t>Taiwan</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rPr>
            </w:pPr>
            <w:r>
              <w:rPr>
                <w:rFonts w:ascii="Times New Roman" w:hAnsi="Times New Roman"/>
                <w:b/>
              </w:rPr>
              <w:t>Korea</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95"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rPr>
            </w:pPr>
            <w:r>
              <w:rPr>
                <w:rFonts w:ascii="Times New Roman" w:hAnsi="Times New Roman"/>
                <w:b/>
              </w:rPr>
              <w:t>Manufacturing</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5"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rPr>
            </w:pPr>
            <w:r>
              <w:rPr>
                <w:rFonts w:ascii="Times New Roman" w:hAnsi="Times New Roman"/>
                <w:b/>
              </w:rPr>
              <w:t>Other</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rPr>
            </w:pPr>
            <w:r>
              <w:rPr>
                <w:rFonts w:ascii="Times New Roman" w:hAnsi="Times New Roman"/>
                <w:b/>
              </w:rPr>
              <w:t>Segments</w:t>
            </w:r>
          </w:p>
        </w:tc>
        <w:tc>
          <w:tcPr>
            <w:tcW w:w="290" w:type="dxa"/>
            <w:tcBorders/>
            <w:vAlign w:val="bottom"/>
          </w:tcPr>
          <w:p>
            <w:pPr>
              <w:pStyle w:val="TableContents"/>
              <w:bidi w:val="0"/>
              <w:spacing w:before="0" w:after="283"/>
              <w:jc w:val="left"/>
              <w:rPr/>
            </w:pPr>
            <w:r>
              <w:rPr/>
              <w:t> </w:t>
            </w:r>
          </w:p>
        </w:tc>
      </w:tr>
      <w:tr>
        <w:trPr/>
        <w:tc>
          <w:tcPr>
            <w:tcW w:w="1130"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Revenue</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839"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142,004</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864"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100,999</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864"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103,006</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710"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87,315</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710"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70,349</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710"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55,974</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710"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66,583</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1324"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115,690</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665"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7,752</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839"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749,672</w:t>
            </w:r>
          </w:p>
        </w:tc>
        <w:tc>
          <w:tcPr>
            <w:tcW w:w="290" w:type="dxa"/>
            <w:tcBorders/>
            <w:shd w:fill="CCEEFF" w:val="clear"/>
            <w:vAlign w:val="bottom"/>
          </w:tcPr>
          <w:p>
            <w:pPr>
              <w:pStyle w:val="TableContents"/>
              <w:bidi w:val="0"/>
              <w:spacing w:before="0" w:after="283"/>
              <w:jc w:val="left"/>
              <w:rPr/>
            </w:pPr>
            <w:r>
              <w:rPr/>
              <w:t> </w:t>
            </w:r>
          </w:p>
        </w:tc>
      </w:tr>
      <w:tr>
        <w:trPr/>
        <w:tc>
          <w:tcPr>
            <w:tcW w:w="1130" w:type="dxa"/>
            <w:tcBorders/>
            <w:vAlign w:val="bottom"/>
          </w:tcPr>
          <w:p>
            <w:pPr>
              <w:pStyle w:val="TableContents"/>
              <w:bidi w:val="0"/>
              <w:spacing w:before="0" w:after="0"/>
              <w:jc w:val="left"/>
              <w:rPr>
                <w:rFonts w:ascii="Times New Roman" w:hAnsi="Times New Roman"/>
              </w:rPr>
            </w:pPr>
            <w:r>
              <w:rPr>
                <w:rFonts w:ascii="Times New Roman" w:hAnsi="Times New Roman"/>
              </w:rPr>
              <w:t>Cost of sales</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0"/>
              <w:jc w:val="right"/>
              <w:rPr>
                <w:rFonts w:ascii="Times New Roman" w:hAnsi="Times New Roman"/>
              </w:rPr>
            </w:pPr>
            <w:r>
              <w:rPr>
                <w:rFonts w:ascii="Times New Roman" w:hAnsi="Times New Roman"/>
              </w:rPr>
              <w:t>36,167</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0"/>
              <w:jc w:val="right"/>
              <w:rPr>
                <w:rFonts w:ascii="Times New Roman" w:hAnsi="Times New Roman"/>
              </w:rPr>
            </w:pPr>
            <w:r>
              <w:rPr>
                <w:rFonts w:ascii="Times New Roman" w:hAnsi="Times New Roman"/>
              </w:rPr>
              <w:t>18,788</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0"/>
              <w:jc w:val="right"/>
              <w:rPr>
                <w:rFonts w:ascii="Times New Roman" w:hAnsi="Times New Roman"/>
              </w:rPr>
            </w:pPr>
            <w:r>
              <w:rPr>
                <w:rFonts w:ascii="Times New Roman" w:hAnsi="Times New Roman"/>
              </w:rPr>
              <w:t>25,024</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rFonts w:ascii="Times New Roman" w:hAnsi="Times New Roman"/>
              </w:rPr>
            </w:pPr>
            <w:r>
              <w:rPr>
                <w:rFonts w:ascii="Times New Roman" w:hAnsi="Times New Roman"/>
              </w:rPr>
              <w:t>17,789</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rFonts w:ascii="Times New Roman" w:hAnsi="Times New Roman"/>
              </w:rPr>
            </w:pPr>
            <w:r>
              <w:rPr>
                <w:rFonts w:ascii="Times New Roman" w:hAnsi="Times New Roman"/>
              </w:rPr>
              <w:t>17,905</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rFonts w:ascii="Times New Roman" w:hAnsi="Times New Roman"/>
              </w:rPr>
            </w:pPr>
            <w:r>
              <w:rPr>
                <w:rFonts w:ascii="Times New Roman" w:hAnsi="Times New Roman"/>
              </w:rPr>
              <w:t>9,714</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right"/>
              <w:rPr>
                <w:rFonts w:ascii="Times New Roman" w:hAnsi="Times New Roman"/>
              </w:rPr>
            </w:pPr>
            <w:r>
              <w:rPr>
                <w:rFonts w:ascii="Times New Roman" w:hAnsi="Times New Roman"/>
              </w:rPr>
              <w:t>13,499</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324" w:type="dxa"/>
            <w:tcBorders/>
            <w:vAlign w:val="bottom"/>
          </w:tcPr>
          <w:p>
            <w:pPr>
              <w:pStyle w:val="TableContents"/>
              <w:bidi w:val="0"/>
              <w:spacing w:before="0" w:after="0"/>
              <w:jc w:val="right"/>
              <w:rPr>
                <w:rFonts w:ascii="Times New Roman" w:hAnsi="Times New Roman"/>
              </w:rPr>
            </w:pPr>
            <w:r>
              <w:rPr>
                <w:rFonts w:ascii="Times New Roman" w:hAnsi="Times New Roman"/>
              </w:rPr>
              <w:t>91,938</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0"/>
              <w:jc w:val="right"/>
              <w:rPr>
                <w:rFonts w:ascii="Times New Roman" w:hAnsi="Times New Roman"/>
              </w:rPr>
            </w:pPr>
            <w:r>
              <w:rPr>
                <w:rFonts w:ascii="Times New Roman" w:hAnsi="Times New Roman"/>
              </w:rPr>
              <w:t>2,374</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839" w:type="dxa"/>
            <w:tcBorders/>
            <w:vAlign w:val="bottom"/>
          </w:tcPr>
          <w:p>
            <w:pPr>
              <w:pStyle w:val="TableContents"/>
              <w:bidi w:val="0"/>
              <w:spacing w:before="0" w:after="0"/>
              <w:jc w:val="right"/>
              <w:rPr>
                <w:rFonts w:ascii="Times New Roman" w:hAnsi="Times New Roman"/>
              </w:rPr>
            </w:pPr>
            <w:r>
              <w:rPr>
                <w:rFonts w:ascii="Times New Roman" w:hAnsi="Times New Roman"/>
              </w:rPr>
              <w:t>233,198</w:t>
            </w:r>
          </w:p>
        </w:tc>
        <w:tc>
          <w:tcPr>
            <w:tcW w:w="290" w:type="dxa"/>
            <w:tcBorders/>
            <w:vAlign w:val="bottom"/>
          </w:tcPr>
          <w:p>
            <w:pPr>
              <w:pStyle w:val="TableContents"/>
              <w:bidi w:val="0"/>
              <w:spacing w:before="0" w:after="283"/>
              <w:jc w:val="left"/>
              <w:rPr/>
            </w:pPr>
            <w:r>
              <w:rPr/>
              <w:t> </w:t>
            </w:r>
          </w:p>
        </w:tc>
      </w:tr>
      <w:tr>
        <w:trPr/>
        <w:tc>
          <w:tcPr>
            <w:tcW w:w="1130" w:type="dxa"/>
            <w:tcBorders/>
            <w:shd w:fill="CCEEFF" w:val="clear"/>
            <w:vAlign w:val="bottom"/>
          </w:tcPr>
          <w:p>
            <w:pPr>
              <w:pStyle w:val="TableContents"/>
              <w:bidi w:val="0"/>
              <w:spacing w:before="0" w:after="0"/>
              <w:ind w:left="75" w:right="0" w:hanging="75"/>
              <w:jc w:val="left"/>
              <w:rPr>
                <w:rFonts w:ascii="Times New Roman" w:hAnsi="Times New Roman"/>
              </w:rPr>
            </w:pPr>
            <w:r>
              <w:rPr>
                <w:rFonts w:ascii="Times New Roman" w:hAnsi="Times New Roman"/>
              </w:rPr>
              <w:t>Other segment items</w:t>
            </w:r>
          </w:p>
        </w:tc>
        <w:tc>
          <w:tcPr>
            <w:tcW w:w="90" w:type="dxa"/>
            <w:tcBorders/>
            <w:shd w:fill="CCEEFF" w:val="clear"/>
            <w:vAlign w:val="bottom"/>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73,274</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57,202</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53,610</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45,719</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41,862</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28,241</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32,256</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27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2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18,273</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7,895</w:t>
            </w:r>
          </w:p>
        </w:tc>
        <w:tc>
          <w:tcPr>
            <w:tcW w:w="245"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358,332</w:t>
            </w:r>
          </w:p>
        </w:tc>
        <w:tc>
          <w:tcPr>
            <w:tcW w:w="290" w:type="dxa"/>
            <w:tcBorders/>
            <w:shd w:fill="CCEEFF" w:val="clear"/>
            <w:vAlign w:val="bottom"/>
          </w:tcPr>
          <w:p>
            <w:pPr>
              <w:pStyle w:val="TableContents"/>
              <w:bidi w:val="0"/>
              <w:spacing w:before="0" w:after="283"/>
              <w:jc w:val="left"/>
              <w:rPr/>
            </w:pPr>
            <w:r>
              <w:rPr/>
              <w:t> </w:t>
            </w:r>
          </w:p>
        </w:tc>
      </w:tr>
      <w:tr>
        <w:trPr/>
        <w:tc>
          <w:tcPr>
            <w:tcW w:w="1130" w:type="dxa"/>
            <w:tcBorders/>
            <w:vAlign w:val="bottom"/>
          </w:tcPr>
          <w:p>
            <w:pPr>
              <w:pStyle w:val="TableContents"/>
              <w:bidi w:val="0"/>
              <w:spacing w:before="0" w:after="0"/>
              <w:ind w:left="75" w:right="0" w:hanging="75"/>
              <w:jc w:val="left"/>
              <w:rPr>
                <w:rFonts w:ascii="Times New Roman" w:hAnsi="Times New Roman"/>
              </w:rPr>
            </w:pPr>
            <w:r>
              <w:rPr>
                <w:rFonts w:ascii="Times New Roman" w:hAnsi="Times New Roman"/>
              </w:rPr>
              <w:t>Segment contribution</w:t>
            </w:r>
          </w:p>
        </w:tc>
        <w:tc>
          <w:tcPr>
            <w:tcW w:w="90" w:type="dxa"/>
            <w:tcBorders/>
            <w:vAlign w:val="bottom"/>
          </w:tcPr>
          <w:p>
            <w:pPr>
              <w:pStyle w:val="TableContents"/>
              <w:bidi w:val="0"/>
              <w:spacing w:before="0" w:after="283"/>
              <w:jc w:val="left"/>
              <w:rPr/>
            </w:pPr>
            <w:r>
              <w:rPr/>
              <w:t> </w:t>
            </w:r>
          </w:p>
        </w:tc>
        <w:tc>
          <w:tcPr>
            <w:tcW w:w="171"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rPr>
            </w:pPr>
            <w:r>
              <w:rPr>
                <w:rFonts w:ascii="Times New Roman" w:hAnsi="Times New Roman"/>
              </w:rPr>
              <w:t>$</w:t>
            </w:r>
          </w:p>
        </w:tc>
        <w:tc>
          <w:tcPr>
            <w:tcW w:w="83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32,563</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6"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rPr>
            </w:pPr>
            <w:r>
              <w:rPr>
                <w:rFonts w:ascii="Times New Roman" w:hAnsi="Times New Roman"/>
              </w:rPr>
              <w:t>$</w:t>
            </w:r>
          </w:p>
        </w:tc>
        <w:tc>
          <w:tcPr>
            <w:tcW w:w="86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25,009</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6"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rPr>
            </w:pPr>
            <w:r>
              <w:rPr>
                <w:rFonts w:ascii="Times New Roman" w:hAnsi="Times New Roman"/>
              </w:rPr>
              <w:t>$</w:t>
            </w:r>
          </w:p>
        </w:tc>
        <w:tc>
          <w:tcPr>
            <w:tcW w:w="86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24,372</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rPr>
            </w:pPr>
            <w:r>
              <w:rPr>
                <w:rFonts w:ascii="Times New Roman" w:hAnsi="Times New Roman"/>
              </w:rPr>
              <w:t>$</w:t>
            </w:r>
          </w:p>
        </w:tc>
        <w:tc>
          <w:tcPr>
            <w:tcW w:w="71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23,807</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rPr>
            </w:pPr>
            <w:r>
              <w:rPr>
                <w:rFonts w:ascii="Times New Roman" w:hAnsi="Times New Roman"/>
              </w:rPr>
              <w:t>$</w:t>
            </w:r>
          </w:p>
        </w:tc>
        <w:tc>
          <w:tcPr>
            <w:tcW w:w="71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10,582</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rPr>
            </w:pPr>
            <w:r>
              <w:rPr>
                <w:rFonts w:ascii="Times New Roman" w:hAnsi="Times New Roman"/>
              </w:rPr>
              <w:t>$</w:t>
            </w:r>
          </w:p>
        </w:tc>
        <w:tc>
          <w:tcPr>
            <w:tcW w:w="71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18,019</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rPr>
            </w:pPr>
            <w:r>
              <w:rPr>
                <w:rFonts w:ascii="Times New Roman" w:hAnsi="Times New Roman"/>
              </w:rPr>
              <w:t>$</w:t>
            </w:r>
          </w:p>
        </w:tc>
        <w:tc>
          <w:tcPr>
            <w:tcW w:w="71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20,828</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71"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rPr>
            </w:pPr>
            <w:r>
              <w:rPr>
                <w:rFonts w:ascii="Times New Roman" w:hAnsi="Times New Roman"/>
              </w:rPr>
              <w:t>$</w:t>
            </w:r>
          </w:p>
        </w:tc>
        <w:tc>
          <w:tcPr>
            <w:tcW w:w="132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5,479</w:t>
            </w:r>
          </w:p>
        </w:tc>
        <w:tc>
          <w:tcPr>
            <w:tcW w:w="24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rPr>
            </w:pPr>
            <w:r>
              <w:rPr>
                <w:rFonts w:ascii="Times New Roman" w:hAnsi="Times New Roman"/>
              </w:rPr>
              <w:t>$</w:t>
            </w:r>
          </w:p>
        </w:tc>
        <w:tc>
          <w:tcPr>
            <w:tcW w:w="66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(2,517</w:t>
            </w:r>
          </w:p>
        </w:tc>
        <w:tc>
          <w:tcPr>
            <w:tcW w:w="245" w:type="dxa"/>
            <w:tcBorders/>
            <w:vAlign w:val="bottom"/>
          </w:tcPr>
          <w:p>
            <w:pPr>
              <w:pStyle w:val="TableContents"/>
              <w:bidi w:val="0"/>
              <w:spacing w:before="0" w:after="0"/>
              <w:jc w:val="left"/>
              <w:rPr>
                <w:rFonts w:ascii="Times New Roman" w:hAnsi="Times New Roman"/>
              </w:rPr>
            </w:pPr>
            <w:r>
              <w:rPr>
                <w:rFonts w:ascii="Times New Roman" w:hAnsi="Times New Roman"/>
              </w:rPr>
              <w:t>)</w:t>
            </w:r>
          </w:p>
        </w:tc>
        <w:tc>
          <w:tcPr>
            <w:tcW w:w="90" w:type="dxa"/>
            <w:tcBorders/>
            <w:vAlign w:val="bottom"/>
          </w:tcPr>
          <w:p>
            <w:pPr>
              <w:pStyle w:val="TableContents"/>
              <w:bidi w:val="0"/>
              <w:spacing w:before="0" w:after="283"/>
              <w:jc w:val="left"/>
              <w:rPr/>
            </w:pPr>
            <w:r>
              <w:rPr/>
              <w:t> </w:t>
            </w:r>
          </w:p>
        </w:tc>
        <w:tc>
          <w:tcPr>
            <w:tcW w:w="171"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rPr>
            </w:pPr>
            <w:r>
              <w:rPr>
                <w:rFonts w:ascii="Times New Roman" w:hAnsi="Times New Roman"/>
              </w:rPr>
              <w:t>$</w:t>
            </w:r>
          </w:p>
        </w:tc>
        <w:tc>
          <w:tcPr>
            <w:tcW w:w="83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rPr>
            </w:pPr>
            <w:r>
              <w:rPr>
                <w:rFonts w:ascii="Times New Roman" w:hAnsi="Times New Roman"/>
              </w:rPr>
              <w:t>158,142</w:t>
            </w:r>
          </w:p>
        </w:tc>
        <w:tc>
          <w:tcPr>
            <w:tcW w:w="290" w:type="dxa"/>
            <w:tcBorders/>
            <w:vAlign w:val="bottom"/>
          </w:tcPr>
          <w:p>
            <w:pPr>
              <w:pStyle w:val="TableContents"/>
              <w:bidi w:val="0"/>
              <w:spacing w:before="0" w:after="283"/>
              <w:jc w:val="left"/>
              <w:rPr/>
            </w:pPr>
            <w:r>
              <w:rPr/>
              <w:t> </w:t>
            </w:r>
          </w:p>
        </w:tc>
      </w:tr>
      <w:tr>
        <w:trPr/>
        <w:tc>
          <w:tcPr>
            <w:tcW w:w="1130" w:type="dxa"/>
            <w:tcBorders/>
            <w:shd w:fill="CCEEFF" w:val="clear"/>
            <w:vAlign w:val="bottom"/>
          </w:tcPr>
          <w:p>
            <w:pPr>
              <w:pStyle w:val="TableContents"/>
              <w:bidi w:val="0"/>
              <w:spacing w:before="0" w:after="0"/>
              <w:ind w:left="180" w:right="0" w:hanging="180"/>
              <w:jc w:val="left"/>
              <w:rPr>
                <w:rFonts w:ascii="Times New Roman" w:hAnsi="Times New Roman"/>
              </w:rPr>
            </w:pPr>
            <w:r>
              <w:rPr>
                <w:rFonts w:ascii="Times New Roman" w:hAnsi="Times New Roman"/>
              </w:rPr>
              <w:t>Segment contribution as a percentage of revenue</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22.9</w:t>
            </w:r>
          </w:p>
        </w:tc>
        <w:tc>
          <w:tcPr>
            <w:tcW w:w="245"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9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24.8</w:t>
            </w:r>
          </w:p>
        </w:tc>
        <w:tc>
          <w:tcPr>
            <w:tcW w:w="245"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9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23.7</w:t>
            </w:r>
          </w:p>
        </w:tc>
        <w:tc>
          <w:tcPr>
            <w:tcW w:w="245"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27.3</w:t>
            </w:r>
          </w:p>
        </w:tc>
        <w:tc>
          <w:tcPr>
            <w:tcW w:w="245"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15.0</w:t>
            </w:r>
          </w:p>
        </w:tc>
        <w:tc>
          <w:tcPr>
            <w:tcW w:w="245"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32.2</w:t>
            </w:r>
          </w:p>
        </w:tc>
        <w:tc>
          <w:tcPr>
            <w:tcW w:w="245"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31.3</w:t>
            </w:r>
          </w:p>
        </w:tc>
        <w:tc>
          <w:tcPr>
            <w:tcW w:w="245"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9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324"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4.7</w:t>
            </w:r>
          </w:p>
        </w:tc>
        <w:tc>
          <w:tcPr>
            <w:tcW w:w="245"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9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(32.5</w:t>
            </w:r>
          </w:p>
        </w:tc>
        <w:tc>
          <w:tcPr>
            <w:tcW w:w="245"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c>
          <w:tcPr>
            <w:tcW w:w="90"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839" w:type="dxa"/>
            <w:tcBorders/>
            <w:shd w:fill="CCEEFF" w:val="clear"/>
            <w:vAlign w:val="bottom"/>
          </w:tcPr>
          <w:p>
            <w:pPr>
              <w:pStyle w:val="TableContents"/>
              <w:bidi w:val="0"/>
              <w:spacing w:before="0" w:after="0"/>
              <w:jc w:val="right"/>
              <w:rPr>
                <w:rFonts w:ascii="Times New Roman" w:hAnsi="Times New Roman"/>
              </w:rPr>
            </w:pPr>
            <w:r>
              <w:rPr>
                <w:rFonts w:ascii="Times New Roman" w:hAnsi="Times New Roman"/>
              </w:rPr>
              <w:t>21.1</w:t>
            </w:r>
          </w:p>
        </w:tc>
        <w:tc>
          <w:tcPr>
            <w:tcW w:w="290"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provides information concerning the number of Customers, Paid Affiliates and Sales Leaders in our core Nu Skin business for the three-month periods ended June 30, 2026 and 2025.</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0"/>
              <w:jc w:val="both"/>
              <w:rPr/>
            </w:pPr>
            <w:r>
              <w:rPr/>
              <w:t>“</w:t>
            </w:r>
            <w:r>
              <w:rPr/>
              <w:t>Customers” are persons who have purchased directly from the Company during the three months ended as of the date indicated. Our Customer numbers include members of our sales force who made such a purchase, including Paid Affiliates and those who qualify as Sales Leaders, but they do not include consumers who purchase directly from members of our sales force.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0"/>
              <w:jc w:val="both"/>
              <w:rPr/>
            </w:pPr>
            <w:r>
              <w:rPr/>
              <w:t>“</w:t>
            </w:r>
            <w:r>
              <w:rPr/>
              <w:t>Paid Affiliates” are any Brand Affiliates, as well as members of our sales force in Mainland China, who earned sales compensation during the three-month period. In all of our markets besides Mainland China, we refer to members of our independent sales force as “Brand Affiliates” because their primary role is to promote our brand and products through their personal social networks.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0"/>
              <w:jc w:val="both"/>
              <w:rPr/>
            </w:pPr>
            <w:r>
              <w:rPr/>
              <w:t>“</w:t>
            </w:r>
            <w:r>
              <w:rPr/>
              <w:t>Sales Leaders” are the three-month average of our monthly Brand Affiliates, as well as sales employees and independent marketers in Mainland China, who achieved certain qualification requirements as of the end of each month of the quarter.</w:t>
            </w:r>
          </w:p>
        </w:tc>
      </w:tr>
    </w:tbl>
    <w:p>
      <w:pPr>
        <w:pStyle w:val="TextBody"/>
        <w:bidi w:val="0"/>
        <w:spacing w:before="0" w:after="0"/>
        <w:jc w:val="left"/>
        <w:rPr/>
      </w:pPr>
      <w:r>
        <w:rPr/>
      </w:r>
    </w:p>
    <w:tbl>
      <w:tblPr>
        <w:tblW w:w="6076" w:type="dxa"/>
        <w:jc w:val="left"/>
        <w:tblInd w:w="0" w:type="dxa"/>
        <w:tblLayout w:type="fixed"/>
        <w:tblCellMar>
          <w:top w:w="0" w:type="dxa"/>
          <w:left w:w="0" w:type="dxa"/>
          <w:bottom w:w="0" w:type="dxa"/>
          <w:right w:w="0" w:type="dxa"/>
        </w:tblCellMar>
      </w:tblPr>
      <w:tblGrid>
        <w:gridCol w:w="2180"/>
        <w:gridCol w:w="150"/>
        <w:gridCol w:w="99"/>
        <w:gridCol w:w="920"/>
        <w:gridCol w:w="99"/>
        <w:gridCol w:w="99"/>
        <w:gridCol w:w="99"/>
        <w:gridCol w:w="920"/>
        <w:gridCol w:w="150"/>
        <w:gridCol w:w="150"/>
        <w:gridCol w:w="167"/>
        <w:gridCol w:w="678"/>
        <w:gridCol w:w="365"/>
      </w:tblGrid>
      <w:tr>
        <w:trPr/>
        <w:tc>
          <w:tcPr>
            <w:tcW w:w="2180" w:type="dxa"/>
            <w:vMerge w:val="restart"/>
            <w:tcBorders/>
            <w:vAlign w:val="bottom"/>
          </w:tcPr>
          <w:p>
            <w:pPr>
              <w:pStyle w:val="TableContents"/>
              <w:bidi w:val="0"/>
              <w:spacing w:before="0" w:after="283"/>
              <w:jc w:val="left"/>
              <w:rPr/>
            </w:pPr>
            <w:r>
              <w:rPr/>
              <w:t>  </w:t>
            </w:r>
          </w:p>
        </w:tc>
        <w:tc>
          <w:tcPr>
            <w:tcW w:w="150" w:type="dxa"/>
            <w:vMerge w:val="restart"/>
            <w:tcBorders/>
            <w:vAlign w:val="bottom"/>
          </w:tcPr>
          <w:p>
            <w:pPr>
              <w:pStyle w:val="TableContents"/>
              <w:bidi w:val="0"/>
              <w:spacing w:before="0" w:after="283"/>
              <w:jc w:val="left"/>
              <w:rPr/>
            </w:pPr>
            <w:r>
              <w:rPr/>
              <w:t>  </w:t>
            </w:r>
          </w:p>
        </w:tc>
        <w:tc>
          <w:tcPr>
            <w:tcW w:w="2236" w:type="dxa"/>
            <w:gridSpan w:val="6"/>
            <w:vMerge w:val="restart"/>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Three Months Ended</w:t>
            </w:r>
          </w:p>
          <w:p>
            <w:pPr>
              <w:pStyle w:val="TableContents"/>
              <w:bidi w:val="0"/>
              <w:spacing w:before="0" w:after="0"/>
              <w:jc w:val="center"/>
              <w:rPr>
                <w:b/>
                <w:color w:val="000000"/>
              </w:rPr>
            </w:pPr>
            <w:r>
              <w:rPr>
                <w:b/>
                <w:color w:val="000000"/>
              </w:rPr>
              <w:t>June 30,</w:t>
            </w:r>
          </w:p>
        </w:tc>
        <w:tc>
          <w:tcPr>
            <w:tcW w:w="150" w:type="dxa"/>
            <w:vMerge w:val="restart"/>
            <w:tcBorders/>
            <w:vAlign w:val="bottom"/>
          </w:tcPr>
          <w:p>
            <w:pPr>
              <w:pStyle w:val="TableContents"/>
              <w:bidi w:val="0"/>
              <w:spacing w:before="0" w:after="283"/>
              <w:jc w:val="left"/>
              <w:rPr/>
            </w:pPr>
            <w:r>
              <w:rPr/>
              <w:t>  </w:t>
            </w:r>
          </w:p>
        </w:tc>
        <w:tc>
          <w:tcPr>
            <w:tcW w:w="150" w:type="dxa"/>
            <w:vMerge w:val="restart"/>
            <w:tcBorders/>
            <w:vAlign w:val="bottom"/>
          </w:tcPr>
          <w:p>
            <w:pPr>
              <w:pStyle w:val="TableContents"/>
              <w:bidi w:val="0"/>
              <w:spacing w:before="0" w:after="283"/>
              <w:jc w:val="left"/>
              <w:rPr/>
            </w:pPr>
            <w:r>
              <w:rPr/>
              <w:t>  </w:t>
            </w:r>
          </w:p>
        </w:tc>
        <w:tc>
          <w:tcPr>
            <w:tcW w:w="845" w:type="dxa"/>
            <w:gridSpan w:val="2"/>
            <w:vMerge w:val="restart"/>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Change</w:t>
            </w:r>
          </w:p>
        </w:tc>
        <w:tc>
          <w:tcPr>
            <w:tcW w:w="365" w:type="dxa"/>
            <w:tcBorders/>
            <w:vAlign w:val="bottom"/>
          </w:tcPr>
          <w:p>
            <w:pPr>
              <w:pStyle w:val="TableContents"/>
              <w:bidi w:val="0"/>
              <w:spacing w:before="0" w:after="283"/>
              <w:jc w:val="left"/>
              <w:rPr/>
            </w:pPr>
            <w:r>
              <w:rPr/>
              <w:t> </w:t>
            </w:r>
          </w:p>
        </w:tc>
      </w:tr>
      <w:tr>
        <w:trPr/>
        <w:tc>
          <w:tcPr>
            <w:tcW w:w="2180" w:type="dxa"/>
            <w:vMerge w:val="continue"/>
            <w:tcBorders/>
            <w:vAlign w:val="bottom"/>
          </w:tcPr>
          <w:p>
            <w:pPr>
              <w:pStyle w:val="Normal"/>
              <w:bidi w:val="0"/>
              <w:jc w:val="left"/>
              <w:rPr/>
            </w:pPr>
            <w:r>
              <w:rPr/>
            </w:r>
          </w:p>
        </w:tc>
        <w:tc>
          <w:tcPr>
            <w:tcW w:w="150" w:type="dxa"/>
            <w:vMerge w:val="continue"/>
            <w:tcBorders/>
            <w:vAlign w:val="bottom"/>
          </w:tcPr>
          <w:p>
            <w:pPr>
              <w:pStyle w:val="Normal"/>
              <w:bidi w:val="0"/>
              <w:jc w:val="left"/>
              <w:rPr/>
            </w:pPr>
            <w:r>
              <w:rPr/>
            </w:r>
          </w:p>
        </w:tc>
        <w:tc>
          <w:tcPr>
            <w:tcW w:w="2236" w:type="dxa"/>
            <w:gridSpan w:val="6"/>
            <w:vMerge w:val="continue"/>
            <w:tcBorders>
              <w:bottom w:val="single" w:sz="12" w:space="0" w:color="000000"/>
            </w:tcBorders>
            <w:tcMar>
              <w:bottom w:w="28" w:type="dxa"/>
            </w:tcMar>
            <w:vAlign w:val="bottom"/>
          </w:tcPr>
          <w:p>
            <w:pPr>
              <w:pStyle w:val="Normal"/>
              <w:bidi w:val="0"/>
              <w:jc w:val="left"/>
              <w:rPr/>
            </w:pPr>
            <w:r>
              <w:rPr/>
            </w:r>
          </w:p>
        </w:tc>
        <w:tc>
          <w:tcPr>
            <w:tcW w:w="150" w:type="dxa"/>
            <w:vMerge w:val="continue"/>
            <w:tcBorders/>
            <w:vAlign w:val="bottom"/>
          </w:tcPr>
          <w:p>
            <w:pPr>
              <w:pStyle w:val="Normal"/>
              <w:bidi w:val="0"/>
              <w:jc w:val="left"/>
              <w:rPr/>
            </w:pPr>
            <w:r>
              <w:rPr/>
            </w:r>
          </w:p>
        </w:tc>
        <w:tc>
          <w:tcPr>
            <w:tcW w:w="150" w:type="dxa"/>
            <w:vMerge w:val="continue"/>
            <w:tcBorders/>
            <w:vAlign w:val="bottom"/>
          </w:tcPr>
          <w:p>
            <w:pPr>
              <w:pStyle w:val="Normal"/>
              <w:bidi w:val="0"/>
              <w:jc w:val="left"/>
              <w:rPr/>
            </w:pPr>
            <w:r>
              <w:rPr/>
            </w:r>
          </w:p>
        </w:tc>
        <w:tc>
          <w:tcPr>
            <w:tcW w:w="845" w:type="dxa"/>
            <w:gridSpan w:val="2"/>
            <w:vMerge w:val="continue"/>
            <w:tcBorders>
              <w:bottom w:val="single" w:sz="12" w:space="0" w:color="000000"/>
            </w:tcBorders>
            <w:tcMar>
              <w:bottom w:w="28" w:type="dxa"/>
            </w:tcMar>
            <w:vAlign w:val="center"/>
          </w:tcPr>
          <w:p>
            <w:pPr>
              <w:pStyle w:val="Normal"/>
              <w:bidi w:val="0"/>
              <w:jc w:val="left"/>
              <w:rPr/>
            </w:pPr>
            <w:r>
              <w:rPr/>
            </w:r>
          </w:p>
        </w:tc>
        <w:tc>
          <w:tcPr>
            <w:tcW w:w="365" w:type="dxa"/>
            <w:tcBorders/>
            <w:vAlign w:val="bottom"/>
          </w:tcPr>
          <w:p>
            <w:pPr>
              <w:pStyle w:val="TableContents"/>
              <w:bidi w:val="0"/>
              <w:spacing w:before="0" w:after="283"/>
              <w:jc w:val="left"/>
              <w:rPr/>
            </w:pPr>
            <w:r>
              <w:rPr/>
              <w:t> </w:t>
            </w:r>
          </w:p>
        </w:tc>
      </w:tr>
      <w:tr>
        <w:trPr/>
        <w:tc>
          <w:tcPr>
            <w:tcW w:w="218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01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2026</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019"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2025</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845" w:type="dxa"/>
            <w:gridSpan w:val="2"/>
            <w:vMerge w:val="continue"/>
            <w:tcBorders>
              <w:bottom w:val="single" w:sz="12" w:space="0" w:color="000000"/>
            </w:tcBorders>
            <w:tcMar>
              <w:bottom w:w="28" w:type="dxa"/>
            </w:tcMar>
            <w:vAlign w:val="center"/>
          </w:tcPr>
          <w:p>
            <w:pPr>
              <w:pStyle w:val="Normal"/>
              <w:bidi w:val="0"/>
              <w:jc w:val="left"/>
              <w:rPr/>
            </w:pPr>
            <w:r>
              <w:rPr/>
            </w:r>
          </w:p>
        </w:tc>
        <w:tc>
          <w:tcPr>
            <w:tcW w:w="365" w:type="dxa"/>
            <w:tcBorders/>
            <w:vAlign w:val="bottom"/>
          </w:tcPr>
          <w:p>
            <w:pPr>
              <w:pStyle w:val="TableContents"/>
              <w:bidi w:val="0"/>
              <w:spacing w:before="0" w:after="283"/>
              <w:jc w:val="left"/>
              <w:rPr/>
            </w:pPr>
            <w:r>
              <w:rPr/>
              <w:t> </w:t>
            </w:r>
          </w:p>
        </w:tc>
      </w:tr>
      <w:tr>
        <w:trPr/>
        <w:tc>
          <w:tcPr>
            <w:tcW w:w="2180" w:type="dxa"/>
            <w:tcBorders/>
            <w:vAlign w:val="bottom"/>
          </w:tcPr>
          <w:p>
            <w:pPr>
              <w:pStyle w:val="TableContents"/>
              <w:bidi w:val="0"/>
              <w:spacing w:before="0" w:after="0"/>
              <w:jc w:val="left"/>
              <w:rPr>
                <w:b/>
                <w:color w:val="000000"/>
              </w:rPr>
            </w:pPr>
            <w:r>
              <w:rPr>
                <w:b/>
                <w:color w:val="000000"/>
              </w:rPr>
              <w:t>Customers</w:t>
            </w:r>
          </w:p>
        </w:tc>
        <w:tc>
          <w:tcPr>
            <w:tcW w:w="150" w:type="dxa"/>
            <w:tcBorders/>
            <w:vAlign w:val="bottom"/>
          </w:tcPr>
          <w:p>
            <w:pPr>
              <w:pStyle w:val="TableContents"/>
              <w:bidi w:val="0"/>
              <w:spacing w:before="0" w:after="283"/>
              <w:jc w:val="left"/>
              <w:rPr/>
            </w:pPr>
            <w:r>
              <w:rPr/>
              <w:t> </w:t>
            </w:r>
          </w:p>
        </w:tc>
        <w:tc>
          <w:tcPr>
            <w:tcW w:w="1019" w:type="dxa"/>
            <w:gridSpan w:val="2"/>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019" w:type="dxa"/>
            <w:gridSpan w:val="2"/>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845" w:type="dxa"/>
            <w:gridSpan w:val="2"/>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r>
      <w:tr>
        <w:trPr/>
        <w:tc>
          <w:tcPr>
            <w:tcW w:w="2180" w:type="dxa"/>
            <w:tcBorders/>
            <w:shd w:fill="CCEEFF" w:val="clear"/>
            <w:vAlign w:val="bottom"/>
          </w:tcPr>
          <w:p>
            <w:pPr>
              <w:pStyle w:val="TableContents"/>
              <w:bidi w:val="0"/>
              <w:spacing w:before="0" w:after="0"/>
              <w:ind w:left="180" w:right="0" w:hanging="0"/>
              <w:jc w:val="left"/>
              <w:rPr>
                <w:color w:val="000000"/>
              </w:rPr>
            </w:pPr>
            <w:r>
              <w:rPr>
                <w:color w:val="000000"/>
              </w:rPr>
              <w:t>Americas</w:t>
            </w:r>
          </w:p>
        </w:tc>
        <w:tc>
          <w:tcPr>
            <w:tcW w:w="15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0"/>
              <w:jc w:val="right"/>
              <w:rPr>
                <w:color w:val="000000"/>
              </w:rPr>
            </w:pPr>
            <w:r>
              <w:rPr>
                <w:color w:val="000000"/>
              </w:rPr>
              <w:t>183,757</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0"/>
              <w:jc w:val="right"/>
              <w:rPr>
                <w:color w:val="000000"/>
              </w:rPr>
            </w:pPr>
            <w:r>
              <w:rPr>
                <w:color w:val="000000"/>
              </w:rPr>
              <w:t>240,477</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0"/>
              <w:jc w:val="right"/>
              <w:rPr>
                <w:color w:val="000000"/>
              </w:rPr>
            </w:pPr>
            <w:r>
              <w:rPr>
                <w:color w:val="000000"/>
              </w:rPr>
              <w:t>(24</w:t>
            </w:r>
          </w:p>
        </w:tc>
        <w:tc>
          <w:tcPr>
            <w:tcW w:w="365" w:type="dxa"/>
            <w:tcBorders/>
            <w:shd w:fill="CCEEFF" w:val="clear"/>
            <w:vAlign w:val="bottom"/>
          </w:tcPr>
          <w:p>
            <w:pPr>
              <w:pStyle w:val="TableContents"/>
              <w:bidi w:val="0"/>
              <w:spacing w:before="0" w:after="0"/>
              <w:jc w:val="left"/>
              <w:rPr>
                <w:color w:val="000000"/>
              </w:rPr>
            </w:pPr>
            <w:r>
              <w:rPr>
                <w:color w:val="000000"/>
              </w:rPr>
              <w:t>)%</w:t>
            </w:r>
          </w:p>
        </w:tc>
      </w:tr>
      <w:tr>
        <w:trPr/>
        <w:tc>
          <w:tcPr>
            <w:tcW w:w="2180" w:type="dxa"/>
            <w:tcBorders/>
            <w:vAlign w:val="bottom"/>
          </w:tcPr>
          <w:p>
            <w:pPr>
              <w:pStyle w:val="TableContents"/>
              <w:bidi w:val="0"/>
              <w:spacing w:before="0" w:after="0"/>
              <w:ind w:left="180" w:right="0" w:hanging="0"/>
              <w:jc w:val="left"/>
              <w:rPr>
                <w:color w:val="000000"/>
              </w:rPr>
            </w:pPr>
            <w:r>
              <w:rPr>
                <w:color w:val="000000"/>
              </w:rPr>
              <w:t>Mainland China</w:t>
            </w:r>
          </w:p>
        </w:tc>
        <w:tc>
          <w:tcPr>
            <w:tcW w:w="15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0"/>
              <w:jc w:val="right"/>
              <w:rPr>
                <w:color w:val="000000"/>
              </w:rPr>
            </w:pPr>
            <w:r>
              <w:rPr>
                <w:color w:val="000000"/>
              </w:rPr>
              <w:t>103,891</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0"/>
              <w:jc w:val="right"/>
              <w:rPr>
                <w:color w:val="000000"/>
              </w:rPr>
            </w:pPr>
            <w:r>
              <w:rPr>
                <w:color w:val="000000"/>
              </w:rPr>
              <w:t>117,325</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0"/>
              <w:jc w:val="right"/>
              <w:rPr>
                <w:color w:val="000000"/>
              </w:rPr>
            </w:pPr>
            <w:r>
              <w:rPr>
                <w:color w:val="000000"/>
              </w:rPr>
              <w:t>(11</w:t>
            </w:r>
          </w:p>
        </w:tc>
        <w:tc>
          <w:tcPr>
            <w:tcW w:w="365" w:type="dxa"/>
            <w:tcBorders/>
            <w:vAlign w:val="bottom"/>
          </w:tcPr>
          <w:p>
            <w:pPr>
              <w:pStyle w:val="TableContents"/>
              <w:bidi w:val="0"/>
              <w:spacing w:before="0" w:after="0"/>
              <w:jc w:val="left"/>
              <w:rPr>
                <w:color w:val="000000"/>
              </w:rPr>
            </w:pPr>
            <w:r>
              <w:rPr>
                <w:color w:val="000000"/>
              </w:rPr>
              <w:t>)%</w:t>
            </w:r>
          </w:p>
        </w:tc>
      </w:tr>
      <w:tr>
        <w:trPr/>
        <w:tc>
          <w:tcPr>
            <w:tcW w:w="2180" w:type="dxa"/>
            <w:tcBorders/>
            <w:shd w:fill="CCEEFF" w:val="clear"/>
            <w:vAlign w:val="bottom"/>
          </w:tcPr>
          <w:p>
            <w:pPr>
              <w:pStyle w:val="TableContents"/>
              <w:bidi w:val="0"/>
              <w:spacing w:before="0" w:after="0"/>
              <w:ind w:left="180" w:right="0" w:hanging="0"/>
              <w:jc w:val="left"/>
              <w:rPr>
                <w:color w:val="000000"/>
              </w:rPr>
            </w:pPr>
            <w:r>
              <w:rPr>
                <w:color w:val="000000"/>
              </w:rPr>
              <w:t>Southeast Asia/Pacific</w:t>
            </w:r>
          </w:p>
        </w:tc>
        <w:tc>
          <w:tcPr>
            <w:tcW w:w="15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0"/>
              <w:jc w:val="right"/>
              <w:rPr>
                <w:color w:val="000000"/>
              </w:rPr>
            </w:pPr>
            <w:r>
              <w:rPr>
                <w:color w:val="000000"/>
              </w:rPr>
              <w:t>69,354</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0"/>
              <w:jc w:val="right"/>
              <w:rPr>
                <w:color w:val="000000"/>
              </w:rPr>
            </w:pPr>
            <w:r>
              <w:rPr>
                <w:color w:val="000000"/>
              </w:rPr>
              <w:t>72,814</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0"/>
              <w:jc w:val="right"/>
              <w:rPr>
                <w:color w:val="000000"/>
              </w:rPr>
            </w:pPr>
            <w:r>
              <w:rPr>
                <w:color w:val="000000"/>
              </w:rPr>
              <w:t>(5</w:t>
            </w:r>
          </w:p>
        </w:tc>
        <w:tc>
          <w:tcPr>
            <w:tcW w:w="365" w:type="dxa"/>
            <w:tcBorders/>
            <w:shd w:fill="CCEEFF" w:val="clear"/>
            <w:vAlign w:val="bottom"/>
          </w:tcPr>
          <w:p>
            <w:pPr>
              <w:pStyle w:val="TableContents"/>
              <w:bidi w:val="0"/>
              <w:spacing w:before="0" w:after="0"/>
              <w:jc w:val="left"/>
              <w:rPr>
                <w:color w:val="000000"/>
              </w:rPr>
            </w:pPr>
            <w:r>
              <w:rPr>
                <w:color w:val="000000"/>
              </w:rPr>
              <w:t>)%</w:t>
            </w:r>
          </w:p>
        </w:tc>
      </w:tr>
      <w:tr>
        <w:trPr/>
        <w:tc>
          <w:tcPr>
            <w:tcW w:w="2180" w:type="dxa"/>
            <w:tcBorders/>
            <w:vAlign w:val="bottom"/>
          </w:tcPr>
          <w:p>
            <w:pPr>
              <w:pStyle w:val="TableContents"/>
              <w:bidi w:val="0"/>
              <w:spacing w:before="0" w:after="0"/>
              <w:ind w:left="180" w:right="0" w:hanging="0"/>
              <w:jc w:val="left"/>
              <w:rPr>
                <w:color w:val="000000"/>
              </w:rPr>
            </w:pPr>
            <w:r>
              <w:rPr>
                <w:color w:val="000000"/>
              </w:rPr>
              <w:t>Japan</w:t>
            </w:r>
          </w:p>
        </w:tc>
        <w:tc>
          <w:tcPr>
            <w:tcW w:w="15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0"/>
              <w:jc w:val="right"/>
              <w:rPr>
                <w:color w:val="000000"/>
              </w:rPr>
            </w:pPr>
            <w:r>
              <w:rPr>
                <w:color w:val="000000"/>
              </w:rPr>
              <w:t>100,849</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0"/>
              <w:jc w:val="right"/>
              <w:rPr>
                <w:color w:val="000000"/>
              </w:rPr>
            </w:pPr>
            <w:r>
              <w:rPr>
                <w:color w:val="000000"/>
              </w:rPr>
              <w:t>105,961</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0"/>
              <w:jc w:val="right"/>
              <w:rPr>
                <w:color w:val="000000"/>
              </w:rPr>
            </w:pPr>
            <w:r>
              <w:rPr>
                <w:color w:val="000000"/>
              </w:rPr>
              <w:t>(5</w:t>
            </w:r>
          </w:p>
        </w:tc>
        <w:tc>
          <w:tcPr>
            <w:tcW w:w="365" w:type="dxa"/>
            <w:tcBorders/>
            <w:vAlign w:val="bottom"/>
          </w:tcPr>
          <w:p>
            <w:pPr>
              <w:pStyle w:val="TableContents"/>
              <w:bidi w:val="0"/>
              <w:spacing w:before="0" w:after="0"/>
              <w:jc w:val="left"/>
              <w:rPr>
                <w:color w:val="000000"/>
              </w:rPr>
            </w:pPr>
            <w:r>
              <w:rPr>
                <w:color w:val="000000"/>
              </w:rPr>
              <w:t>)%</w:t>
            </w:r>
          </w:p>
        </w:tc>
      </w:tr>
      <w:tr>
        <w:trPr/>
        <w:tc>
          <w:tcPr>
            <w:tcW w:w="2180" w:type="dxa"/>
            <w:tcBorders/>
            <w:shd w:fill="CCEEFF" w:val="clear"/>
            <w:vAlign w:val="bottom"/>
          </w:tcPr>
          <w:p>
            <w:pPr>
              <w:pStyle w:val="TableContents"/>
              <w:bidi w:val="0"/>
              <w:spacing w:before="0" w:after="0"/>
              <w:ind w:left="180" w:right="0" w:hanging="0"/>
              <w:jc w:val="left"/>
              <w:rPr>
                <w:color w:val="000000"/>
              </w:rPr>
            </w:pPr>
            <w:r>
              <w:rPr>
                <w:color w:val="000000"/>
              </w:rPr>
              <w:t>Europe &amp; Africa</w:t>
            </w:r>
          </w:p>
        </w:tc>
        <w:tc>
          <w:tcPr>
            <w:tcW w:w="15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0"/>
              <w:jc w:val="right"/>
              <w:rPr>
                <w:color w:val="000000"/>
              </w:rPr>
            </w:pPr>
            <w:r>
              <w:rPr>
                <w:color w:val="000000"/>
              </w:rPr>
              <w:t>111,332</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0"/>
              <w:jc w:val="right"/>
              <w:rPr>
                <w:color w:val="000000"/>
              </w:rPr>
            </w:pPr>
            <w:r>
              <w:rPr>
                <w:color w:val="000000"/>
              </w:rPr>
              <w:t>126,146</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0"/>
              <w:jc w:val="right"/>
              <w:rPr>
                <w:color w:val="000000"/>
              </w:rPr>
            </w:pPr>
            <w:r>
              <w:rPr>
                <w:color w:val="000000"/>
              </w:rPr>
              <w:t>(12</w:t>
            </w:r>
          </w:p>
        </w:tc>
        <w:tc>
          <w:tcPr>
            <w:tcW w:w="365" w:type="dxa"/>
            <w:tcBorders/>
            <w:shd w:fill="CCEEFF" w:val="clear"/>
            <w:vAlign w:val="bottom"/>
          </w:tcPr>
          <w:p>
            <w:pPr>
              <w:pStyle w:val="TableContents"/>
              <w:bidi w:val="0"/>
              <w:spacing w:before="0" w:after="0"/>
              <w:jc w:val="left"/>
              <w:rPr>
                <w:color w:val="000000"/>
              </w:rPr>
            </w:pPr>
            <w:r>
              <w:rPr>
                <w:color w:val="000000"/>
              </w:rPr>
              <w:t>)%</w:t>
            </w:r>
          </w:p>
        </w:tc>
      </w:tr>
      <w:tr>
        <w:trPr/>
        <w:tc>
          <w:tcPr>
            <w:tcW w:w="2180" w:type="dxa"/>
            <w:tcBorders/>
            <w:vAlign w:val="bottom"/>
          </w:tcPr>
          <w:p>
            <w:pPr>
              <w:pStyle w:val="TableContents"/>
              <w:bidi w:val="0"/>
              <w:spacing w:before="0" w:after="0"/>
              <w:ind w:left="180" w:right="0" w:hanging="0"/>
              <w:jc w:val="left"/>
              <w:rPr>
                <w:color w:val="000000"/>
              </w:rPr>
            </w:pPr>
            <w:r>
              <w:rPr>
                <w:color w:val="000000"/>
              </w:rPr>
              <w:t>Hong Kong/Taiwan</w:t>
            </w:r>
          </w:p>
        </w:tc>
        <w:tc>
          <w:tcPr>
            <w:tcW w:w="15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0"/>
              <w:jc w:val="right"/>
              <w:rPr>
                <w:color w:val="000000"/>
              </w:rPr>
            </w:pPr>
            <w:r>
              <w:rPr>
                <w:color w:val="000000"/>
              </w:rPr>
              <w:t>36,549</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0"/>
              <w:jc w:val="right"/>
              <w:rPr>
                <w:color w:val="000000"/>
              </w:rPr>
            </w:pPr>
            <w:r>
              <w:rPr>
                <w:color w:val="000000"/>
              </w:rPr>
              <w:t>41,371</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0"/>
              <w:jc w:val="right"/>
              <w:rPr>
                <w:color w:val="000000"/>
              </w:rPr>
            </w:pPr>
            <w:r>
              <w:rPr>
                <w:color w:val="000000"/>
              </w:rPr>
              <w:t>(12</w:t>
            </w:r>
          </w:p>
        </w:tc>
        <w:tc>
          <w:tcPr>
            <w:tcW w:w="365" w:type="dxa"/>
            <w:tcBorders/>
            <w:vAlign w:val="bottom"/>
          </w:tcPr>
          <w:p>
            <w:pPr>
              <w:pStyle w:val="TableContents"/>
              <w:bidi w:val="0"/>
              <w:spacing w:before="0" w:after="0"/>
              <w:jc w:val="left"/>
              <w:rPr>
                <w:color w:val="000000"/>
              </w:rPr>
            </w:pPr>
            <w:r>
              <w:rPr>
                <w:color w:val="000000"/>
              </w:rPr>
              <w:t>)%</w:t>
            </w:r>
          </w:p>
        </w:tc>
      </w:tr>
      <w:tr>
        <w:trPr/>
        <w:tc>
          <w:tcPr>
            <w:tcW w:w="2180" w:type="dxa"/>
            <w:tcBorders/>
            <w:shd w:fill="CCEEFF" w:val="clear"/>
            <w:vAlign w:val="bottom"/>
          </w:tcPr>
          <w:p>
            <w:pPr>
              <w:pStyle w:val="TableContents"/>
              <w:bidi w:val="0"/>
              <w:spacing w:before="0" w:after="0"/>
              <w:ind w:left="180" w:right="0" w:hanging="0"/>
              <w:jc w:val="left"/>
              <w:rPr>
                <w:color w:val="000000"/>
              </w:rPr>
            </w:pPr>
            <w:r>
              <w:rPr>
                <w:color w:val="000000"/>
              </w:rPr>
              <w:t>South Korea</w:t>
            </w:r>
          </w:p>
        </w:tc>
        <w:tc>
          <w:tcPr>
            <w:tcW w:w="150" w:type="dxa"/>
            <w:tcBorders/>
            <w:shd w:fill="CCEEFF" w:val="clear"/>
            <w:vAlign w:val="bottom"/>
          </w:tcPr>
          <w:p>
            <w:pPr>
              <w:pStyle w:val="TableContents"/>
              <w:bidi w:val="0"/>
              <w:spacing w:before="0" w:after="283"/>
              <w:jc w:val="left"/>
              <w:rPr/>
            </w:pPr>
            <w:r>
              <w:rPr/>
              <w:t> </w:t>
            </w:r>
          </w:p>
        </w:tc>
        <w:tc>
          <w:tcPr>
            <w:tcW w:w="9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2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54,305</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9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2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67,313</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0"/>
              <w:jc w:val="right"/>
              <w:rPr>
                <w:color w:val="000000"/>
              </w:rPr>
            </w:pPr>
            <w:r>
              <w:rPr>
                <w:color w:val="000000"/>
              </w:rPr>
              <w:t>(19</w:t>
            </w:r>
          </w:p>
        </w:tc>
        <w:tc>
          <w:tcPr>
            <w:tcW w:w="365" w:type="dxa"/>
            <w:tcBorders/>
            <w:shd w:fill="CCEEFF" w:val="clear"/>
            <w:vAlign w:val="bottom"/>
          </w:tcPr>
          <w:p>
            <w:pPr>
              <w:pStyle w:val="TableContents"/>
              <w:bidi w:val="0"/>
              <w:spacing w:before="0" w:after="0"/>
              <w:jc w:val="left"/>
              <w:rPr>
                <w:color w:val="000000"/>
              </w:rPr>
            </w:pPr>
            <w:r>
              <w:rPr>
                <w:color w:val="000000"/>
              </w:rPr>
              <w:t>)%</w:t>
            </w:r>
          </w:p>
        </w:tc>
      </w:tr>
      <w:tr>
        <w:trPr/>
        <w:tc>
          <w:tcPr>
            <w:tcW w:w="2180" w:type="dxa"/>
            <w:tcBorders/>
            <w:vAlign w:val="bottom"/>
          </w:tcPr>
          <w:p>
            <w:pPr>
              <w:pStyle w:val="TableContents"/>
              <w:bidi w:val="0"/>
              <w:spacing w:before="0" w:after="0"/>
              <w:ind w:left="360" w:right="0" w:hanging="0"/>
              <w:jc w:val="left"/>
              <w:rPr>
                <w:b/>
                <w:color w:val="000000"/>
              </w:rPr>
            </w:pPr>
            <w:r>
              <w:rPr>
                <w:b/>
                <w:color w:val="000000"/>
              </w:rPr>
              <w:t>Total Customers</w:t>
            </w:r>
          </w:p>
        </w:tc>
        <w:tc>
          <w:tcPr>
            <w:tcW w:w="150" w:type="dxa"/>
            <w:tcBorders/>
            <w:vAlign w:val="bottom"/>
          </w:tcPr>
          <w:p>
            <w:pPr>
              <w:pStyle w:val="TableContents"/>
              <w:bidi w:val="0"/>
              <w:spacing w:before="0" w:after="283"/>
              <w:jc w:val="left"/>
              <w:rPr/>
            </w:pPr>
            <w:r>
              <w:rPr/>
              <w:t> </w:t>
            </w:r>
          </w:p>
        </w:tc>
        <w:tc>
          <w:tcPr>
            <w:tcW w:w="99" w:type="dxa"/>
            <w:tcBorders>
              <w:bottom w:val="single" w:sz="12" w:space="0" w:color="000000"/>
            </w:tcBorders>
            <w:tcMar>
              <w:bottom w:w="28" w:type="dxa"/>
            </w:tcMar>
            <w:vAlign w:val="bottom"/>
          </w:tcPr>
          <w:p>
            <w:pPr>
              <w:pStyle w:val="TableContents"/>
              <w:bidi w:val="0"/>
              <w:spacing w:before="0" w:after="283"/>
              <w:jc w:val="left"/>
              <w:rPr/>
            </w:pPr>
            <w:r>
              <w:rPr/>
              <w:t> </w:t>
            </w:r>
          </w:p>
        </w:tc>
        <w:tc>
          <w:tcPr>
            <w:tcW w:w="92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660,037</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9" w:type="dxa"/>
            <w:tcBorders>
              <w:bottom w:val="single" w:sz="12" w:space="0" w:color="000000"/>
            </w:tcBorders>
            <w:tcMar>
              <w:bottom w:w="28" w:type="dxa"/>
            </w:tcMar>
            <w:vAlign w:val="bottom"/>
          </w:tcPr>
          <w:p>
            <w:pPr>
              <w:pStyle w:val="TableContents"/>
              <w:bidi w:val="0"/>
              <w:spacing w:before="0" w:after="283"/>
              <w:jc w:val="left"/>
              <w:rPr/>
            </w:pPr>
            <w:r>
              <w:rPr/>
              <w:t> </w:t>
            </w:r>
          </w:p>
        </w:tc>
        <w:tc>
          <w:tcPr>
            <w:tcW w:w="92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771,407</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0"/>
              <w:jc w:val="right"/>
              <w:rPr>
                <w:color w:val="000000"/>
              </w:rPr>
            </w:pPr>
            <w:r>
              <w:rPr>
                <w:color w:val="000000"/>
              </w:rPr>
              <w:t>(14</w:t>
            </w:r>
          </w:p>
        </w:tc>
        <w:tc>
          <w:tcPr>
            <w:tcW w:w="365" w:type="dxa"/>
            <w:tcBorders/>
            <w:vAlign w:val="bottom"/>
          </w:tcPr>
          <w:p>
            <w:pPr>
              <w:pStyle w:val="TableContents"/>
              <w:bidi w:val="0"/>
              <w:spacing w:before="0" w:after="0"/>
              <w:jc w:val="left"/>
              <w:rPr>
                <w:color w:val="000000"/>
              </w:rPr>
            </w:pPr>
            <w:r>
              <w:rPr>
                <w:color w:val="000000"/>
              </w:rPr>
              <w:t>)%</w:t>
            </w:r>
          </w:p>
        </w:tc>
      </w:tr>
      <w:tr>
        <w:trPr/>
        <w:tc>
          <w:tcPr>
            <w:tcW w:w="2180" w:type="dxa"/>
            <w:tcBorders/>
            <w:shd w:fill="CCEEFF" w:val="clear"/>
            <w:vAlign w:val="bottom"/>
          </w:tcPr>
          <w:p>
            <w:pPr>
              <w:pStyle w:val="TableContents"/>
              <w:bidi w:val="0"/>
              <w:spacing w:before="0" w:after="0"/>
              <w:jc w:val="left"/>
              <w:rPr>
                <w:b/>
                <w:color w:val="000000"/>
              </w:rPr>
            </w:pPr>
            <w:r>
              <w:rPr>
                <w:b/>
                <w:color w:val="000000"/>
              </w:rPr>
              <w:t>Paid Affiliates</w:t>
            </w:r>
          </w:p>
        </w:tc>
        <w:tc>
          <w:tcPr>
            <w:tcW w:w="15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283"/>
              <w:jc w:val="right"/>
              <w:rPr/>
            </w:pPr>
            <w:r>
              <w:rPr/>
              <w:t> </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283"/>
              <w:jc w:val="right"/>
              <w:rPr/>
            </w:pPr>
            <w:r>
              <w:rPr/>
              <w:t> </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283"/>
              <w:jc w:val="right"/>
              <w:rPr/>
            </w:pPr>
            <w:r>
              <w:rPr/>
              <w:t> </w:t>
            </w:r>
          </w:p>
        </w:tc>
        <w:tc>
          <w:tcPr>
            <w:tcW w:w="365" w:type="dxa"/>
            <w:tcBorders/>
            <w:shd w:fill="CCEEFF" w:val="clear"/>
            <w:vAlign w:val="bottom"/>
          </w:tcPr>
          <w:p>
            <w:pPr>
              <w:pStyle w:val="TableContents"/>
              <w:bidi w:val="0"/>
              <w:spacing w:before="0" w:after="283"/>
              <w:jc w:val="left"/>
              <w:rPr/>
            </w:pPr>
            <w:r>
              <w:rPr/>
              <w:t> </w:t>
            </w:r>
          </w:p>
        </w:tc>
      </w:tr>
      <w:tr>
        <w:trPr/>
        <w:tc>
          <w:tcPr>
            <w:tcW w:w="2180" w:type="dxa"/>
            <w:tcBorders/>
            <w:vAlign w:val="bottom"/>
          </w:tcPr>
          <w:p>
            <w:pPr>
              <w:pStyle w:val="TableContents"/>
              <w:bidi w:val="0"/>
              <w:spacing w:before="0" w:after="0"/>
              <w:ind w:left="180" w:right="0" w:hanging="0"/>
              <w:jc w:val="left"/>
              <w:rPr>
                <w:color w:val="000000"/>
              </w:rPr>
            </w:pPr>
            <w:r>
              <w:rPr>
                <w:color w:val="000000"/>
              </w:rPr>
              <w:t>Americas</w:t>
            </w:r>
          </w:p>
        </w:tc>
        <w:tc>
          <w:tcPr>
            <w:tcW w:w="15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0"/>
              <w:jc w:val="right"/>
              <w:rPr>
                <w:color w:val="000000"/>
              </w:rPr>
            </w:pPr>
            <w:r>
              <w:rPr>
                <w:color w:val="000000"/>
              </w:rPr>
              <w:t>27,337</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0"/>
              <w:jc w:val="right"/>
              <w:rPr>
                <w:color w:val="000000"/>
              </w:rPr>
            </w:pPr>
            <w:r>
              <w:rPr>
                <w:color w:val="000000"/>
              </w:rPr>
              <w:t>28,827</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0"/>
              <w:jc w:val="right"/>
              <w:rPr>
                <w:color w:val="000000"/>
              </w:rPr>
            </w:pPr>
            <w:r>
              <w:rPr>
                <w:color w:val="000000"/>
              </w:rPr>
              <w:t>(5</w:t>
            </w:r>
          </w:p>
        </w:tc>
        <w:tc>
          <w:tcPr>
            <w:tcW w:w="365" w:type="dxa"/>
            <w:tcBorders/>
            <w:vAlign w:val="bottom"/>
          </w:tcPr>
          <w:p>
            <w:pPr>
              <w:pStyle w:val="TableContents"/>
              <w:bidi w:val="0"/>
              <w:spacing w:before="0" w:after="0"/>
              <w:jc w:val="left"/>
              <w:rPr>
                <w:color w:val="000000"/>
              </w:rPr>
            </w:pPr>
            <w:r>
              <w:rPr>
                <w:color w:val="000000"/>
              </w:rPr>
              <w:t>)%</w:t>
            </w:r>
          </w:p>
        </w:tc>
      </w:tr>
      <w:tr>
        <w:trPr/>
        <w:tc>
          <w:tcPr>
            <w:tcW w:w="2180" w:type="dxa"/>
            <w:tcBorders/>
            <w:shd w:fill="CCEEFF" w:val="clear"/>
            <w:vAlign w:val="bottom"/>
          </w:tcPr>
          <w:p>
            <w:pPr>
              <w:pStyle w:val="TableContents"/>
              <w:bidi w:val="0"/>
              <w:spacing w:before="0" w:after="0"/>
              <w:ind w:left="180" w:right="0" w:hanging="0"/>
              <w:jc w:val="left"/>
              <w:rPr>
                <w:color w:val="000000"/>
              </w:rPr>
            </w:pPr>
            <w:r>
              <w:rPr>
                <w:color w:val="000000"/>
              </w:rPr>
              <w:t>Mainland China</w:t>
            </w:r>
          </w:p>
        </w:tc>
        <w:tc>
          <w:tcPr>
            <w:tcW w:w="15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0"/>
              <w:jc w:val="right"/>
              <w:rPr>
                <w:color w:val="000000"/>
              </w:rPr>
            </w:pPr>
            <w:r>
              <w:rPr>
                <w:color w:val="000000"/>
              </w:rPr>
              <w:t>18,736</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0"/>
              <w:jc w:val="right"/>
              <w:rPr>
                <w:color w:val="000000"/>
              </w:rPr>
            </w:pPr>
            <w:r>
              <w:rPr>
                <w:color w:val="000000"/>
              </w:rPr>
              <w:t>19,399</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0"/>
              <w:jc w:val="right"/>
              <w:rPr>
                <w:color w:val="000000"/>
              </w:rPr>
            </w:pPr>
            <w:r>
              <w:rPr>
                <w:color w:val="000000"/>
              </w:rPr>
              <w:t>(3</w:t>
            </w:r>
          </w:p>
        </w:tc>
        <w:tc>
          <w:tcPr>
            <w:tcW w:w="365" w:type="dxa"/>
            <w:tcBorders/>
            <w:shd w:fill="CCEEFF" w:val="clear"/>
            <w:vAlign w:val="bottom"/>
          </w:tcPr>
          <w:p>
            <w:pPr>
              <w:pStyle w:val="TableContents"/>
              <w:bidi w:val="0"/>
              <w:spacing w:before="0" w:after="0"/>
              <w:jc w:val="left"/>
              <w:rPr>
                <w:color w:val="000000"/>
              </w:rPr>
            </w:pPr>
            <w:r>
              <w:rPr>
                <w:color w:val="000000"/>
              </w:rPr>
              <w:t>)%</w:t>
            </w:r>
          </w:p>
        </w:tc>
      </w:tr>
      <w:tr>
        <w:trPr/>
        <w:tc>
          <w:tcPr>
            <w:tcW w:w="2180" w:type="dxa"/>
            <w:tcBorders/>
            <w:vAlign w:val="bottom"/>
          </w:tcPr>
          <w:p>
            <w:pPr>
              <w:pStyle w:val="TableContents"/>
              <w:bidi w:val="0"/>
              <w:spacing w:before="0" w:after="0"/>
              <w:ind w:left="180" w:right="0" w:hanging="0"/>
              <w:jc w:val="left"/>
              <w:rPr>
                <w:color w:val="000000"/>
              </w:rPr>
            </w:pPr>
            <w:r>
              <w:rPr>
                <w:color w:val="000000"/>
              </w:rPr>
              <w:t>Southeast Asia/Pacific</w:t>
            </w:r>
          </w:p>
        </w:tc>
        <w:tc>
          <w:tcPr>
            <w:tcW w:w="15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0"/>
              <w:jc w:val="right"/>
              <w:rPr>
                <w:color w:val="000000"/>
              </w:rPr>
            </w:pPr>
            <w:r>
              <w:rPr>
                <w:color w:val="000000"/>
              </w:rPr>
              <w:t>17,677</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0"/>
              <w:jc w:val="right"/>
              <w:rPr>
                <w:color w:val="000000"/>
              </w:rPr>
            </w:pPr>
            <w:r>
              <w:rPr>
                <w:color w:val="000000"/>
              </w:rPr>
              <w:t>21,092</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0"/>
              <w:jc w:val="right"/>
              <w:rPr>
                <w:color w:val="000000"/>
              </w:rPr>
            </w:pPr>
            <w:r>
              <w:rPr>
                <w:color w:val="000000"/>
              </w:rPr>
              <w:t>(16</w:t>
            </w:r>
          </w:p>
        </w:tc>
        <w:tc>
          <w:tcPr>
            <w:tcW w:w="365" w:type="dxa"/>
            <w:tcBorders/>
            <w:vAlign w:val="bottom"/>
          </w:tcPr>
          <w:p>
            <w:pPr>
              <w:pStyle w:val="TableContents"/>
              <w:bidi w:val="0"/>
              <w:spacing w:before="0" w:after="0"/>
              <w:jc w:val="left"/>
              <w:rPr>
                <w:color w:val="000000"/>
              </w:rPr>
            </w:pPr>
            <w:r>
              <w:rPr>
                <w:color w:val="000000"/>
              </w:rPr>
              <w:t>)%</w:t>
            </w:r>
          </w:p>
        </w:tc>
      </w:tr>
      <w:tr>
        <w:trPr/>
        <w:tc>
          <w:tcPr>
            <w:tcW w:w="2180" w:type="dxa"/>
            <w:tcBorders/>
            <w:shd w:fill="CCEEFF" w:val="clear"/>
            <w:vAlign w:val="bottom"/>
          </w:tcPr>
          <w:p>
            <w:pPr>
              <w:pStyle w:val="TableContents"/>
              <w:bidi w:val="0"/>
              <w:spacing w:before="0" w:after="0"/>
              <w:ind w:left="180" w:right="0" w:hanging="0"/>
              <w:jc w:val="left"/>
              <w:rPr>
                <w:color w:val="000000"/>
              </w:rPr>
            </w:pPr>
            <w:r>
              <w:rPr>
                <w:color w:val="000000"/>
              </w:rPr>
              <w:t>Japan</w:t>
            </w:r>
          </w:p>
        </w:tc>
        <w:tc>
          <w:tcPr>
            <w:tcW w:w="15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0"/>
              <w:jc w:val="right"/>
              <w:rPr>
                <w:color w:val="000000"/>
              </w:rPr>
            </w:pPr>
            <w:r>
              <w:rPr>
                <w:color w:val="000000"/>
              </w:rPr>
              <w:t>19,018</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0"/>
              <w:jc w:val="right"/>
              <w:rPr>
                <w:color w:val="000000"/>
              </w:rPr>
            </w:pPr>
            <w:r>
              <w:rPr>
                <w:color w:val="000000"/>
              </w:rPr>
              <w:t>19,605</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0"/>
              <w:jc w:val="right"/>
              <w:rPr>
                <w:color w:val="000000"/>
              </w:rPr>
            </w:pPr>
            <w:r>
              <w:rPr>
                <w:color w:val="000000"/>
              </w:rPr>
              <w:t>(3</w:t>
            </w:r>
          </w:p>
        </w:tc>
        <w:tc>
          <w:tcPr>
            <w:tcW w:w="365" w:type="dxa"/>
            <w:tcBorders/>
            <w:shd w:fill="CCEEFF" w:val="clear"/>
            <w:vAlign w:val="bottom"/>
          </w:tcPr>
          <w:p>
            <w:pPr>
              <w:pStyle w:val="TableContents"/>
              <w:bidi w:val="0"/>
              <w:spacing w:before="0" w:after="0"/>
              <w:jc w:val="left"/>
              <w:rPr>
                <w:color w:val="000000"/>
              </w:rPr>
            </w:pPr>
            <w:r>
              <w:rPr>
                <w:color w:val="000000"/>
              </w:rPr>
              <w:t>)%</w:t>
            </w:r>
          </w:p>
        </w:tc>
      </w:tr>
      <w:tr>
        <w:trPr/>
        <w:tc>
          <w:tcPr>
            <w:tcW w:w="2180" w:type="dxa"/>
            <w:tcBorders/>
            <w:vAlign w:val="bottom"/>
          </w:tcPr>
          <w:p>
            <w:pPr>
              <w:pStyle w:val="TableContents"/>
              <w:bidi w:val="0"/>
              <w:spacing w:before="0" w:after="0"/>
              <w:ind w:left="180" w:right="0" w:hanging="0"/>
              <w:jc w:val="left"/>
              <w:rPr>
                <w:color w:val="000000"/>
              </w:rPr>
            </w:pPr>
            <w:r>
              <w:rPr>
                <w:color w:val="000000"/>
              </w:rPr>
              <w:t>Europe &amp; Africa</w:t>
            </w:r>
          </w:p>
        </w:tc>
        <w:tc>
          <w:tcPr>
            <w:tcW w:w="15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0"/>
              <w:jc w:val="right"/>
              <w:rPr>
                <w:color w:val="000000"/>
              </w:rPr>
            </w:pPr>
            <w:r>
              <w:rPr>
                <w:color w:val="000000"/>
              </w:rPr>
              <w:t>13,307</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0"/>
              <w:jc w:val="right"/>
              <w:rPr>
                <w:color w:val="000000"/>
              </w:rPr>
            </w:pPr>
            <w:r>
              <w:rPr>
                <w:color w:val="000000"/>
              </w:rPr>
              <w:t>15,320</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0"/>
              <w:jc w:val="right"/>
              <w:rPr>
                <w:color w:val="000000"/>
              </w:rPr>
            </w:pPr>
            <w:r>
              <w:rPr>
                <w:color w:val="000000"/>
              </w:rPr>
              <w:t>(13</w:t>
            </w:r>
          </w:p>
        </w:tc>
        <w:tc>
          <w:tcPr>
            <w:tcW w:w="365" w:type="dxa"/>
            <w:tcBorders/>
            <w:vAlign w:val="bottom"/>
          </w:tcPr>
          <w:p>
            <w:pPr>
              <w:pStyle w:val="TableContents"/>
              <w:bidi w:val="0"/>
              <w:spacing w:before="0" w:after="0"/>
              <w:jc w:val="left"/>
              <w:rPr>
                <w:color w:val="000000"/>
              </w:rPr>
            </w:pPr>
            <w:r>
              <w:rPr>
                <w:color w:val="000000"/>
              </w:rPr>
              <w:t>)%</w:t>
            </w:r>
          </w:p>
        </w:tc>
      </w:tr>
      <w:tr>
        <w:trPr/>
        <w:tc>
          <w:tcPr>
            <w:tcW w:w="2180" w:type="dxa"/>
            <w:tcBorders/>
            <w:shd w:fill="CCEEFF" w:val="clear"/>
            <w:vAlign w:val="bottom"/>
          </w:tcPr>
          <w:p>
            <w:pPr>
              <w:pStyle w:val="TableContents"/>
              <w:bidi w:val="0"/>
              <w:spacing w:before="0" w:after="0"/>
              <w:ind w:left="180" w:right="0" w:hanging="0"/>
              <w:jc w:val="left"/>
              <w:rPr>
                <w:color w:val="000000"/>
              </w:rPr>
            </w:pPr>
            <w:r>
              <w:rPr>
                <w:color w:val="000000"/>
              </w:rPr>
              <w:t>Hong Kong/Taiwan</w:t>
            </w:r>
          </w:p>
        </w:tc>
        <w:tc>
          <w:tcPr>
            <w:tcW w:w="15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0"/>
              <w:jc w:val="right"/>
              <w:rPr>
                <w:color w:val="000000"/>
              </w:rPr>
            </w:pPr>
            <w:r>
              <w:rPr>
                <w:color w:val="000000"/>
              </w:rPr>
              <w:t>9,390</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0"/>
              <w:jc w:val="right"/>
              <w:rPr>
                <w:color w:val="000000"/>
              </w:rPr>
            </w:pPr>
            <w:r>
              <w:rPr>
                <w:color w:val="000000"/>
              </w:rPr>
              <w:t>9,570</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0"/>
              <w:jc w:val="right"/>
              <w:rPr>
                <w:color w:val="000000"/>
              </w:rPr>
            </w:pPr>
            <w:r>
              <w:rPr>
                <w:color w:val="000000"/>
              </w:rPr>
              <w:t>(2</w:t>
            </w:r>
          </w:p>
        </w:tc>
        <w:tc>
          <w:tcPr>
            <w:tcW w:w="365" w:type="dxa"/>
            <w:tcBorders/>
            <w:shd w:fill="CCEEFF" w:val="clear"/>
            <w:vAlign w:val="bottom"/>
          </w:tcPr>
          <w:p>
            <w:pPr>
              <w:pStyle w:val="TableContents"/>
              <w:bidi w:val="0"/>
              <w:spacing w:before="0" w:after="0"/>
              <w:jc w:val="left"/>
              <w:rPr>
                <w:color w:val="000000"/>
              </w:rPr>
            </w:pPr>
            <w:r>
              <w:rPr>
                <w:color w:val="000000"/>
              </w:rPr>
              <w:t>)%</w:t>
            </w:r>
          </w:p>
        </w:tc>
      </w:tr>
      <w:tr>
        <w:trPr/>
        <w:tc>
          <w:tcPr>
            <w:tcW w:w="2180" w:type="dxa"/>
            <w:tcBorders/>
            <w:vAlign w:val="bottom"/>
          </w:tcPr>
          <w:p>
            <w:pPr>
              <w:pStyle w:val="TableContents"/>
              <w:bidi w:val="0"/>
              <w:spacing w:before="0" w:after="0"/>
              <w:ind w:left="180" w:right="0" w:hanging="0"/>
              <w:jc w:val="left"/>
              <w:rPr>
                <w:color w:val="000000"/>
              </w:rPr>
            </w:pPr>
            <w:r>
              <w:rPr>
                <w:color w:val="000000"/>
              </w:rPr>
              <w:t>South Korea</w:t>
            </w:r>
          </w:p>
        </w:tc>
        <w:tc>
          <w:tcPr>
            <w:tcW w:w="150" w:type="dxa"/>
            <w:tcBorders/>
            <w:vAlign w:val="bottom"/>
          </w:tcPr>
          <w:p>
            <w:pPr>
              <w:pStyle w:val="TableContents"/>
              <w:bidi w:val="0"/>
              <w:spacing w:before="0" w:after="283"/>
              <w:jc w:val="left"/>
              <w:rPr/>
            </w:pPr>
            <w:r>
              <w:rPr/>
              <w:t> </w:t>
            </w:r>
          </w:p>
        </w:tc>
        <w:tc>
          <w:tcPr>
            <w:tcW w:w="99" w:type="dxa"/>
            <w:tcBorders>
              <w:bottom w:val="single" w:sz="12" w:space="0" w:color="000000"/>
            </w:tcBorders>
            <w:tcMar>
              <w:bottom w:w="28" w:type="dxa"/>
            </w:tcMar>
            <w:vAlign w:val="bottom"/>
          </w:tcPr>
          <w:p>
            <w:pPr>
              <w:pStyle w:val="TableContents"/>
              <w:bidi w:val="0"/>
              <w:spacing w:before="0" w:after="283"/>
              <w:jc w:val="left"/>
              <w:rPr/>
            </w:pPr>
            <w:r>
              <w:rPr/>
              <w:t> </w:t>
            </w:r>
          </w:p>
        </w:tc>
        <w:tc>
          <w:tcPr>
            <w:tcW w:w="92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14,826</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9" w:type="dxa"/>
            <w:tcBorders>
              <w:bottom w:val="single" w:sz="12" w:space="0" w:color="000000"/>
            </w:tcBorders>
            <w:tcMar>
              <w:bottom w:w="28" w:type="dxa"/>
            </w:tcMar>
            <w:vAlign w:val="bottom"/>
          </w:tcPr>
          <w:p>
            <w:pPr>
              <w:pStyle w:val="TableContents"/>
              <w:bidi w:val="0"/>
              <w:spacing w:before="0" w:after="283"/>
              <w:jc w:val="left"/>
              <w:rPr/>
            </w:pPr>
            <w:r>
              <w:rPr/>
              <w:t> </w:t>
            </w:r>
          </w:p>
        </w:tc>
        <w:tc>
          <w:tcPr>
            <w:tcW w:w="92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16,986</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0"/>
              <w:jc w:val="right"/>
              <w:rPr>
                <w:color w:val="000000"/>
              </w:rPr>
            </w:pPr>
            <w:r>
              <w:rPr>
                <w:color w:val="000000"/>
              </w:rPr>
              <w:t>(13</w:t>
            </w:r>
          </w:p>
        </w:tc>
        <w:tc>
          <w:tcPr>
            <w:tcW w:w="365" w:type="dxa"/>
            <w:tcBorders/>
            <w:vAlign w:val="bottom"/>
          </w:tcPr>
          <w:p>
            <w:pPr>
              <w:pStyle w:val="TableContents"/>
              <w:bidi w:val="0"/>
              <w:spacing w:before="0" w:after="0"/>
              <w:jc w:val="left"/>
              <w:rPr>
                <w:color w:val="000000"/>
              </w:rPr>
            </w:pPr>
            <w:r>
              <w:rPr>
                <w:color w:val="000000"/>
              </w:rPr>
              <w:t>)%</w:t>
            </w:r>
          </w:p>
        </w:tc>
      </w:tr>
      <w:tr>
        <w:trPr/>
        <w:tc>
          <w:tcPr>
            <w:tcW w:w="2180" w:type="dxa"/>
            <w:tcBorders/>
            <w:shd w:fill="CCEEFF" w:val="clear"/>
            <w:vAlign w:val="bottom"/>
          </w:tcPr>
          <w:p>
            <w:pPr>
              <w:pStyle w:val="TableContents"/>
              <w:bidi w:val="0"/>
              <w:spacing w:before="0" w:after="0"/>
              <w:ind w:left="360" w:right="0" w:hanging="0"/>
              <w:jc w:val="left"/>
              <w:rPr>
                <w:b/>
                <w:color w:val="000000"/>
              </w:rPr>
            </w:pPr>
            <w:r>
              <w:rPr>
                <w:b/>
                <w:color w:val="000000"/>
              </w:rPr>
              <w:t>Total Paid Affiliates</w:t>
            </w:r>
          </w:p>
        </w:tc>
        <w:tc>
          <w:tcPr>
            <w:tcW w:w="150" w:type="dxa"/>
            <w:tcBorders/>
            <w:shd w:fill="CCEEFF" w:val="clear"/>
            <w:vAlign w:val="bottom"/>
          </w:tcPr>
          <w:p>
            <w:pPr>
              <w:pStyle w:val="TableContents"/>
              <w:bidi w:val="0"/>
              <w:spacing w:before="0" w:after="283"/>
              <w:jc w:val="left"/>
              <w:rPr/>
            </w:pPr>
            <w:r>
              <w:rPr/>
              <w:t> </w:t>
            </w:r>
          </w:p>
        </w:tc>
        <w:tc>
          <w:tcPr>
            <w:tcW w:w="9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2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120,291</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9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2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130,799</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0"/>
              <w:jc w:val="right"/>
              <w:rPr>
                <w:color w:val="000000"/>
              </w:rPr>
            </w:pPr>
            <w:r>
              <w:rPr>
                <w:color w:val="000000"/>
              </w:rPr>
              <w:t>(8</w:t>
            </w:r>
          </w:p>
        </w:tc>
        <w:tc>
          <w:tcPr>
            <w:tcW w:w="365" w:type="dxa"/>
            <w:tcBorders/>
            <w:shd w:fill="CCEEFF" w:val="clear"/>
            <w:vAlign w:val="bottom"/>
          </w:tcPr>
          <w:p>
            <w:pPr>
              <w:pStyle w:val="TableContents"/>
              <w:bidi w:val="0"/>
              <w:spacing w:before="0" w:after="0"/>
              <w:jc w:val="left"/>
              <w:rPr>
                <w:color w:val="000000"/>
              </w:rPr>
            </w:pPr>
            <w:r>
              <w:rPr>
                <w:color w:val="000000"/>
              </w:rPr>
              <w:t>)%</w:t>
            </w:r>
          </w:p>
        </w:tc>
      </w:tr>
      <w:tr>
        <w:trPr/>
        <w:tc>
          <w:tcPr>
            <w:tcW w:w="2180" w:type="dxa"/>
            <w:tcBorders/>
            <w:vAlign w:val="bottom"/>
          </w:tcPr>
          <w:p>
            <w:pPr>
              <w:pStyle w:val="TableContents"/>
              <w:bidi w:val="0"/>
              <w:spacing w:before="0" w:after="0"/>
              <w:jc w:val="left"/>
              <w:rPr>
                <w:b/>
                <w:color w:val="000000"/>
              </w:rPr>
            </w:pPr>
            <w:r>
              <w:rPr>
                <w:b/>
                <w:color w:val="000000"/>
              </w:rPr>
              <w:t>Sales Leaders</w:t>
            </w:r>
          </w:p>
        </w:tc>
        <w:tc>
          <w:tcPr>
            <w:tcW w:w="15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 </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 </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283"/>
              <w:jc w:val="right"/>
              <w:rPr/>
            </w:pPr>
            <w:r>
              <w:rPr/>
              <w:t> </w:t>
            </w:r>
          </w:p>
        </w:tc>
        <w:tc>
          <w:tcPr>
            <w:tcW w:w="365" w:type="dxa"/>
            <w:tcBorders/>
            <w:vAlign w:val="bottom"/>
          </w:tcPr>
          <w:p>
            <w:pPr>
              <w:pStyle w:val="TableContents"/>
              <w:bidi w:val="0"/>
              <w:spacing w:before="0" w:after="283"/>
              <w:jc w:val="left"/>
              <w:rPr/>
            </w:pPr>
            <w:r>
              <w:rPr/>
              <w:t> </w:t>
            </w:r>
          </w:p>
        </w:tc>
      </w:tr>
      <w:tr>
        <w:trPr/>
        <w:tc>
          <w:tcPr>
            <w:tcW w:w="2180" w:type="dxa"/>
            <w:tcBorders/>
            <w:shd w:fill="CCEEFF" w:val="clear"/>
            <w:vAlign w:val="bottom"/>
          </w:tcPr>
          <w:p>
            <w:pPr>
              <w:pStyle w:val="TableContents"/>
              <w:bidi w:val="0"/>
              <w:spacing w:before="0" w:after="0"/>
              <w:ind w:left="180" w:right="0" w:hanging="0"/>
              <w:jc w:val="left"/>
              <w:rPr>
                <w:color w:val="000000"/>
              </w:rPr>
            </w:pPr>
            <w:r>
              <w:rPr>
                <w:color w:val="000000"/>
              </w:rPr>
              <w:t>Americas</w:t>
            </w:r>
          </w:p>
        </w:tc>
        <w:tc>
          <w:tcPr>
            <w:tcW w:w="15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0"/>
              <w:jc w:val="right"/>
              <w:rPr>
                <w:color w:val="000000"/>
              </w:rPr>
            </w:pPr>
            <w:r>
              <w:rPr>
                <w:color w:val="000000"/>
              </w:rPr>
              <w:t>5,041</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0"/>
              <w:jc w:val="right"/>
              <w:rPr>
                <w:color w:val="000000"/>
              </w:rPr>
            </w:pPr>
            <w:r>
              <w:rPr>
                <w:color w:val="000000"/>
              </w:rPr>
              <w:t>5,971</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0"/>
              <w:jc w:val="right"/>
              <w:rPr>
                <w:color w:val="000000"/>
              </w:rPr>
            </w:pPr>
            <w:r>
              <w:rPr>
                <w:color w:val="000000"/>
              </w:rPr>
              <w:t>(16</w:t>
            </w:r>
          </w:p>
        </w:tc>
        <w:tc>
          <w:tcPr>
            <w:tcW w:w="365" w:type="dxa"/>
            <w:tcBorders/>
            <w:shd w:fill="CCEEFF" w:val="clear"/>
            <w:vAlign w:val="bottom"/>
          </w:tcPr>
          <w:p>
            <w:pPr>
              <w:pStyle w:val="TableContents"/>
              <w:bidi w:val="0"/>
              <w:spacing w:before="0" w:after="0"/>
              <w:jc w:val="left"/>
              <w:rPr>
                <w:color w:val="000000"/>
              </w:rPr>
            </w:pPr>
            <w:r>
              <w:rPr>
                <w:color w:val="000000"/>
              </w:rPr>
              <w:t>)%</w:t>
            </w:r>
          </w:p>
        </w:tc>
      </w:tr>
      <w:tr>
        <w:trPr/>
        <w:tc>
          <w:tcPr>
            <w:tcW w:w="2180" w:type="dxa"/>
            <w:tcBorders/>
            <w:vAlign w:val="bottom"/>
          </w:tcPr>
          <w:p>
            <w:pPr>
              <w:pStyle w:val="TableContents"/>
              <w:bidi w:val="0"/>
              <w:spacing w:before="0" w:after="0"/>
              <w:ind w:left="180" w:right="0" w:hanging="0"/>
              <w:jc w:val="left"/>
              <w:rPr>
                <w:color w:val="000000"/>
              </w:rPr>
            </w:pPr>
            <w:r>
              <w:rPr>
                <w:color w:val="000000"/>
              </w:rPr>
              <w:t>Mainland China</w:t>
            </w:r>
          </w:p>
        </w:tc>
        <w:tc>
          <w:tcPr>
            <w:tcW w:w="15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0"/>
              <w:jc w:val="right"/>
              <w:rPr>
                <w:color w:val="000000"/>
              </w:rPr>
            </w:pPr>
            <w:r>
              <w:rPr>
                <w:color w:val="000000"/>
              </w:rPr>
              <w:t>5,899</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0"/>
              <w:jc w:val="right"/>
              <w:rPr>
                <w:color w:val="000000"/>
              </w:rPr>
            </w:pPr>
            <w:r>
              <w:rPr>
                <w:color w:val="000000"/>
              </w:rPr>
              <w:t>5,790</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0"/>
              <w:jc w:val="right"/>
              <w:rPr>
                <w:color w:val="000000"/>
              </w:rPr>
            </w:pPr>
            <w:r>
              <w:rPr>
                <w:color w:val="000000"/>
              </w:rPr>
              <w:t>2</w:t>
            </w:r>
          </w:p>
        </w:tc>
        <w:tc>
          <w:tcPr>
            <w:tcW w:w="365" w:type="dxa"/>
            <w:tcBorders/>
            <w:vAlign w:val="bottom"/>
          </w:tcPr>
          <w:p>
            <w:pPr>
              <w:pStyle w:val="TableContents"/>
              <w:bidi w:val="0"/>
              <w:spacing w:before="0" w:after="0"/>
              <w:jc w:val="left"/>
              <w:rPr>
                <w:color w:val="000000"/>
              </w:rPr>
            </w:pPr>
            <w:r>
              <w:rPr>
                <w:color w:val="000000"/>
              </w:rPr>
              <w:t>%</w:t>
            </w:r>
          </w:p>
        </w:tc>
      </w:tr>
      <w:tr>
        <w:trPr/>
        <w:tc>
          <w:tcPr>
            <w:tcW w:w="2180" w:type="dxa"/>
            <w:tcBorders/>
            <w:shd w:fill="CCEEFF" w:val="clear"/>
            <w:vAlign w:val="bottom"/>
          </w:tcPr>
          <w:p>
            <w:pPr>
              <w:pStyle w:val="TableContents"/>
              <w:bidi w:val="0"/>
              <w:spacing w:before="0" w:after="0"/>
              <w:ind w:left="180" w:right="0" w:hanging="0"/>
              <w:jc w:val="left"/>
              <w:rPr>
                <w:color w:val="000000"/>
              </w:rPr>
            </w:pPr>
            <w:r>
              <w:rPr>
                <w:color w:val="000000"/>
              </w:rPr>
              <w:t>Southeast Asia/Pacific</w:t>
            </w:r>
          </w:p>
        </w:tc>
        <w:tc>
          <w:tcPr>
            <w:tcW w:w="15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0"/>
              <w:jc w:val="right"/>
              <w:rPr>
                <w:color w:val="000000"/>
              </w:rPr>
            </w:pPr>
            <w:r>
              <w:rPr>
                <w:color w:val="000000"/>
              </w:rPr>
              <w:t>3,631</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0"/>
              <w:jc w:val="right"/>
              <w:rPr>
                <w:color w:val="000000"/>
              </w:rPr>
            </w:pPr>
            <w:r>
              <w:rPr>
                <w:color w:val="000000"/>
              </w:rPr>
              <w:t>4,126</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0"/>
              <w:jc w:val="right"/>
              <w:rPr>
                <w:color w:val="000000"/>
              </w:rPr>
            </w:pPr>
            <w:r>
              <w:rPr>
                <w:color w:val="000000"/>
              </w:rPr>
              <w:t>(12</w:t>
            </w:r>
          </w:p>
        </w:tc>
        <w:tc>
          <w:tcPr>
            <w:tcW w:w="365" w:type="dxa"/>
            <w:tcBorders/>
            <w:shd w:fill="CCEEFF" w:val="clear"/>
            <w:vAlign w:val="bottom"/>
          </w:tcPr>
          <w:p>
            <w:pPr>
              <w:pStyle w:val="TableContents"/>
              <w:bidi w:val="0"/>
              <w:spacing w:before="0" w:after="0"/>
              <w:jc w:val="left"/>
              <w:rPr>
                <w:color w:val="000000"/>
              </w:rPr>
            </w:pPr>
            <w:r>
              <w:rPr>
                <w:color w:val="000000"/>
              </w:rPr>
              <w:t>)%</w:t>
            </w:r>
          </w:p>
        </w:tc>
      </w:tr>
      <w:tr>
        <w:trPr/>
        <w:tc>
          <w:tcPr>
            <w:tcW w:w="2180" w:type="dxa"/>
            <w:tcBorders/>
            <w:vAlign w:val="bottom"/>
          </w:tcPr>
          <w:p>
            <w:pPr>
              <w:pStyle w:val="TableContents"/>
              <w:bidi w:val="0"/>
              <w:spacing w:before="0" w:after="0"/>
              <w:ind w:left="180" w:right="0" w:hanging="0"/>
              <w:jc w:val="left"/>
              <w:rPr>
                <w:color w:val="000000"/>
              </w:rPr>
            </w:pPr>
            <w:r>
              <w:rPr>
                <w:color w:val="000000"/>
              </w:rPr>
              <w:t>Japan</w:t>
            </w:r>
          </w:p>
        </w:tc>
        <w:tc>
          <w:tcPr>
            <w:tcW w:w="15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0"/>
              <w:jc w:val="right"/>
              <w:rPr>
                <w:color w:val="000000"/>
              </w:rPr>
            </w:pPr>
            <w:r>
              <w:rPr>
                <w:color w:val="000000"/>
              </w:rPr>
              <w:t>5,782</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0"/>
              <w:jc w:val="right"/>
              <w:rPr>
                <w:color w:val="000000"/>
              </w:rPr>
            </w:pPr>
            <w:r>
              <w:rPr>
                <w:color w:val="000000"/>
              </w:rPr>
              <w:t>5,882</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0"/>
              <w:jc w:val="right"/>
              <w:rPr>
                <w:color w:val="000000"/>
              </w:rPr>
            </w:pPr>
            <w:r>
              <w:rPr>
                <w:color w:val="000000"/>
              </w:rPr>
              <w:t>(2</w:t>
            </w:r>
          </w:p>
        </w:tc>
        <w:tc>
          <w:tcPr>
            <w:tcW w:w="365" w:type="dxa"/>
            <w:tcBorders/>
            <w:vAlign w:val="bottom"/>
          </w:tcPr>
          <w:p>
            <w:pPr>
              <w:pStyle w:val="TableContents"/>
              <w:bidi w:val="0"/>
              <w:spacing w:before="0" w:after="0"/>
              <w:jc w:val="left"/>
              <w:rPr>
                <w:color w:val="000000"/>
              </w:rPr>
            </w:pPr>
            <w:r>
              <w:rPr>
                <w:color w:val="000000"/>
              </w:rPr>
              <w:t>)%</w:t>
            </w:r>
          </w:p>
        </w:tc>
      </w:tr>
      <w:tr>
        <w:trPr/>
        <w:tc>
          <w:tcPr>
            <w:tcW w:w="2180" w:type="dxa"/>
            <w:tcBorders/>
            <w:shd w:fill="CCEEFF" w:val="clear"/>
            <w:vAlign w:val="bottom"/>
          </w:tcPr>
          <w:p>
            <w:pPr>
              <w:pStyle w:val="TableContents"/>
              <w:bidi w:val="0"/>
              <w:spacing w:before="0" w:after="0"/>
              <w:ind w:left="180" w:right="0" w:hanging="0"/>
              <w:jc w:val="left"/>
              <w:rPr>
                <w:color w:val="000000"/>
              </w:rPr>
            </w:pPr>
            <w:r>
              <w:rPr>
                <w:color w:val="000000"/>
              </w:rPr>
              <w:t>Europe &amp; Africa</w:t>
            </w:r>
          </w:p>
        </w:tc>
        <w:tc>
          <w:tcPr>
            <w:tcW w:w="15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0"/>
              <w:jc w:val="right"/>
              <w:rPr>
                <w:color w:val="000000"/>
              </w:rPr>
            </w:pPr>
            <w:r>
              <w:rPr>
                <w:color w:val="000000"/>
              </w:rPr>
              <w:t>2,216</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0"/>
              <w:jc w:val="right"/>
              <w:rPr>
                <w:color w:val="000000"/>
              </w:rPr>
            </w:pPr>
            <w:r>
              <w:rPr>
                <w:color w:val="000000"/>
              </w:rPr>
              <w:t>2,695</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0"/>
              <w:jc w:val="right"/>
              <w:rPr>
                <w:color w:val="000000"/>
              </w:rPr>
            </w:pPr>
            <w:r>
              <w:rPr>
                <w:color w:val="000000"/>
              </w:rPr>
              <w:t>(18</w:t>
            </w:r>
          </w:p>
        </w:tc>
        <w:tc>
          <w:tcPr>
            <w:tcW w:w="365" w:type="dxa"/>
            <w:tcBorders/>
            <w:shd w:fill="CCEEFF" w:val="clear"/>
            <w:vAlign w:val="bottom"/>
          </w:tcPr>
          <w:p>
            <w:pPr>
              <w:pStyle w:val="TableContents"/>
              <w:bidi w:val="0"/>
              <w:spacing w:before="0" w:after="0"/>
              <w:jc w:val="left"/>
              <w:rPr>
                <w:color w:val="000000"/>
              </w:rPr>
            </w:pPr>
            <w:r>
              <w:rPr>
                <w:color w:val="000000"/>
              </w:rPr>
              <w:t>)%</w:t>
            </w:r>
          </w:p>
        </w:tc>
      </w:tr>
      <w:tr>
        <w:trPr/>
        <w:tc>
          <w:tcPr>
            <w:tcW w:w="2180" w:type="dxa"/>
            <w:tcBorders/>
            <w:vAlign w:val="bottom"/>
          </w:tcPr>
          <w:p>
            <w:pPr>
              <w:pStyle w:val="TableContents"/>
              <w:bidi w:val="0"/>
              <w:spacing w:before="0" w:after="0"/>
              <w:ind w:left="180" w:right="0" w:hanging="0"/>
              <w:jc w:val="left"/>
              <w:rPr>
                <w:color w:val="000000"/>
              </w:rPr>
            </w:pPr>
            <w:r>
              <w:rPr>
                <w:color w:val="000000"/>
              </w:rPr>
              <w:t>Hong Kong/Taiwan</w:t>
            </w:r>
          </w:p>
        </w:tc>
        <w:tc>
          <w:tcPr>
            <w:tcW w:w="15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0"/>
              <w:jc w:val="right"/>
              <w:rPr>
                <w:color w:val="000000"/>
              </w:rPr>
            </w:pPr>
            <w:r>
              <w:rPr>
                <w:color w:val="000000"/>
              </w:rPr>
              <w:t>1,858</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0"/>
              <w:jc w:val="right"/>
              <w:rPr>
                <w:color w:val="000000"/>
              </w:rPr>
            </w:pPr>
            <w:r>
              <w:rPr>
                <w:color w:val="000000"/>
              </w:rPr>
              <w:t>2,063</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0"/>
              <w:jc w:val="right"/>
              <w:rPr>
                <w:color w:val="000000"/>
              </w:rPr>
            </w:pPr>
            <w:r>
              <w:rPr>
                <w:color w:val="000000"/>
              </w:rPr>
              <w:t>(10</w:t>
            </w:r>
          </w:p>
        </w:tc>
        <w:tc>
          <w:tcPr>
            <w:tcW w:w="365" w:type="dxa"/>
            <w:tcBorders/>
            <w:vAlign w:val="bottom"/>
          </w:tcPr>
          <w:p>
            <w:pPr>
              <w:pStyle w:val="TableContents"/>
              <w:bidi w:val="0"/>
              <w:spacing w:before="0" w:after="0"/>
              <w:jc w:val="left"/>
              <w:rPr>
                <w:color w:val="000000"/>
              </w:rPr>
            </w:pPr>
            <w:r>
              <w:rPr>
                <w:color w:val="000000"/>
              </w:rPr>
              <w:t>)%</w:t>
            </w:r>
          </w:p>
        </w:tc>
      </w:tr>
      <w:tr>
        <w:trPr/>
        <w:tc>
          <w:tcPr>
            <w:tcW w:w="2180" w:type="dxa"/>
            <w:tcBorders/>
            <w:shd w:fill="CCEEFF" w:val="clear"/>
            <w:vAlign w:val="bottom"/>
          </w:tcPr>
          <w:p>
            <w:pPr>
              <w:pStyle w:val="TableContents"/>
              <w:bidi w:val="0"/>
              <w:spacing w:before="0" w:after="0"/>
              <w:ind w:left="180" w:right="0" w:hanging="0"/>
              <w:jc w:val="left"/>
              <w:rPr>
                <w:color w:val="000000"/>
              </w:rPr>
            </w:pPr>
            <w:r>
              <w:rPr>
                <w:color w:val="000000"/>
              </w:rPr>
              <w:t>South Korea</w:t>
            </w:r>
          </w:p>
        </w:tc>
        <w:tc>
          <w:tcPr>
            <w:tcW w:w="150" w:type="dxa"/>
            <w:tcBorders/>
            <w:shd w:fill="CCEEFF" w:val="clear"/>
            <w:vAlign w:val="bottom"/>
          </w:tcPr>
          <w:p>
            <w:pPr>
              <w:pStyle w:val="TableContents"/>
              <w:bidi w:val="0"/>
              <w:spacing w:before="0" w:after="283"/>
              <w:jc w:val="left"/>
              <w:rPr/>
            </w:pPr>
            <w:r>
              <w:rPr/>
              <w:t> </w:t>
            </w:r>
          </w:p>
        </w:tc>
        <w:tc>
          <w:tcPr>
            <w:tcW w:w="9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2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2,571</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9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2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3,066</w:t>
            </w:r>
          </w:p>
        </w:tc>
        <w:tc>
          <w:tcPr>
            <w:tcW w:w="1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678" w:type="dxa"/>
            <w:tcBorders/>
            <w:shd w:fill="CCEEFF" w:val="clear"/>
            <w:vAlign w:val="bottom"/>
          </w:tcPr>
          <w:p>
            <w:pPr>
              <w:pStyle w:val="TableContents"/>
              <w:bidi w:val="0"/>
              <w:spacing w:before="0" w:after="0"/>
              <w:jc w:val="right"/>
              <w:rPr>
                <w:color w:val="000000"/>
              </w:rPr>
            </w:pPr>
            <w:r>
              <w:rPr>
                <w:color w:val="000000"/>
              </w:rPr>
              <w:t>(16</w:t>
            </w:r>
          </w:p>
        </w:tc>
        <w:tc>
          <w:tcPr>
            <w:tcW w:w="365" w:type="dxa"/>
            <w:tcBorders/>
            <w:shd w:fill="CCEEFF" w:val="clear"/>
            <w:vAlign w:val="bottom"/>
          </w:tcPr>
          <w:p>
            <w:pPr>
              <w:pStyle w:val="TableContents"/>
              <w:bidi w:val="0"/>
              <w:spacing w:before="0" w:after="0"/>
              <w:jc w:val="left"/>
              <w:rPr>
                <w:color w:val="000000"/>
              </w:rPr>
            </w:pPr>
            <w:r>
              <w:rPr>
                <w:color w:val="000000"/>
              </w:rPr>
              <w:t>)%</w:t>
            </w:r>
          </w:p>
        </w:tc>
      </w:tr>
      <w:tr>
        <w:trPr/>
        <w:tc>
          <w:tcPr>
            <w:tcW w:w="2180" w:type="dxa"/>
            <w:tcBorders/>
            <w:vAlign w:val="bottom"/>
          </w:tcPr>
          <w:p>
            <w:pPr>
              <w:pStyle w:val="TableContents"/>
              <w:bidi w:val="0"/>
              <w:spacing w:before="0" w:after="0"/>
              <w:ind w:left="360" w:right="0" w:hanging="0"/>
              <w:jc w:val="left"/>
              <w:rPr>
                <w:b/>
                <w:color w:val="000000"/>
              </w:rPr>
            </w:pPr>
            <w:r>
              <w:rPr>
                <w:b/>
                <w:color w:val="000000"/>
              </w:rPr>
              <w:t>Total Sales Leaders</w:t>
            </w:r>
          </w:p>
        </w:tc>
        <w:tc>
          <w:tcPr>
            <w:tcW w:w="150" w:type="dxa"/>
            <w:tcBorders/>
            <w:vAlign w:val="bottom"/>
          </w:tcPr>
          <w:p>
            <w:pPr>
              <w:pStyle w:val="TableContents"/>
              <w:bidi w:val="0"/>
              <w:spacing w:before="0" w:after="283"/>
              <w:jc w:val="left"/>
              <w:rPr/>
            </w:pPr>
            <w:r>
              <w:rPr/>
              <w:t> </w:t>
            </w:r>
          </w:p>
        </w:tc>
        <w:tc>
          <w:tcPr>
            <w:tcW w:w="99" w:type="dxa"/>
            <w:tcBorders>
              <w:bottom w:val="single" w:sz="12" w:space="0" w:color="000000"/>
            </w:tcBorders>
            <w:tcMar>
              <w:bottom w:w="28" w:type="dxa"/>
            </w:tcMar>
            <w:vAlign w:val="bottom"/>
          </w:tcPr>
          <w:p>
            <w:pPr>
              <w:pStyle w:val="TableContents"/>
              <w:bidi w:val="0"/>
              <w:spacing w:before="0" w:after="283"/>
              <w:jc w:val="left"/>
              <w:rPr/>
            </w:pPr>
            <w:r>
              <w:rPr/>
              <w:t> </w:t>
            </w:r>
          </w:p>
        </w:tc>
        <w:tc>
          <w:tcPr>
            <w:tcW w:w="92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26,998</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9" w:type="dxa"/>
            <w:tcBorders>
              <w:bottom w:val="single" w:sz="12" w:space="0" w:color="000000"/>
            </w:tcBorders>
            <w:tcMar>
              <w:bottom w:w="28" w:type="dxa"/>
            </w:tcMar>
            <w:vAlign w:val="bottom"/>
          </w:tcPr>
          <w:p>
            <w:pPr>
              <w:pStyle w:val="TableContents"/>
              <w:bidi w:val="0"/>
              <w:spacing w:before="0" w:after="283"/>
              <w:jc w:val="left"/>
              <w:rPr/>
            </w:pPr>
            <w:r>
              <w:rPr/>
              <w:t> </w:t>
            </w:r>
          </w:p>
        </w:tc>
        <w:tc>
          <w:tcPr>
            <w:tcW w:w="920"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29,593</w:t>
            </w:r>
          </w:p>
        </w:tc>
        <w:tc>
          <w:tcPr>
            <w:tcW w:w="1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678" w:type="dxa"/>
            <w:tcBorders/>
            <w:vAlign w:val="bottom"/>
          </w:tcPr>
          <w:p>
            <w:pPr>
              <w:pStyle w:val="TableContents"/>
              <w:bidi w:val="0"/>
              <w:spacing w:before="0" w:after="0"/>
              <w:jc w:val="right"/>
              <w:rPr>
                <w:color w:val="000000"/>
              </w:rPr>
            </w:pPr>
            <w:r>
              <w:rPr>
                <w:color w:val="000000"/>
              </w:rPr>
              <w:t>(9</w:t>
            </w:r>
          </w:p>
        </w:tc>
        <w:tc>
          <w:tcPr>
            <w:tcW w:w="365" w:type="dxa"/>
            <w:tcBorders/>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Following is a narrative discussion of our results in each segment, which supplements the tables above.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Americas</w:t>
      </w:r>
      <w:r>
        <w:rPr>
          <w:rFonts w:ascii="Times New Roman" w:hAnsi="Times New Roman"/>
          <w:color w:val="000000"/>
          <w:sz w:val="20"/>
          <w:shd w:fill="FFFFFF" w:val="clear"/>
        </w:rPr>
        <w:t xml:space="preserve">. The results in our Americas segment reflect a continued decline in our North America markets. For the second quarter of 2026, our Latin America markets’ revenue contracted on a reported currency basis, with growth for the first half of 2026. As our Sales Leaders prioritized </w:t>
      </w:r>
      <w:r>
        <w:rPr>
          <w:rFonts w:ascii="Times New Roman" w:hAnsi="Times New Roman"/>
          <w:i/>
          <w:color w:val="000000"/>
          <w:sz w:val="20"/>
          <w:shd w:fill="FFFFFF" w:val="clear"/>
        </w:rPr>
        <w:t xml:space="preserve">Prysm iO </w:t>
      </w:r>
      <w:r>
        <w:rPr>
          <w:rFonts w:ascii="Times New Roman" w:hAnsi="Times New Roman"/>
          <w:color w:val="000000"/>
          <w:sz w:val="20"/>
          <w:shd w:fill="FFFFFF" w:val="clear"/>
        </w:rPr>
        <w:t>and associated wellness products during the first half of 2026, we experienced switching costs as many of our Sales Leaders began adapting to a greater focus on wellness products than previously. During the second quarter of 2026, we released enhancements to our sales compensation plan, with a higher focus on aligning incentives around Sales Leader development and retention. In addition, our reported revenue reflects negative impacts from unfavorable foreign currency fluctuations of 2.3% and 3.0% for the second quarter and first half of 2026, respectively.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year-over-year decrease in segment contribution for the second quarter and first half of 2026 primarily reflects the overall decline in revenue, as well as a 3.1 and 3.3 percentage-point increase for the second quarter and first half of 2026, respectively, in selling expenses from additional incentives aimed at assisting the transition associated with the sales compensation plan enhancements.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Mainland China</w:t>
      </w:r>
      <w:r>
        <w:rPr>
          <w:rFonts w:ascii="Times New Roman" w:hAnsi="Times New Roman"/>
          <w:color w:val="000000"/>
          <w:sz w:val="20"/>
          <w:shd w:fill="FFFFFF" w:val="clear"/>
        </w:rPr>
        <w:t>. Our Mainland China market continued to be challenged during the second quarter and first half of 2026, with ongoing macroeconomic factors, the associated decrease in consumer spending and a continued shift of market consumer awareness and demand to online product marketplaces. In addition, our reported revenue reflects a benefit from favorable foreign currency fluctuations of 5.0% and 4.8% for the second quarter and first half of 2026, respectively. During the second quarter of 2026, we released enhancements to the business model, as well as additional incentives for our sales force, which we believe helped drive a 2% increase in Sales Leaders as well as a slowing of the decline of Paid Affiliates for the second quarter of 2026.</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decrease in segment contribution for the second quarter and first half of 2026 primarily reflects the decline in revenue and associated fixed cost pressures on general and administrative expenses.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Southeast Asia/Pacific</w:t>
      </w:r>
      <w:r>
        <w:rPr>
          <w:rFonts w:ascii="Times New Roman" w:hAnsi="Times New Roman"/>
          <w:color w:val="000000"/>
          <w:sz w:val="20"/>
          <w:shd w:fill="FFFFFF" w:val="clear"/>
        </w:rPr>
        <w:t>. The decline in revenue, Customers, Paid Affiliates and Sales Leaders for the second quarter and first half of 2026 is primarily attributable to slowing momentum from the general macroeconomic factors in the markets. In addition, our reported revenue reflects a benefit from favorable foreign currency fluctuations of 1.4% and 2.6% for the second quarter and first half of 2026, respectively.</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 xml:space="preserve">The year-over-year decrease in segment contribution for the second quarter and first half of 2026 primarily reflects the decline in revenue as well as an increase in selling expenses and general and administrative cost associated with our pre-market activities in India in preparation for the full market opening in the first half of 2027.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Japan</w:t>
      </w:r>
      <w:r>
        <w:rPr>
          <w:rFonts w:ascii="Times New Roman" w:hAnsi="Times New Roman"/>
          <w:color w:val="000000"/>
          <w:sz w:val="20"/>
          <w:shd w:fill="FFFFFF" w:val="clear"/>
        </w:rPr>
        <w:t>. The reduction in revenue, Customers, Paid Affiliates and Sales Leaders is partially attributable to consumer inflationary pressures which depressed spending. In addition, our reported revenue reflects negative impacts from unfavorable foreign currency fluctuations of 8.8% and 5.9% for the second quarter and first half of 2026.</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year-over-year decrease in segment contribution is primarily attributable to the decreased revenue.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Europe &amp; Africa</w:t>
      </w:r>
      <w:r>
        <w:rPr>
          <w:rFonts w:ascii="Times New Roman" w:hAnsi="Times New Roman"/>
          <w:color w:val="000000"/>
          <w:sz w:val="20"/>
          <w:shd w:fill="FFFFFF" w:val="clear"/>
        </w:rPr>
        <w:t>. The reduction in revenue, Customers, Paid Affiliates and Sales Leaders reflects continued softness in these markets, as well as the macroeconomic factors that have led to a decline in the purchasing power of our customers. In addition, our reported revenue reflects a benefit from favorable foreign currency fluctuations of 1.8% and 5.3% for the second quarter and first half of 2026, respectively.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year-over-year decline in segment contribution for the second quarter of 2026 primarily reflects the decline in revenue, partially offset by a 1.4 percentage point increase in gross margin from a favorable product mix. The decline in segment contribution for the first half of 2026 is primarily from the decline in revenue.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Hong Kong/Taiwan</w:t>
      </w:r>
      <w:r>
        <w:rPr>
          <w:rFonts w:ascii="Times New Roman" w:hAnsi="Times New Roman"/>
          <w:color w:val="000000"/>
          <w:sz w:val="20"/>
          <w:shd w:fill="FFFFFF" w:val="clear"/>
        </w:rPr>
        <w:t>. The declines in our Hong Kong/Taiwan segment for the second quarter and first half of 2026 are attributable to macroeconomic issues, which are resulting in less purchasing power for our consumers. Our Taiwan market has shown indicators of stabilization with local currency growth for the second quarter and first half of 2026.</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decrease in segment contribution for the second quarter of 2026 is primarily attributable to the decline in revenue. The decrease in segment contribution for the first half of 2026 is primarily from the decline in revenue as well as a 1.5 percentage-point increase in selling expenses associated with our recent compensation plan enhancements, as well as the decline in revenue paired with the fixed nature of general and administrative expenses, partially offset by a 1.3 percentage point improvement in gross margin from less product write-offs and product promotions.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South Korea</w:t>
      </w:r>
      <w:r>
        <w:rPr>
          <w:rFonts w:ascii="Times New Roman" w:hAnsi="Times New Roman"/>
          <w:color w:val="000000"/>
          <w:sz w:val="20"/>
          <w:shd w:fill="FFFFFF" w:val="clear"/>
        </w:rPr>
        <w:t xml:space="preserve">. Our South Korea market was challenged by difficult macroeconomic trends, including inflationary pressures, political instability, and our associated price increases which negatively impacted our revenue, Customers, Paid Affiliates and Sales Leaders for the second quarter and first half of 2026. In addition, in the first quarter of 2026, we lowered our commission to remain in compliance with the local law. </w:t>
      </w:r>
      <w:r>
        <w:rPr>
          <w:rFonts w:ascii="Times New Roman;Times;serif" w:hAnsi="Times New Roman;Times;serif"/>
          <w:color w:val="000000"/>
          <w:sz w:val="20"/>
          <w:shd w:fill="FFFFFF" w:val="clear"/>
        </w:rPr>
        <w:t>Our</w:t>
      </w:r>
      <w:r>
        <w:rPr>
          <w:rFonts w:ascii="Times New Roman" w:hAnsi="Times New Roman"/>
          <w:color w:val="000000"/>
          <w:sz w:val="20"/>
          <w:shd w:fill="FFFFFF" w:val="clear"/>
        </w:rPr>
        <w:t xml:space="preserve"> reported revenue reflects negative impacts from unfavorable foreign currency fluctuations of 5.8% and 3.3% for the second quarter and first half of 2026, respectively. </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year-over-year decline in segment contribution for the second quarter and first half of 2026 primarily reflects the decline in revenue.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u w:val="single"/>
          <w:shd w:fill="FFFFFF" w:val="clear"/>
        </w:rPr>
        <w:t>Manufacturing</w:t>
      </w:r>
      <w:r>
        <w:rPr>
          <w:rFonts w:ascii="Times New Roman;Times;serif" w:hAnsi="Times New Roman;Times;serif"/>
          <w:color w:val="000000"/>
          <w:sz w:val="20"/>
          <w:shd w:fill="FFFFFF" w:val="clear"/>
        </w:rPr>
        <w:t>. Our Manufacturing segment revenue decreased 23.2% and 21.1% for the second quarter and first half of 2026, respectively. The decrease is partially due to a challenging comparison with a strong first half of 2025, as well as customer order delays related to the tariff and associated economic uncertainty.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decrease in segment contribution is primarily due to the decline in revenue, as well as fixed cost pressure within cost of goods sold.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Rhyz Other</w:t>
      </w:r>
      <w:r>
        <w:rPr>
          <w:rFonts w:ascii="Times New Roman" w:hAnsi="Times New Roman"/>
          <w:color w:val="000000"/>
          <w:sz w:val="20"/>
          <w:shd w:fill="FFFFFF" w:val="clear"/>
        </w:rPr>
        <w:t>. The decrease in revenue for the second quarter and first half of 2026 is primarily from our decision to wind down our separate BeautyBio business. In addition, for the second quarter of 2026, our LifeDNA, Inc. (“LifeDNA”) entity, a DNA assessment and recommendation technology company, was challenged by elevated customer acquisition cost.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During the three months ended March 31, 2026, we acquired the remaining 30% equity interest in LifeDNA, for cash consideration of $6.5 million. The carrying amount of noncontrolling interest, which was previously included in other liabilities on the consolidated balance sheet, was reduced by $4.1 million, with the difference of $2.4 million recorded in additional paid-in capital. Following this transaction, LifeDNA became a wholly owned subsidiary. Due to the noncontrolling interest’s immaterial balance, we have not historically separately disclosed the noncontrolling interest balance or activity.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decrease in segment contribution for the second quarter and first half of 2026 is primarily due to our decision to wind down our separate BeautyBio business and the associated $3.1 million inventory charge, $1.8 million of intangible impairment and $1.0 million in other associated costs recorded in the first quarter of 2026, as well as elevated customer acquisition cost for LifeDNA.</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Consolidated Results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Revenue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Revenue for the three-month period ended June 30, 2026 decreased 17.1% to $320.1 million, compared to $386.1 million in the prior-year period. Revenue for the six-month period ended June 30, 2026 decreased 14.6% to $640.7 million compared to $750.6 million in the prior-year period. Our revenue in the second quarter of 2026 was negatively impacted by 1.0%, from foreign-currency fluctuations. For a discussion and analysis of these decreases in revenue, see “Overview” and “Segment Results,” above.</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Gross profit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Gross profit as a percentage of revenue was 68.2% for the second quarter of 2026, compared to 68.8% for the prior-year period, and 67.5% for the first six months of 2026, compared to 68.3% for the prior-year period. Gross profit as a percentage of revenue for our Nu Skin business increased 0.2 percentage points to 77.7% for the second quarter of 2026 and increased 0.2 percentage points to 77.3% for the first six months of 2026.</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Selling expenses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Selling expenses as a percentage of revenue increased to 33.7% for the second quarter of 2026, compared to 33.2% for the prior-year period, and increased to 34.0% for the first six months of 2026, compared to 32.9% for the prior-year period. Core Nu Skin selling expenses as a percentage of revenue decreased 0.2 percentage points to 39.8% for the second quarter of 2026 and increased 0.8 percentage points to 40.1% for the first six months of 2026. Selling expenses for our core Nu Skin business are driven by the specific performance of our individual Sales Leaders. Given the size of our sales force and the various components of our compensation and incentive programs, selling expenses as a percentage of revenue typically fluctuate plus or minus approximately 100 basis points from period to period. In the third quarter of 2026, we are holding our global Nu Skin LIVE! event in Japan. As a result of the global LIVE! event, we are anticipating an approximate incremental $5.0 million in selling expenses for the third quarter of 2026.</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General and administrative expenses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General and administrative expenses decreased to $90.8 million in the second quarter of 2026, compared to $106.7 million in the prior-year period, and decreased to $189.4 million in the first six months of 2026, compared to $219.9 million in the prior-year period. The $15.9 million decline for the second quarter is primarily from a $8.6 million contraction in labor expenses primarily from lower incentive compensation from a decline in performance and a $2.5 million decline in software and related contracts from continued cost management. The $30.5 million decline for the first half of 2026 is primarily from a $14.3 million reduction in labor expense and a $7.9 million decline in software and related contracts. General and administrative expenses as a percentage of revenue increased to 28.4% for the second quarter of 2026, from 27.6% for the prior-year period, and increased to 29.6% for the first six months of 2026, from 29.3% for the prior-year period. In the third quarter of 2026, we anticipate beginning to implement a re-alignment of our organizational resources. As a result of these changes, we are anticipating an approximate incremental $5.0 million in transition cost in the third quarter of 2026, primarily consisting of cash severance charges.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Impairment expenses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Intangibles and fixed asset impairment.</w:t>
      </w:r>
      <w:r>
        <w:rPr>
          <w:rFonts w:ascii="Times New Roman" w:hAnsi="Times New Roman"/>
          <w:color w:val="000000"/>
          <w:sz w:val="20"/>
          <w:shd w:fill="FFFFFF" w:val="clear"/>
        </w:rPr>
        <w:t xml:space="preserve"> During the three months ended March 31, 2025, we decided to make a strategic shift in how we operate the BeautyBio asset group. These strategic changes included exiting certain sales channels, which reduced the forecasted revenues for BeautyBio. We concluded these actions were an interim impairment triggering event that required us to perform an interim impairment analysis on our BeautyBio asset group. We assessed the recoverability of the related asset group comparing the carrying value to the undiscounted cash flows expected to be generated. The recoverability test indicated the asset group was impaired. We concluded that the carrying value of the asset group exceeded the estimated fair value, which resulted in an impairment charge of $25.1 million in our Rhyz Other segment during the three months ended March 31, 2025.</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During the three months ended March 31, 2026, we decided to wind down our separate BeautyBio business. As part of this exit, we incurred an impairment charge of $1.8 million.</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u w:val="single"/>
          <w:shd w:fill="FFFFFF" w:val="clear"/>
        </w:rPr>
        <w:t>Goodwill.</w:t>
      </w:r>
      <w:r>
        <w:rPr>
          <w:rFonts w:ascii="Times New Roman;Times;serif" w:hAnsi="Times New Roman;Times;serif"/>
          <w:color w:val="000000"/>
          <w:sz w:val="20"/>
          <w:shd w:fill="FFFFFF" w:val="clear"/>
        </w:rPr>
        <w:t xml:space="preserve"> During the three months ended June 30, 2026, we determined that the continued decline in our stock price and corresponding market capitalization as well as the decline in our manufacturing reporting unit’s forecast were triggering events that required us to perform a quantitative impairment analysis. When we performed an impairment test during the second quarter of 2026, we concluded the estimated fair value of the manufacturing reporting unit was less than the carrying value of equity as of June 30, 2026. As a result, we recorded a non-cash goodwill impairment charge of $78.9 million in the second quarter of 2026.</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Interest expense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Interest expense increased to $3.3 million in the second quarter of 2026, compared to $2.5 million in the prior-year period. Interest expense for the first six months of 2026 increased to $7.6 million compared to $5.8 million for the prior-year period. The increase is primarily due to our interest rate swap arrangements that we entered into in 2020 maturing on July 31, 2025, at which time our effective interest rate increased.</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Gain on sale of business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January 2025, we completed the sale of our Mavely entity for $230 million in cash and shares of the purchaser’s common stock, subject to certain adjustments as set forth in the purchase agreement, including post-closing determination of net working capital and other elements of purchase price. Following the completion of certain payments to other equity holders in Mavely and the payment of certain transaction expenses, we received $193.7 million of cash and equity interest with an estimated fair value of $6.1 million.  Following the finalization of net working capital, we received additional cash payments of $2.7 million and $1.7 million in the second and third quarter of 2025, respectively. In the first quarter of 2025, we recorded a pre-tax gain on disposition of $176.2 million.</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Other income (expense), net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Other income (expense), net was $(0.5) million for the second quarter of 2026 compared to $(0.8) million for the prior-year period, and $2.3 million for the first six months of 2026 compared to $(29.2) million for the prior-year period. In the first quarter of 2025, we recorded a $28.1 million unrealized loss on investment. See Note 8 to the consolidated financial statements contained in this report for more information on the unrealized equity investment and the associated loss.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Provision for income taxes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Provision for income taxes for the three- and six-month periods ended June 30, 2026 was $186.6 million and $187.4 million, respectively, compared to $6.3 million and $33.4 million for the prior-year periods. The effective tax rates for the three- and six-month periods ended June 30, 2026 were (295.4)% and (309.3)% of pre-tax income, respectively, compared to 23.0% and 20.6% in the prior-year periods. The change in the effective tax rate in the second quarter of 2026 is primarily due to the valuation allowance established on our U.S. deferred tax assets.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During the second quarter of 2026, we established a $167.5 million valuation allowance against its U.S. deferred tax assets as it was determined to be more likely than not that these assets will not be realized. This determination was made based on weighing all available evidence, positive and negative, including cumulative losses recognized in the U.S. entity over the past three years. These cumulative losses were mainly due to the impairment of goodwill and other intangibles assets. Therefore, we recorded a full valuation allowance against these U.S. deferred tax assets as of June 30, 2026.</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We completed the initial assessment of the OBBBA corporate tax provisions as they relate to our financial statements in the third quarter of 2025. The enactment of the OBBBA did not have a material impact to our income tax benefit for the three months ended June 30, 2026. We will continue to evaluate the impacts of OBBBA and do not expect the OBBBA to have a material impact to our total tax provision.</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u w:val="single"/>
          <w:shd w:fill="FFFFFF" w:val="clear"/>
        </w:rPr>
      </w:pPr>
      <w:r>
        <w:rPr>
          <w:rFonts w:ascii="Times New Roman" w:hAnsi="Times New Roman"/>
          <w:b/>
          <w:color w:val="000000"/>
          <w:sz w:val="20"/>
          <w:u w:val="single"/>
          <w:shd w:fill="FFFFFF" w:val="clear"/>
        </w:rPr>
        <w:t>Net income (loss)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a result of the foregoing factors, net income for the second quarter of 2026 was $(249.8) million compared to $21.1 million in the prior-year period. Net income for the first six months of 2026 was $(248.0) million, compared to $128.6 million for the first six months of 2025.</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Liquidity and Capital Resources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Historically, our principal uses of cash have included operating expenses (particularly selling expenses) and working capital (principally inventory purchases), as well as capital expenditures, stock repurchases, dividends, and debt repayment. We have at times incurred long-term debt, or drawn on our revolving line of credit, to fund strategic transactions, stock repurchases, capital investments and short-term operating needs. We typically generate positive cash flow from operations due to favorable margins and have generally relied on cash from operations to fund operating activities. In the first six months of 2026, we generated $6.7 million in cash from operations, compared to $36.2 million in the prior-year period. The decrease in cash flow from operations primarily reflects incremental inventory purchases. Cash and cash equivalents, including current investments, as of June 30, 2026 and December 31, 2025 were $191.4 million and $239.8 million, respectively, with the decrease being primarily driven by $19.4 million of capital expenditures, $10.0 million in net debt payments, $6.5 million for the purchase of noncontrolling interest in LifeDNA, $5.8 million of dividend payments and $5.0 million in share repurchases.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Working capital</w:t>
      </w:r>
      <w:r>
        <w:rPr>
          <w:rFonts w:ascii="Times New Roman" w:hAnsi="Times New Roman"/>
          <w:color w:val="000000"/>
          <w:sz w:val="20"/>
          <w:shd w:fill="FFFFFF" w:val="clear"/>
        </w:rPr>
        <w:t>. As of June 30, 2026, working capital was $251.8 million, compared to $284.0 million as of December 31, 2025. Our decrease in working capital is primarily attributable to changes in our cash balance as explained above.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Capital expenditures</w:t>
      </w:r>
      <w:r>
        <w:rPr>
          <w:rFonts w:ascii="Times New Roman" w:hAnsi="Times New Roman"/>
          <w:color w:val="000000"/>
          <w:sz w:val="20"/>
          <w:shd w:fill="FFFFFF" w:val="clear"/>
        </w:rPr>
        <w:t>. Capital expenditures for the six months ended June 30, 2026 were $19.4 million. We expect that our capital expenditures in 2026 will be primarily related to:</w:t>
      </w:r>
    </w:p>
    <w:p>
      <w:pPr>
        <w:pStyle w:val="TextBody"/>
        <w:bidi w:val="0"/>
        <w:spacing w:before="0" w:after="0"/>
        <w:jc w:val="left"/>
        <w:rPr/>
      </w:pPr>
      <w:r>
        <w:rPr/>
      </w:r>
    </w:p>
    <w:tbl>
      <w:tblPr>
        <w:tblW w:w="5898" w:type="dxa"/>
        <w:jc w:val="left"/>
        <w:tblInd w:w="0" w:type="dxa"/>
        <w:tblLayout w:type="fixed"/>
        <w:tblCellMar>
          <w:top w:w="0" w:type="dxa"/>
          <w:left w:w="0" w:type="dxa"/>
          <w:bottom w:w="0" w:type="dxa"/>
          <w:right w:w="0" w:type="dxa"/>
        </w:tblCellMar>
      </w:tblPr>
      <w:tblGrid>
        <w:gridCol w:w="68"/>
        <w:gridCol w:w="200"/>
        <w:gridCol w:w="5630"/>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w:t>
            </w:r>
          </w:p>
        </w:tc>
        <w:tc>
          <w:tcPr>
            <w:tcW w:w="5630" w:type="dxa"/>
            <w:tcBorders/>
            <w:vAlign w:val="center"/>
          </w:tcPr>
          <w:p>
            <w:pPr>
              <w:pStyle w:val="TableContents"/>
              <w:bidi w:val="0"/>
              <w:spacing w:before="0" w:after="0"/>
              <w:jc w:val="both"/>
              <w:rPr>
                <w:color w:val="000000"/>
              </w:rPr>
            </w:pPr>
            <w:r>
              <w:rPr>
                <w:color w:val="000000"/>
              </w:rPr>
              <w:t>Rhyz plant expansion to increase capacity and capabilities;</w:t>
            </w:r>
          </w:p>
        </w:tc>
      </w:tr>
    </w:tbl>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0"/>
              <w:jc w:val="both"/>
              <w:rPr>
                <w:color w:val="000000"/>
              </w:rPr>
            </w:pPr>
            <w:r>
              <w:rPr>
                <w:color w:val="000000"/>
              </w:rPr>
              <w:t>purchases and expenditures for computer systems and equipment, software, and application development; and</w:t>
            </w:r>
          </w:p>
        </w:tc>
      </w:tr>
    </w:tbl>
    <w:tbl>
      <w:tblPr>
        <w:tblW w:w="6213" w:type="dxa"/>
        <w:jc w:val="left"/>
        <w:tblInd w:w="0" w:type="dxa"/>
        <w:tblLayout w:type="fixed"/>
        <w:tblCellMar>
          <w:top w:w="0" w:type="dxa"/>
          <w:left w:w="0" w:type="dxa"/>
          <w:bottom w:w="0" w:type="dxa"/>
          <w:right w:w="0" w:type="dxa"/>
        </w:tblCellMar>
      </w:tblPr>
      <w:tblGrid>
        <w:gridCol w:w="68"/>
        <w:gridCol w:w="200"/>
        <w:gridCol w:w="5945"/>
      </w:tblGrid>
      <w:tr>
        <w:trPr/>
        <w:tc>
          <w:tcPr>
            <w:tcW w:w="6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pPr>
            <w:r>
              <w:rPr/>
              <w:t>●</w:t>
            </w:r>
          </w:p>
        </w:tc>
        <w:tc>
          <w:tcPr>
            <w:tcW w:w="5945" w:type="dxa"/>
            <w:tcBorders/>
            <w:vAlign w:val="center"/>
          </w:tcPr>
          <w:p>
            <w:pPr>
              <w:pStyle w:val="TableContents"/>
              <w:bidi w:val="0"/>
              <w:spacing w:before="0" w:after="0"/>
              <w:jc w:val="both"/>
              <w:rPr>
                <w:color w:val="000000"/>
              </w:rPr>
            </w:pPr>
            <w:r>
              <w:rPr>
                <w:color w:val="000000"/>
              </w:rPr>
              <w:t>the expansion and upgrade of facilities in our various markets.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estimate that capital expenditures for the uses listed above will total approximately $40–60 million for 2026.</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2022 Credit Agreement</w:t>
      </w:r>
      <w:r>
        <w:rPr>
          <w:rFonts w:ascii="Times New Roman" w:hAnsi="Times New Roman"/>
          <w:color w:val="000000"/>
          <w:sz w:val="20"/>
          <w:shd w:fill="FFFFFF" w:val="clear"/>
        </w:rPr>
        <w:t>. On June 14, 2022, we entered into an Amended and Restated 2022 Credit Agreement (the “2022 Credit Agreement”) with various financial institutions as lenders and Bank of America, N.A., as administrative agent. The 2022 Credit Agreement provided for a $400.0 million term loan facility and a $500.0 million revolving credit facility, each with a term of five years. We used the proceeds of the term loan and the draw on the revolving facility to pay off the 2018 Credit Agreement. The interest rate applicable to the facilities was subject to adjustments based on our consolidated leverage ratio. The term loan facility amortized in quarterly installments in amounts resulting in an annual amortization of 2.5% during the first year and 5.0% during the subsequent years after the closing date of the 2022 Credit Agreement, with the remainder payable at final maturity. As of December 31, 2025, we had $0.0 million of outstanding borrowings under our revolving credit facility, and $225.0 million on our term loan facility. The carrying value of the debt also reflected debt issuance costs of $0.8 million as of December 31, 2025, related to the 2022 Credit Agreement. The 2022 Credit Agreement required us to maintain a consolidated leverage ratio not exceeding 2.75 to 1.00 and a consolidated interest coverage ratio of no less than 3.00 to 1.00. As of December 31, 2025, we were in compliance with all debt covenants under the 2022 Credit Agreement.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Credit Agreement.</w:t>
      </w:r>
      <w:r>
        <w:rPr>
          <w:rFonts w:ascii="Times New Roman" w:hAnsi="Times New Roman"/>
          <w:color w:val="000000"/>
          <w:sz w:val="20"/>
          <w:shd w:fill="FFFFFF" w:val="clear"/>
        </w:rPr>
        <w:t xml:space="preserve"> On March 27, 2026, the Company entered into an Amended and Restated Credit Agreement (the “Credit Agreement”) with several financial institutions as lenders and Bank of America, N.A., as administrative agent, which amended and restated the 2022 Credit Agreement. The Credit Agreement provides for a $175.0 million term loan facility and a $75.0 million revolving credit facility, each with a term of five years. Both facilities bear interest at the SOFR, plus a margin based on the Company’s consolidated leverage ratio. Commitment fees payable under the Credit Agreement are also based on the consolidated leverage ratio as defined in the Credit Agreement and range from 0.175% to 0.30% on the unused portion of the total lender commitments then in effect. The term loan facility will amortize in equal quarterly installments in amounts resulting in an annual amortization of $20.0 million per annum, with the remainder payable at final maturity. The Credit Agreement is guaranteed by certain of the Company’s domestic subsidiaries and collateralized by assets of such subsidiaries, including a pledge of 65% of the capital stock of certain foreign subsidiaries. As of June 30, 2026, we had $45.0 million of outstanding borrowings under our revolving credit facility, and $170.0 million on our term loan facility. The carrying value of the debt also reflected debt issuance costs of $1.3 million as of June 30, 2026, related to the Credit Agreement. The Credit Agreement requires the Company to maintain a consolidated leverage ratio not exceeding 2.25 to 1.00 and a consolidated interest coverage ratio of no less than 3.00 to 1.00.</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Credit Agreement also includes other covenants, including covenants that, subject to certain exceptions, restrict the ability of the Company and its subsidiaries (i) to create, incur, assume or permit to exist any liens, (ii) to incur additional indebtedness, (iii) to make investments and acquisitions, (iv) to enter into mergers, consolidations or similar transactions, (v) to make certain dispositions of assets, (vi) to make dividends, distributions and prepayments of certain indebtedness, (vii) to change the nature of the Company’s business, (viii) to enter into certain transactions with affiliates, (ix) to enter into certain burdensome agreements, (x) to make certain amendments to certain agreements and organizational documents and (xi) to make certain accounting changes.</w:t>
      </w:r>
    </w:p>
    <w:p>
      <w:pPr>
        <w:pStyle w:val="TextBody"/>
        <w:bidi w:val="0"/>
        <w:spacing w:before="0" w:after="0"/>
        <w:jc w:val="both"/>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June 30, 2026, the Company was in compliance with all covenants under the Credit Agreement.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Derivative Instruments</w:t>
      </w:r>
      <w:r>
        <w:rPr>
          <w:rFonts w:ascii="Times New Roman" w:hAnsi="Times New Roman"/>
          <w:color w:val="000000"/>
          <w:sz w:val="20"/>
          <w:shd w:fill="FFFFFF" w:val="clear"/>
        </w:rPr>
        <w:t>. During the third quarter of 2025, we had four interest rate swaps mature, with a total notional principal amount of $200 million. We entered into these interest rate swap arrangements during the third quarter of 2020 to hedge the variable cash flows associated with our variable-rate debt under the Credit Agreement.</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u w:val="single"/>
          <w:shd w:fill="FFFFFF" w:val="clear"/>
        </w:rPr>
        <w:t>Stock repurchase plan</w:t>
      </w:r>
      <w:r>
        <w:rPr>
          <w:rFonts w:ascii="Times New Roman;Times;serif" w:hAnsi="Times New Roman;Times;serif"/>
          <w:color w:val="000000"/>
          <w:sz w:val="20"/>
          <w:shd w:fill="FFFFFF" w:val="clear"/>
        </w:rPr>
        <w:t>. In 2018, our board of directors approved a stock repurchase plan authorizing us to repurchase up to $500.0 million of our outstanding shares of Class A common stock on the open market or in private transactions. During the second quarter of 2026, we repurchased no shares of our Class A common stock under the plan. As of June 30, 2026, $137.3 million was available for repurchases under the plan. Our stock repurchases are used primarily to offset dilution from our equity incentive plans and for strategic initiatives.</w:t>
      </w:r>
    </w:p>
    <w:p>
      <w:pPr>
        <w:pStyle w:val="TextBody"/>
        <w:bidi w:val="0"/>
        <w:spacing w:before="0" w:after="0"/>
        <w:jc w:val="both"/>
        <w:rPr/>
      </w:pPr>
      <w:r>
        <w:rPr/>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u w:val="single"/>
          <w:shd w:fill="FFFFFF" w:val="clear"/>
        </w:rPr>
        <w:t>Dividends</w:t>
      </w:r>
      <w:r>
        <w:rPr>
          <w:rFonts w:ascii="Times New Roman;Times;serif" w:hAnsi="Times New Roman;Times;serif"/>
          <w:color w:val="000000"/>
          <w:sz w:val="20"/>
          <w:shd w:fill="FFFFFF" w:val="clear"/>
        </w:rPr>
        <w:t>. In February 2026, our board of directors declared quarterly cash dividends of $0.06 per share. This quarterly cash dividend of $2.9 million was paid on March 11, 2026 to stockholders of record on February 27, 2026. In May 2026, our board of directors declared quarterly cash dividends of $0.06 per share. This quarterly cash dividend of $2.9 million was paid on June 10, 2026 to stockholders of record on May 29, 2026. In August 2026, our board of directors declared a quarterly cash dividend of $0.06 per share to be paid on September 9, 2026 to stockholders of record on August 28, 2026. Currently, we anticipate that our board of directors will continue to declare quarterly cash dividends and that the cash flows from operations will be sufficient to fund our future dividend payments. However, the continued declaration of dividends is subject to the discretion of our board of directors and will depend upon various factors, including our net earnings, financial condition, cash requirements, future prospects and other relevant factors.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u w:val="single"/>
          <w:shd w:fill="FFFFFF" w:val="clear"/>
        </w:rPr>
        <w:t>Cash from foreign subsidiaries</w:t>
      </w:r>
      <w:r>
        <w:rPr>
          <w:rFonts w:ascii="Times New Roman" w:hAnsi="Times New Roman"/>
          <w:color w:val="000000"/>
          <w:sz w:val="20"/>
          <w:shd w:fill="FFFFFF" w:val="clear"/>
        </w:rPr>
        <w:t>. As of June 30, 2026 and December 31, 2025, we held $191.4 million and $239.8 million, respectively, in cash and cash equivalents, including current investments. These amounts include $150.2 million and $170.7 million as of June 30, 2026 and December 31, 2025, respectively, held in our operations outside of the U.S. Substantially all of our non-U.S. cash and cash equivalents are readily convertible into U.S. dollars or other currencies, subject to procedural or other requirements in certain markets, as well as an indefinite-reinvestment designation, as described below.</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typically fund the cash requirements of our operations in the U.S. through intercompany dividends, intercompany loans and intercompany charges for products, use of intangible property, and corporate services. However, some markets impose government-approval or other requirements for the repatriation of dividends. For example, in Mainland China, we are unable to repatriate cash from current operations in the form of dividends until we file the necessary statutory financial statements for the relevant period. As of June 30, 2026, we had $41.5 million in cash denominated in Chinese RMB. We also have experienced delays in repatriating cash from Argentina. As of June 30, 2026 and December 31, 2025, we had $31.1 million and $23.9 million, respectively, in intercompany receivables with our Argentina subsidiary. We also have intercompany loan arrangements in some of our markets, including Mainland China, that allow us to access available cash, subject to certain limits in Mainland China and other jurisdictions. We also have drawn on our revolving line of credit to address cash needs until we can repatriate cash from Mainland China or other markets, and we may continue to do so. Except for $60.0 million of earnings in Mainland China that we designated as indefinitely reinvested during the second quarter of 2018, we currently plan to repatriate undistributed earnings from our non-U.S. operations as necessary, considering the cash needs of our non-U.S. operations and the cash needs of our U.S. operations for dividends, stock repurchases, capital investments, debt repayment and strategic transactions. Repatriation of non-U.S. earnings is subject to withholding taxes in certain foreign jurisdictions. Accordingly, we have accrued the necessary withholding taxes related to the non-U.S. earnings.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currently believe that existing cash balances, future cash flows from operations and existing lines of credit will be adequate to fund our cash needs on both a short- and long-term basis. The majority of our historical expenses have been variable in nature, and as such, a potential reduction in the level of revenue would reduce our cash flow needs. In the event that our current cash balances, future cash flow from operations and current lines of credit are not sufficient to meet our obligations or strategic needs, we would consider raising additional funds in the debt or equity markets or restructuring our current debt obligations. Additionally, we would consider realigning our strategic plans, including a reduction in capital spending, stock repurchases or dividend payments.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Contingent Liabilities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Please refer to Note 12 to the consolidated financial statements contained in this Quarterly Report for information regarding our contingent liabilities.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Critical Accounting Policies and Estimates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There were no significant changes in our critical accounting policies or estimates during the second quarter of 2026.</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Seasonality and Cyclicality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addition to general economic factors, we are impacted by seasonal factors and trends such as major cultural events and vacation patterns. For example, most Asian markets celebrate their respective local New Year in the first quarter, which generally has a negative impact on that quarter. We believe that direct selling is also generally negatively impacted during the third quarter, when many individuals, including our sales force, traditionally take vacations.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Prior to making a product generally available for purchase in a market, we often do one or more introductory offerings of the product, such as a preview of the product to our Sales Leaders or other product introduction or promotion. These offerings sometimes generate significant activity and a high level of purchasing, which can result in a higher-than-normal increase in revenue, Sales Leaders, Paid Affiliates and/or Customers during the quarter and can skew year-over-year and sequential comparisons.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Non-GAAP Financial Measures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Constant-currency revenue change is a non-GAAP financial measure that removes the impact of fluctuations in foreign-currency exchange rates, thereby facilitating period-to-period comparisons of the Company’s performance. It is calculated by translating the current period’s revenue at the same average exchange rates in effect during the applicable prior-year period and then comparing that amount to the prior-year period’s revenue. We believe that constant-currency revenue change is useful to investors, lenders and analysts because such information enables them to gauge the impact of foreign-currency fluctuations on our revenue from period to period.</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Available Information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website address is www.nuskin.com. We make available, free of charge on our Investor Relations website, ir.nuskin.com, our Annual Reports on Form 10-K, Quarterly Reports on Form 10-Q, Current Reports on Form 8-K, and amendments to those reports filed or furnished pursuant to Section 13(a) or 15(d) of the Securities Exchange Act of 1934 as soon as reasonably practicable after we electronically file such material with, or furnish it to, the Securities and Exchange Commission.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also use our Investor Relations website, ir.nuskin.com, as a channel of distribution of additional Company information that may be deemed material. Accordingly, investors should monitor this channel, in addition to following our press releases, Securities and Exchange Commission filings and public conference calls and webcasts. The contents of our website shall not be deemed to be incorporated herein by reference.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Normal"/>
        <w:bidi w:val="0"/>
        <w:spacing w:before="0" w:after="0"/>
        <w:jc w:val="left"/>
        <w:rPr>
          <w:sz w:val="4"/>
          <w:szCs w:val="4"/>
        </w:rPr>
      </w:pPr>
      <w:r>
        <w:rPr>
          <w:sz w:val="4"/>
          <w:szCs w:val="4"/>
        </w:rPr>
      </w:r>
      <w:bookmarkStart w:id="15" w:name="QUANTITATIVEANDQUALITATIV"/>
      <w:bookmarkStart w:id="16" w:name="QUANTITATIVEANDQUALITATIV"/>
      <w:bookmarkEnd w:id="16"/>
    </w:p>
    <w:tbl>
      <w:tblPr>
        <w:tblW w:w="9880" w:type="dxa"/>
        <w:jc w:val="left"/>
        <w:tblInd w:w="0" w:type="dxa"/>
        <w:tblLayout w:type="fixed"/>
        <w:tblCellMar>
          <w:top w:w="0" w:type="dxa"/>
          <w:left w:w="0" w:type="dxa"/>
          <w:bottom w:w="0" w:type="dxa"/>
          <w:right w:w="0" w:type="dxa"/>
        </w:tblCellMar>
      </w:tblPr>
      <w:tblGrid>
        <w:gridCol w:w="950"/>
        <w:gridCol w:w="8930"/>
      </w:tblGrid>
      <w:tr>
        <w:trPr/>
        <w:tc>
          <w:tcPr>
            <w:tcW w:w="950" w:type="dxa"/>
            <w:tcBorders/>
            <w:vAlign w:val="center"/>
          </w:tcPr>
          <w:p>
            <w:pPr>
              <w:pStyle w:val="TableContents"/>
              <w:bidi w:val="0"/>
              <w:spacing w:before="0" w:after="283"/>
              <w:jc w:val="left"/>
              <w:rPr>
                <w:b/>
              </w:rPr>
            </w:pPr>
            <w:r>
              <w:rPr>
                <w:b/>
              </w:rPr>
              <w:t>ITEM 3.</w:t>
            </w:r>
          </w:p>
        </w:tc>
        <w:tc>
          <w:tcPr>
            <w:tcW w:w="8930" w:type="dxa"/>
            <w:tcBorders/>
            <w:vAlign w:val="center"/>
          </w:tcPr>
          <w:p>
            <w:pPr>
              <w:pStyle w:val="TableContents"/>
              <w:bidi w:val="0"/>
              <w:spacing w:before="0" w:after="0"/>
              <w:jc w:val="left"/>
              <w:rPr>
                <w:b/>
              </w:rPr>
            </w:pPr>
            <w:r>
              <w:rPr>
                <w:b/>
              </w:rPr>
              <w:t>QUANTITATIVE AND QUALITATIVE DISCLOSURES ABOUT MARKET RISK</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Currency Risk and Exchange Rate Information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 majority of our revenue and many of our expenses are recognized outside of the United States, except for inventory purchases, a significant portion of which are primarily transacted in U.S. dollars from vendors in the United States. The local currency of each of our Subsidiaries’ primary markets is considered the functional currency with the exception of our Asia product-distribution subsidiary in Singapore and, as discussed below, our subsidiary in Argentina. All revenue and expenses are translated at weighted-average exchange rates for the periods reported. Therefore, our reported revenue and earnings will be positively impacted by a weakening of the U.S. dollar and will be negatively impacted by a strengthening of the U.S. dollar. These impacts may be significant because a large portion of our business is derived from outside of the United States. Given the uncertainty of exchange rate fluctuations, it is difficult to predict the effect of these fluctuations on our future business, product pricing and results of operations or financial condition.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the second quarter of 2018, published inflation indices indicated that the three-year cumulative inflation in Argentina exceeded 100 percent, and as of July 1, 2018, we elected to adopt highly inflationary accounting for our subsidiary in Argentina. Under highly inflationary accounting, the functional currency for our subsidiary in Argentina became the U.S. dollar, and the income statement and balance sheet for this subsidiary have been measured in U.S. dollars using both current and historical rates of exchange. The effect of changes in exchange rates on peso-denominated monetary assets and liabilities has been reflected in earnings in Other income (expense), net and was not material. As of June 30, 2026, our subsidiary in Argentina had a small net peso monetary position. Net sales of our subsidiary in Argentina were less than 4% of our consolidated net sales for the six-month periods ended June 30, 2026.</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may seek to reduce our exposure to fluctuations in foreign currency exchange rates through the use of foreign currency exchange contracts and through intercompany loans of foreign currency. We do not use derivative financial instruments for trading or speculative purposes. We regularly monitor our foreign currency risks and periodically take measures to reduce the impact of foreign exchange fluctuations on our operating results. As of June 30, 2026 and 2025, we did not hold material non-designated mark-to-market forward derivative contracts to hedge foreign denominated intercompany positions or third party foreign debt. As of June 30, 2026 and 2025, we did not hold any material forward contracts designated as foreign currency cash flow hedges. We continue to evaluate our foreign currency hedging policy.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 additional information about our market risk see Note 10 to the consolidated financial statements contained in this Quarterly Report.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7" w:name="CONTROLSANDPROCEDURES"/>
      <w:bookmarkStart w:id="18" w:name="CONTROLSANDPROCEDURES"/>
      <w:bookmarkEnd w:id="18"/>
    </w:p>
    <w:tbl>
      <w:tblPr>
        <w:tblW w:w="4765" w:type="dxa"/>
        <w:jc w:val="left"/>
        <w:tblInd w:w="0" w:type="dxa"/>
        <w:tblLayout w:type="fixed"/>
        <w:tblCellMar>
          <w:top w:w="0" w:type="dxa"/>
          <w:left w:w="0" w:type="dxa"/>
          <w:bottom w:w="0" w:type="dxa"/>
          <w:right w:w="0" w:type="dxa"/>
        </w:tblCellMar>
      </w:tblPr>
      <w:tblGrid>
        <w:gridCol w:w="950"/>
        <w:gridCol w:w="3815"/>
      </w:tblGrid>
      <w:tr>
        <w:trPr/>
        <w:tc>
          <w:tcPr>
            <w:tcW w:w="950" w:type="dxa"/>
            <w:tcBorders/>
            <w:vAlign w:val="center"/>
          </w:tcPr>
          <w:p>
            <w:pPr>
              <w:pStyle w:val="TableContents"/>
              <w:bidi w:val="0"/>
              <w:spacing w:before="0" w:after="283"/>
              <w:jc w:val="left"/>
              <w:rPr>
                <w:b/>
              </w:rPr>
            </w:pPr>
            <w:r>
              <w:rPr>
                <w:b/>
              </w:rPr>
              <w:t>ITEM 4.</w:t>
            </w:r>
          </w:p>
        </w:tc>
        <w:tc>
          <w:tcPr>
            <w:tcW w:w="3815" w:type="dxa"/>
            <w:tcBorders/>
            <w:vAlign w:val="center"/>
          </w:tcPr>
          <w:p>
            <w:pPr>
              <w:pStyle w:val="TableContents"/>
              <w:bidi w:val="0"/>
              <w:spacing w:before="0" w:after="0"/>
              <w:jc w:val="left"/>
              <w:rPr>
                <w:b/>
                <w:u w:val="single"/>
              </w:rPr>
            </w:pPr>
            <w:r>
              <w:rPr>
                <w:b/>
                <w:u w:val="single"/>
              </w:rPr>
              <w:t>CONTROLS AND PROCEDURES</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Evaluation of Disclosure Controls and Procedures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the end of the period covered by this Quarterly Report, under the supervision and with the participation of our management, including our Chief Executive Officer (“CEO”) and Chief Financial Officer (“CFO”), we evaluated the effectiveness of the design and operation of our disclosure controls and procedures (as such term is defined in Rule 13a-15(e) under the Securities Exchange Act of 1934, as amended (the “Exchange Act”)). Based on that evaluation, our CEO and our CFO concluded that our disclosure controls and procedures were effective as of June 30, 2026.</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Changes in Internal Controls Over Financial Reporting.</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We made no changes in our internal control over financial reporting (as defined in Rule 13a-15(f) under the Exchange Act) during the fiscal quarter ended June 30, 2026 that materially affected, or are reasonably likely to materially affect, our internal control over financial reporting.</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PART II. OTHER INFORMATION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9" w:name="ITEM1."/>
      <w:bookmarkStart w:id="20" w:name="ITEM1."/>
      <w:bookmarkEnd w:id="20"/>
    </w:p>
    <w:tbl>
      <w:tblPr>
        <w:tblW w:w="3745" w:type="dxa"/>
        <w:jc w:val="left"/>
        <w:tblInd w:w="0" w:type="dxa"/>
        <w:tblLayout w:type="fixed"/>
        <w:tblCellMar>
          <w:top w:w="0" w:type="dxa"/>
          <w:left w:w="0" w:type="dxa"/>
          <w:bottom w:w="0" w:type="dxa"/>
          <w:right w:w="0" w:type="dxa"/>
        </w:tblCellMar>
      </w:tblPr>
      <w:tblGrid>
        <w:gridCol w:w="950"/>
        <w:gridCol w:w="2795"/>
      </w:tblGrid>
      <w:tr>
        <w:trPr/>
        <w:tc>
          <w:tcPr>
            <w:tcW w:w="950" w:type="dxa"/>
            <w:tcBorders/>
            <w:vAlign w:val="center"/>
          </w:tcPr>
          <w:p>
            <w:pPr>
              <w:pStyle w:val="TableContents"/>
              <w:bidi w:val="0"/>
              <w:spacing w:before="0" w:after="283"/>
              <w:jc w:val="left"/>
              <w:rPr>
                <w:b/>
              </w:rPr>
            </w:pPr>
            <w:r>
              <w:rPr>
                <w:b/>
              </w:rPr>
              <w:t>ITEM 1.</w:t>
            </w:r>
          </w:p>
        </w:tc>
        <w:tc>
          <w:tcPr>
            <w:tcW w:w="2795" w:type="dxa"/>
            <w:tcBorders/>
            <w:vAlign w:val="center"/>
          </w:tcPr>
          <w:p>
            <w:pPr>
              <w:pStyle w:val="TableContents"/>
              <w:bidi w:val="0"/>
              <w:spacing w:before="0" w:after="0"/>
              <w:jc w:val="left"/>
              <w:rPr>
                <w:b/>
                <w:u w:val="single"/>
              </w:rPr>
            </w:pPr>
            <w:r>
              <w:rPr>
                <w:b/>
                <w:u w:val="single"/>
              </w:rPr>
              <w:t>LEGAL PROCEEDINGS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From time to time, we are involved in legal proceedings arising in the ordinary course of business.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1" w:name="ITEM1A."/>
      <w:bookmarkStart w:id="22" w:name="ITEM1A."/>
      <w:bookmarkEnd w:id="22"/>
    </w:p>
    <w:tbl>
      <w:tblPr>
        <w:tblW w:w="3040" w:type="dxa"/>
        <w:jc w:val="left"/>
        <w:tblInd w:w="0" w:type="dxa"/>
        <w:tblLayout w:type="fixed"/>
        <w:tblCellMar>
          <w:top w:w="0" w:type="dxa"/>
          <w:left w:w="0" w:type="dxa"/>
          <w:bottom w:w="0" w:type="dxa"/>
          <w:right w:w="0" w:type="dxa"/>
        </w:tblCellMar>
      </w:tblPr>
      <w:tblGrid>
        <w:gridCol w:w="1130"/>
        <w:gridCol w:w="1910"/>
      </w:tblGrid>
      <w:tr>
        <w:trPr/>
        <w:tc>
          <w:tcPr>
            <w:tcW w:w="1130" w:type="dxa"/>
            <w:tcBorders/>
            <w:vAlign w:val="center"/>
          </w:tcPr>
          <w:p>
            <w:pPr>
              <w:pStyle w:val="TableContents"/>
              <w:bidi w:val="0"/>
              <w:spacing w:before="0" w:after="283"/>
              <w:jc w:val="left"/>
              <w:rPr>
                <w:b/>
              </w:rPr>
            </w:pPr>
            <w:r>
              <w:rPr>
                <w:b/>
              </w:rPr>
              <w:t>ITEM 1A.</w:t>
            </w:r>
          </w:p>
        </w:tc>
        <w:tc>
          <w:tcPr>
            <w:tcW w:w="1910" w:type="dxa"/>
            <w:tcBorders/>
            <w:vAlign w:val="center"/>
          </w:tcPr>
          <w:p>
            <w:pPr>
              <w:pStyle w:val="TableContents"/>
              <w:bidi w:val="0"/>
              <w:spacing w:before="0" w:after="0"/>
              <w:jc w:val="left"/>
              <w:rPr>
                <w:b/>
                <w:u w:val="single"/>
              </w:rPr>
            </w:pPr>
            <w:r>
              <w:rPr>
                <w:b/>
                <w:u w:val="single"/>
              </w:rPr>
              <w:t>RISK FACTORS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There have been no material changes from the risk factors previously disclosed in our Annual Report on Form 10-K for the 2025 fiscal year.</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3" w:name="ITEM2."/>
      <w:bookmarkStart w:id="24" w:name="ITEM2."/>
      <w:bookmarkEnd w:id="24"/>
    </w:p>
    <w:tbl>
      <w:tblPr>
        <w:tblW w:w="9730" w:type="dxa"/>
        <w:jc w:val="left"/>
        <w:tblInd w:w="0" w:type="dxa"/>
        <w:tblLayout w:type="fixed"/>
        <w:tblCellMar>
          <w:top w:w="0" w:type="dxa"/>
          <w:left w:w="0" w:type="dxa"/>
          <w:bottom w:w="0" w:type="dxa"/>
          <w:right w:w="0" w:type="dxa"/>
        </w:tblCellMar>
      </w:tblPr>
      <w:tblGrid>
        <w:gridCol w:w="950"/>
        <w:gridCol w:w="8780"/>
      </w:tblGrid>
      <w:tr>
        <w:trPr/>
        <w:tc>
          <w:tcPr>
            <w:tcW w:w="950" w:type="dxa"/>
            <w:tcBorders/>
            <w:vAlign w:val="center"/>
          </w:tcPr>
          <w:p>
            <w:pPr>
              <w:pStyle w:val="TableContents"/>
              <w:bidi w:val="0"/>
              <w:spacing w:before="0" w:after="283"/>
              <w:jc w:val="left"/>
              <w:rPr>
                <w:b/>
              </w:rPr>
            </w:pPr>
            <w:r>
              <w:rPr>
                <w:b/>
              </w:rPr>
              <w:t>ITEM 2.</w:t>
            </w:r>
          </w:p>
        </w:tc>
        <w:tc>
          <w:tcPr>
            <w:tcW w:w="8780" w:type="dxa"/>
            <w:tcBorders/>
            <w:vAlign w:val="center"/>
          </w:tcPr>
          <w:p>
            <w:pPr>
              <w:pStyle w:val="TableContents"/>
              <w:bidi w:val="0"/>
              <w:spacing w:before="0" w:after="0"/>
              <w:jc w:val="left"/>
              <w:rPr>
                <w:b/>
                <w:u w:val="single"/>
              </w:rPr>
            </w:pPr>
            <w:r>
              <w:rPr>
                <w:b/>
                <w:u w:val="single"/>
              </w:rPr>
              <w:t>UNREGISTERED SALES OF EQUITY SECURITIES AND USE OF PROCEEDS</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Purchases of Equity Securities by the Issuer</w:t>
      </w:r>
    </w:p>
    <w:p>
      <w:pPr>
        <w:pStyle w:val="TextBody"/>
        <w:bidi w:val="0"/>
        <w:spacing w:before="0" w:after="0"/>
        <w:jc w:val="left"/>
        <w:rPr/>
      </w:pPr>
      <w:r>
        <w:rPr/>
      </w:r>
    </w:p>
    <w:tbl>
      <w:tblPr>
        <w:tblW w:w="9322" w:type="dxa"/>
        <w:jc w:val="left"/>
        <w:tblInd w:w="0" w:type="dxa"/>
        <w:tblLayout w:type="fixed"/>
        <w:tblCellMar>
          <w:top w:w="0" w:type="dxa"/>
          <w:left w:w="0" w:type="dxa"/>
          <w:bottom w:w="0" w:type="dxa"/>
          <w:right w:w="0" w:type="dxa"/>
        </w:tblCellMar>
      </w:tblPr>
      <w:tblGrid>
        <w:gridCol w:w="1775"/>
        <w:gridCol w:w="90"/>
        <w:gridCol w:w="468"/>
        <w:gridCol w:w="662"/>
        <w:gridCol w:w="90"/>
        <w:gridCol w:w="90"/>
        <w:gridCol w:w="633"/>
        <w:gridCol w:w="466"/>
        <w:gridCol w:w="90"/>
        <w:gridCol w:w="90"/>
        <w:gridCol w:w="795"/>
        <w:gridCol w:w="1114"/>
        <w:gridCol w:w="90"/>
        <w:gridCol w:w="90"/>
        <w:gridCol w:w="509"/>
        <w:gridCol w:w="2135"/>
        <w:gridCol w:w="135"/>
      </w:tblGrid>
      <w:tr>
        <w:trPr/>
        <w:tc>
          <w:tcPr>
            <w:tcW w:w="17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bottom"/>
          </w:tcPr>
          <w:p>
            <w:pPr>
              <w:pStyle w:val="TableContents"/>
              <w:bidi w:val="0"/>
              <w:spacing w:before="0" w:after="0"/>
              <w:jc w:val="center"/>
              <w:rPr>
                <w:b/>
              </w:rPr>
            </w:pPr>
            <w:r>
              <w:rPr>
                <w:b/>
              </w:rPr>
              <w:t>(a)</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bottom"/>
          </w:tcPr>
          <w:p>
            <w:pPr>
              <w:pStyle w:val="TableContents"/>
              <w:bidi w:val="0"/>
              <w:spacing w:before="0" w:after="0"/>
              <w:jc w:val="center"/>
              <w:rPr>
                <w:b/>
              </w:rPr>
            </w:pPr>
            <w:r>
              <w:rPr>
                <w:b/>
              </w:rPr>
              <w:t>(b)</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09" w:type="dxa"/>
            <w:gridSpan w:val="2"/>
            <w:tcBorders>
              <w:bottom w:val="single" w:sz="12" w:space="0" w:color="000000"/>
            </w:tcBorders>
            <w:tcMar>
              <w:bottom w:w="28" w:type="dxa"/>
            </w:tcMar>
            <w:vAlign w:val="bottom"/>
          </w:tcPr>
          <w:p>
            <w:pPr>
              <w:pStyle w:val="TableContents"/>
              <w:bidi w:val="0"/>
              <w:spacing w:before="0" w:after="0"/>
              <w:jc w:val="center"/>
              <w:rPr>
                <w:b/>
              </w:rPr>
            </w:pPr>
            <w:r>
              <w:rPr>
                <w:b/>
              </w:rPr>
              <w:t>(c)</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644" w:type="dxa"/>
            <w:gridSpan w:val="2"/>
            <w:tcBorders>
              <w:bottom w:val="single" w:sz="12" w:space="0" w:color="000000"/>
            </w:tcBorders>
            <w:tcMar>
              <w:bottom w:w="28" w:type="dxa"/>
            </w:tcMar>
            <w:vAlign w:val="bottom"/>
          </w:tcPr>
          <w:p>
            <w:pPr>
              <w:pStyle w:val="TableContents"/>
              <w:bidi w:val="0"/>
              <w:spacing w:before="0" w:after="0"/>
              <w:jc w:val="center"/>
              <w:rPr>
                <w:b/>
              </w:rPr>
            </w:pPr>
            <w:r>
              <w:rPr>
                <w:b/>
              </w:rPr>
              <w:t>(d)</w:t>
            </w:r>
          </w:p>
        </w:tc>
        <w:tc>
          <w:tcPr>
            <w:tcW w:w="135" w:type="dxa"/>
            <w:tcBorders/>
            <w:vAlign w:val="bottom"/>
          </w:tcPr>
          <w:p>
            <w:pPr>
              <w:pStyle w:val="TableContents"/>
              <w:bidi w:val="0"/>
              <w:spacing w:before="0" w:after="283"/>
              <w:jc w:val="left"/>
              <w:rPr/>
            </w:pPr>
            <w:r>
              <w:rPr/>
              <w:t> </w:t>
            </w:r>
          </w:p>
        </w:tc>
      </w:tr>
      <w:tr>
        <w:trPr/>
        <w:tc>
          <w:tcPr>
            <w:tcW w:w="17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99"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09" w:type="dxa"/>
            <w:gridSpan w:val="2"/>
            <w:tcBorders/>
            <w:vAlign w:val="bottom"/>
          </w:tcPr>
          <w:p>
            <w:pPr>
              <w:pStyle w:val="TableContents"/>
              <w:bidi w:val="0"/>
              <w:spacing w:before="0" w:after="0"/>
              <w:jc w:val="center"/>
              <w:rPr>
                <w:b/>
              </w:rPr>
            </w:pPr>
            <w:r>
              <w:rPr>
                <w:b/>
              </w:rPr>
              <w:t>Total Number of</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644" w:type="dxa"/>
            <w:gridSpan w:val="2"/>
            <w:tcBorders/>
            <w:vAlign w:val="bottom"/>
          </w:tcPr>
          <w:p>
            <w:pPr>
              <w:pStyle w:val="TableContents"/>
              <w:bidi w:val="0"/>
              <w:spacing w:before="0" w:after="0"/>
              <w:jc w:val="center"/>
              <w:rPr>
                <w:b/>
              </w:rPr>
            </w:pPr>
            <w:r>
              <w:rPr>
                <w:b/>
              </w:rPr>
              <w:t>Approximate Dollar</w:t>
            </w:r>
          </w:p>
        </w:tc>
        <w:tc>
          <w:tcPr>
            <w:tcW w:w="135" w:type="dxa"/>
            <w:tcBorders/>
            <w:vAlign w:val="bottom"/>
          </w:tcPr>
          <w:p>
            <w:pPr>
              <w:pStyle w:val="TableContents"/>
              <w:bidi w:val="0"/>
              <w:spacing w:before="0" w:after="283"/>
              <w:jc w:val="left"/>
              <w:rPr/>
            </w:pPr>
            <w:r>
              <w:rPr/>
              <w:t> </w:t>
            </w:r>
          </w:p>
        </w:tc>
      </w:tr>
      <w:tr>
        <w:trPr/>
        <w:tc>
          <w:tcPr>
            <w:tcW w:w="17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0"/>
              <w:jc w:val="center"/>
              <w:rPr>
                <w:b/>
              </w:rPr>
            </w:pPr>
            <w:r>
              <w:rPr>
                <w:b/>
              </w:rPr>
              <w:t>Total</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99" w:type="dxa"/>
            <w:gridSpan w:val="2"/>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09" w:type="dxa"/>
            <w:gridSpan w:val="2"/>
            <w:tcBorders/>
            <w:vAlign w:val="bottom"/>
          </w:tcPr>
          <w:p>
            <w:pPr>
              <w:pStyle w:val="TableContents"/>
              <w:bidi w:val="0"/>
              <w:spacing w:before="0" w:after="0"/>
              <w:jc w:val="center"/>
              <w:rPr>
                <w:b/>
              </w:rPr>
            </w:pPr>
            <w:r>
              <w:rPr>
                <w:b/>
              </w:rPr>
              <w:t>Shares Purchased</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644" w:type="dxa"/>
            <w:gridSpan w:val="2"/>
            <w:tcBorders/>
            <w:vAlign w:val="bottom"/>
          </w:tcPr>
          <w:p>
            <w:pPr>
              <w:pStyle w:val="TableContents"/>
              <w:bidi w:val="0"/>
              <w:spacing w:before="0" w:after="0"/>
              <w:jc w:val="center"/>
              <w:rPr>
                <w:b/>
              </w:rPr>
            </w:pPr>
            <w:r>
              <w:rPr>
                <w:b/>
              </w:rPr>
              <w:t>Value of Shares that May</w:t>
            </w:r>
          </w:p>
        </w:tc>
        <w:tc>
          <w:tcPr>
            <w:tcW w:w="135" w:type="dxa"/>
            <w:tcBorders/>
            <w:vAlign w:val="bottom"/>
          </w:tcPr>
          <w:p>
            <w:pPr>
              <w:pStyle w:val="TableContents"/>
              <w:bidi w:val="0"/>
              <w:spacing w:before="0" w:after="283"/>
              <w:jc w:val="left"/>
              <w:rPr/>
            </w:pPr>
            <w:r>
              <w:rPr/>
              <w:t> </w:t>
            </w:r>
          </w:p>
        </w:tc>
      </w:tr>
      <w:tr>
        <w:trPr/>
        <w:tc>
          <w:tcPr>
            <w:tcW w:w="17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0"/>
              <w:jc w:val="center"/>
              <w:rPr>
                <w:b/>
              </w:rPr>
            </w:pPr>
            <w:r>
              <w:rPr>
                <w:b/>
              </w:rPr>
              <w:t>Number</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99" w:type="dxa"/>
            <w:gridSpan w:val="2"/>
            <w:tcBorders/>
            <w:vAlign w:val="bottom"/>
          </w:tcPr>
          <w:p>
            <w:pPr>
              <w:pStyle w:val="TableContents"/>
              <w:bidi w:val="0"/>
              <w:spacing w:before="0" w:after="0"/>
              <w:jc w:val="center"/>
              <w:rPr>
                <w:b/>
              </w:rPr>
            </w:pPr>
            <w:r>
              <w:rPr>
                <w:b/>
              </w:rPr>
              <w:t>Average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09" w:type="dxa"/>
            <w:gridSpan w:val="2"/>
            <w:tcBorders/>
            <w:vAlign w:val="bottom"/>
          </w:tcPr>
          <w:p>
            <w:pPr>
              <w:pStyle w:val="TableContents"/>
              <w:bidi w:val="0"/>
              <w:spacing w:before="0" w:after="0"/>
              <w:jc w:val="center"/>
              <w:rPr>
                <w:b/>
              </w:rPr>
            </w:pPr>
            <w:r>
              <w:rPr>
                <w:b/>
              </w:rPr>
              <w:t>as Part of Publicly</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644" w:type="dxa"/>
            <w:gridSpan w:val="2"/>
            <w:tcBorders/>
            <w:vAlign w:val="bottom"/>
          </w:tcPr>
          <w:p>
            <w:pPr>
              <w:pStyle w:val="TableContents"/>
              <w:bidi w:val="0"/>
              <w:spacing w:before="0" w:after="0"/>
              <w:jc w:val="center"/>
              <w:rPr>
                <w:b/>
              </w:rPr>
            </w:pPr>
            <w:r>
              <w:rPr>
                <w:b/>
              </w:rPr>
              <w:t>Yet Be Purchased Under</w:t>
            </w:r>
          </w:p>
        </w:tc>
        <w:tc>
          <w:tcPr>
            <w:tcW w:w="135" w:type="dxa"/>
            <w:tcBorders/>
            <w:vAlign w:val="bottom"/>
          </w:tcPr>
          <w:p>
            <w:pPr>
              <w:pStyle w:val="TableContents"/>
              <w:bidi w:val="0"/>
              <w:spacing w:before="0" w:after="283"/>
              <w:jc w:val="left"/>
              <w:rPr/>
            </w:pPr>
            <w:r>
              <w:rPr/>
              <w:t> </w:t>
            </w:r>
          </w:p>
        </w:tc>
      </w:tr>
      <w:tr>
        <w:trPr/>
        <w:tc>
          <w:tcPr>
            <w:tcW w:w="1775"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0"/>
              <w:jc w:val="center"/>
              <w:rPr>
                <w:b/>
              </w:rPr>
            </w:pPr>
            <w:r>
              <w:rPr>
                <w:b/>
              </w:rPr>
              <w:t>of Shares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99" w:type="dxa"/>
            <w:gridSpan w:val="2"/>
            <w:tcBorders/>
            <w:vAlign w:val="bottom"/>
          </w:tcPr>
          <w:p>
            <w:pPr>
              <w:pStyle w:val="TableContents"/>
              <w:bidi w:val="0"/>
              <w:spacing w:before="0" w:after="0"/>
              <w:jc w:val="center"/>
              <w:rPr>
                <w:b/>
              </w:rPr>
            </w:pPr>
            <w:r>
              <w:rPr>
                <w:b/>
              </w:rPr>
              <w:t>Price Paid</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09" w:type="dxa"/>
            <w:gridSpan w:val="2"/>
            <w:tcBorders/>
            <w:vAlign w:val="bottom"/>
          </w:tcPr>
          <w:p>
            <w:pPr>
              <w:pStyle w:val="TableContents"/>
              <w:bidi w:val="0"/>
              <w:spacing w:before="0" w:after="0"/>
              <w:jc w:val="center"/>
              <w:rPr>
                <w:b/>
              </w:rPr>
            </w:pPr>
            <w:r>
              <w:rPr>
                <w:b/>
              </w:rPr>
              <w:t>Announced Plans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644" w:type="dxa"/>
            <w:gridSpan w:val="2"/>
            <w:tcBorders/>
            <w:vAlign w:val="bottom"/>
          </w:tcPr>
          <w:p>
            <w:pPr>
              <w:pStyle w:val="TableContents"/>
              <w:bidi w:val="0"/>
              <w:spacing w:before="0" w:after="0"/>
              <w:jc w:val="center"/>
              <w:rPr>
                <w:b/>
              </w:rPr>
            </w:pPr>
            <w:r>
              <w:rPr>
                <w:b/>
              </w:rPr>
              <w:t>the Plans or Programs</w:t>
            </w:r>
          </w:p>
        </w:tc>
        <w:tc>
          <w:tcPr>
            <w:tcW w:w="135" w:type="dxa"/>
            <w:tcBorders/>
            <w:vAlign w:val="bottom"/>
          </w:tcPr>
          <w:p>
            <w:pPr>
              <w:pStyle w:val="TableContents"/>
              <w:bidi w:val="0"/>
              <w:spacing w:before="0" w:after="283"/>
              <w:jc w:val="left"/>
              <w:rPr/>
            </w:pPr>
            <w:r>
              <w:rPr/>
              <w:t> </w:t>
            </w:r>
          </w:p>
        </w:tc>
      </w:tr>
      <w:tr>
        <w:trPr/>
        <w:tc>
          <w:tcPr>
            <w:tcW w:w="1775" w:type="dxa"/>
            <w:tcBorders/>
            <w:vAlign w:val="bottom"/>
          </w:tcPr>
          <w:p>
            <w:pPr>
              <w:pStyle w:val="TableContents"/>
              <w:bidi w:val="0"/>
              <w:spacing w:before="0" w:after="0"/>
              <w:jc w:val="left"/>
              <w:rPr>
                <w:rFonts w:ascii="Times New Roman;Times;serif" w:hAnsi="Times New Roman;Times;serif"/>
                <w:b/>
              </w:rPr>
            </w:pPr>
            <w:r>
              <w:rPr>
                <w:rFonts w:ascii="Times New Roman;Times;serif" w:hAnsi="Times New Roman;Times;serif"/>
                <w:b/>
              </w:rPr>
              <w:t>Period</w:t>
            </w:r>
          </w:p>
        </w:tc>
        <w:tc>
          <w:tcPr>
            <w:tcW w:w="90" w:type="dxa"/>
            <w:tcBorders/>
            <w:vAlign w:val="bottom"/>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bottom"/>
          </w:tcPr>
          <w:p>
            <w:pPr>
              <w:pStyle w:val="TableContents"/>
              <w:bidi w:val="0"/>
              <w:spacing w:before="0" w:after="0"/>
              <w:jc w:val="center"/>
              <w:rPr>
                <w:b/>
              </w:rPr>
            </w:pPr>
            <w:r>
              <w:rPr>
                <w:b/>
              </w:rPr>
              <w:t>Purchased</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bottom"/>
          </w:tcPr>
          <w:p>
            <w:pPr>
              <w:pStyle w:val="TableContents"/>
              <w:bidi w:val="0"/>
              <w:spacing w:before="0" w:after="0"/>
              <w:jc w:val="center"/>
              <w:rPr>
                <w:b/>
              </w:rPr>
            </w:pPr>
            <w:r>
              <w:rPr>
                <w:b/>
              </w:rPr>
              <w:t>per Share</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909" w:type="dxa"/>
            <w:gridSpan w:val="2"/>
            <w:tcBorders>
              <w:bottom w:val="single" w:sz="12" w:space="0" w:color="000000"/>
            </w:tcBorders>
            <w:tcMar>
              <w:bottom w:w="28" w:type="dxa"/>
            </w:tcMar>
            <w:vAlign w:val="bottom"/>
          </w:tcPr>
          <w:p>
            <w:pPr>
              <w:pStyle w:val="TableContents"/>
              <w:bidi w:val="0"/>
              <w:spacing w:before="0" w:after="0"/>
              <w:jc w:val="center"/>
              <w:rPr>
                <w:b/>
              </w:rPr>
            </w:pPr>
            <w:r>
              <w:rPr>
                <w:b/>
              </w:rPr>
              <w:t>or Programs</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2644" w:type="dxa"/>
            <w:gridSpan w:val="2"/>
            <w:tcBorders>
              <w:bottom w:val="single" w:sz="12" w:space="0" w:color="000000"/>
            </w:tcBorders>
            <w:tcMar>
              <w:bottom w:w="28" w:type="dxa"/>
            </w:tcMar>
            <w:vAlign w:val="bottom"/>
          </w:tcPr>
          <w:p>
            <w:pPr>
              <w:pStyle w:val="TableContents"/>
              <w:bidi w:val="0"/>
              <w:spacing w:lineRule="auto" w:line="240" w:before="0" w:after="0"/>
              <w:jc w:val="center"/>
              <w:rPr>
                <w:b/>
              </w:rPr>
            </w:pPr>
            <w:r>
              <w:rPr>
                <w:b/>
              </w:rPr>
              <w:t>(in millions)(1)</w:t>
            </w:r>
          </w:p>
        </w:tc>
        <w:tc>
          <w:tcPr>
            <w:tcW w:w="135" w:type="dxa"/>
            <w:tcBorders/>
            <w:vAlign w:val="bottom"/>
          </w:tcPr>
          <w:p>
            <w:pPr>
              <w:pStyle w:val="TableContents"/>
              <w:bidi w:val="0"/>
              <w:spacing w:before="0" w:after="283"/>
              <w:jc w:val="left"/>
              <w:rPr/>
            </w:pPr>
            <w:r>
              <w:rPr/>
              <w:t> </w:t>
            </w:r>
          </w:p>
        </w:tc>
      </w:tr>
      <w:tr>
        <w:trPr/>
        <w:tc>
          <w:tcPr>
            <w:tcW w:w="1775" w:type="dxa"/>
            <w:tcBorders/>
            <w:shd w:fill="CCEEFF" w:val="clear"/>
            <w:vAlign w:val="bottom"/>
          </w:tcPr>
          <w:p>
            <w:pPr>
              <w:pStyle w:val="TableContents"/>
              <w:bidi w:val="0"/>
              <w:spacing w:before="0" w:after="0"/>
              <w:jc w:val="left"/>
              <w:rPr/>
            </w:pPr>
            <w:r>
              <w:rPr/>
              <w:t>April 1 - 30, 2026</w:t>
            </w:r>
          </w:p>
        </w:tc>
        <w:tc>
          <w:tcPr>
            <w:tcW w:w="90" w:type="dxa"/>
            <w:tcBorders/>
            <w:shd w:fill="CCEEFF" w:val="clear"/>
            <w:vAlign w:val="bottom"/>
          </w:tcPr>
          <w:p>
            <w:pPr>
              <w:pStyle w:val="TableContents"/>
              <w:bidi w:val="0"/>
              <w:spacing w:before="0" w:after="283"/>
              <w:jc w:val="right"/>
              <w:rPr/>
            </w:pPr>
            <w:r>
              <w:rPr/>
              <w:t> </w:t>
            </w:r>
          </w:p>
        </w:tc>
        <w:tc>
          <w:tcPr>
            <w:tcW w:w="468" w:type="dxa"/>
            <w:tcBorders/>
            <w:shd w:fill="CCEEFF" w:val="clear"/>
            <w:vAlign w:val="bottom"/>
          </w:tcPr>
          <w:p>
            <w:pPr>
              <w:pStyle w:val="TableContents"/>
              <w:bidi w:val="0"/>
              <w:spacing w:before="0" w:after="283"/>
              <w:jc w:val="left"/>
              <w:rPr/>
            </w:pPr>
            <w:r>
              <w:rPr/>
              <w:t> </w:t>
            </w:r>
          </w:p>
        </w:tc>
        <w:tc>
          <w:tcPr>
            <w:tcW w:w="662"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633" w:type="dxa"/>
            <w:tcBorders/>
            <w:shd w:fill="CCEEFF" w:val="clear"/>
            <w:vAlign w:val="bottom"/>
          </w:tcPr>
          <w:p>
            <w:pPr>
              <w:pStyle w:val="TableContents"/>
              <w:bidi w:val="0"/>
              <w:spacing w:before="0" w:after="0"/>
              <w:jc w:val="left"/>
              <w:rPr/>
            </w:pPr>
            <w:r>
              <w:rPr/>
              <w:t>$</w:t>
            </w:r>
          </w:p>
        </w:tc>
        <w:tc>
          <w:tcPr>
            <w:tcW w:w="466"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795"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509" w:type="dxa"/>
            <w:tcBorders/>
            <w:shd w:fill="CCEEFF" w:val="clear"/>
            <w:vAlign w:val="bottom"/>
          </w:tcPr>
          <w:p>
            <w:pPr>
              <w:pStyle w:val="TableContents"/>
              <w:bidi w:val="0"/>
              <w:spacing w:before="0" w:after="0"/>
              <w:jc w:val="left"/>
              <w:rPr/>
            </w:pPr>
            <w:r>
              <w:rPr/>
              <w:t>$</w:t>
            </w:r>
          </w:p>
        </w:tc>
        <w:tc>
          <w:tcPr>
            <w:tcW w:w="2135" w:type="dxa"/>
            <w:tcBorders/>
            <w:shd w:fill="CCEEFF" w:val="clear"/>
            <w:vAlign w:val="bottom"/>
          </w:tcPr>
          <w:p>
            <w:pPr>
              <w:pStyle w:val="TableContents"/>
              <w:bidi w:val="0"/>
              <w:spacing w:before="0" w:after="0"/>
              <w:jc w:val="right"/>
              <w:rPr/>
            </w:pPr>
            <w:r>
              <w:rPr/>
              <w:t>137.30</w:t>
            </w:r>
          </w:p>
        </w:tc>
        <w:tc>
          <w:tcPr>
            <w:tcW w:w="135" w:type="dxa"/>
            <w:tcBorders/>
            <w:shd w:fill="CCEEFF" w:val="clear"/>
            <w:vAlign w:val="bottom"/>
          </w:tcPr>
          <w:p>
            <w:pPr>
              <w:pStyle w:val="TableContents"/>
              <w:bidi w:val="0"/>
              <w:spacing w:before="0" w:after="283"/>
              <w:jc w:val="left"/>
              <w:rPr/>
            </w:pPr>
            <w:r>
              <w:rPr/>
              <w:t> </w:t>
            </w:r>
          </w:p>
        </w:tc>
      </w:tr>
      <w:tr>
        <w:trPr/>
        <w:tc>
          <w:tcPr>
            <w:tcW w:w="1775" w:type="dxa"/>
            <w:tcBorders/>
            <w:vAlign w:val="bottom"/>
          </w:tcPr>
          <w:p>
            <w:pPr>
              <w:pStyle w:val="TableContents"/>
              <w:bidi w:val="0"/>
              <w:spacing w:before="0" w:after="0"/>
              <w:jc w:val="left"/>
              <w:rPr/>
            </w:pPr>
            <w:r>
              <w:rPr/>
              <w:t>May 1 - 31, 2026</w:t>
            </w:r>
          </w:p>
        </w:tc>
        <w:tc>
          <w:tcPr>
            <w:tcW w:w="90" w:type="dxa"/>
            <w:tcBorders/>
            <w:vAlign w:val="bottom"/>
          </w:tcPr>
          <w:p>
            <w:pPr>
              <w:pStyle w:val="TableContents"/>
              <w:bidi w:val="0"/>
              <w:spacing w:before="0" w:after="283"/>
              <w:jc w:val="right"/>
              <w:rPr/>
            </w:pPr>
            <w:r>
              <w:rPr/>
              <w:t> </w:t>
            </w:r>
          </w:p>
        </w:tc>
        <w:tc>
          <w:tcPr>
            <w:tcW w:w="468"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633"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795"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509" w:type="dxa"/>
            <w:tcBorders/>
            <w:vAlign w:val="bottom"/>
          </w:tcPr>
          <w:p>
            <w:pPr>
              <w:pStyle w:val="TableContents"/>
              <w:bidi w:val="0"/>
              <w:spacing w:before="0" w:after="0"/>
              <w:jc w:val="left"/>
              <w:rPr/>
            </w:pPr>
            <w:r>
              <w:rPr/>
              <w:t>$</w:t>
            </w:r>
          </w:p>
        </w:tc>
        <w:tc>
          <w:tcPr>
            <w:tcW w:w="2135" w:type="dxa"/>
            <w:tcBorders/>
            <w:vAlign w:val="bottom"/>
          </w:tcPr>
          <w:p>
            <w:pPr>
              <w:pStyle w:val="TableContents"/>
              <w:bidi w:val="0"/>
              <w:spacing w:before="0" w:after="0"/>
              <w:jc w:val="right"/>
              <w:rPr/>
            </w:pPr>
            <w:r>
              <w:rPr/>
              <w:t>137.30</w:t>
            </w:r>
          </w:p>
        </w:tc>
        <w:tc>
          <w:tcPr>
            <w:tcW w:w="135" w:type="dxa"/>
            <w:tcBorders/>
            <w:vAlign w:val="bottom"/>
          </w:tcPr>
          <w:p>
            <w:pPr>
              <w:pStyle w:val="TableContents"/>
              <w:bidi w:val="0"/>
              <w:spacing w:before="0" w:after="283"/>
              <w:jc w:val="left"/>
              <w:rPr/>
            </w:pPr>
            <w:r>
              <w:rPr/>
              <w:t> </w:t>
            </w:r>
          </w:p>
        </w:tc>
      </w:tr>
      <w:tr>
        <w:trPr/>
        <w:tc>
          <w:tcPr>
            <w:tcW w:w="1775" w:type="dxa"/>
            <w:tcBorders/>
            <w:shd w:fill="CCEEFF" w:val="clear"/>
            <w:vAlign w:val="bottom"/>
          </w:tcPr>
          <w:p>
            <w:pPr>
              <w:pStyle w:val="TableContents"/>
              <w:bidi w:val="0"/>
              <w:spacing w:before="0" w:after="0"/>
              <w:jc w:val="left"/>
              <w:rPr/>
            </w:pPr>
            <w:r>
              <w:rPr/>
              <w:t>June 1 - 30, 2026</w:t>
            </w:r>
          </w:p>
        </w:tc>
        <w:tc>
          <w:tcPr>
            <w:tcW w:w="90" w:type="dxa"/>
            <w:tcBorders/>
            <w:shd w:fill="CCEEFF" w:val="clear"/>
            <w:vAlign w:val="bottom"/>
          </w:tcPr>
          <w:p>
            <w:pPr>
              <w:pStyle w:val="TableContents"/>
              <w:bidi w:val="0"/>
              <w:spacing w:before="0" w:after="283"/>
              <w:jc w:val="right"/>
              <w:rPr/>
            </w:pPr>
            <w:r>
              <w:rPr/>
              <w:t> </w:t>
            </w:r>
          </w:p>
        </w:tc>
        <w:tc>
          <w:tcPr>
            <w:tcW w:w="46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2"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633"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79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14"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90"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509" w:type="dxa"/>
            <w:tcBorders/>
            <w:shd w:fill="CCEEFF" w:val="clear"/>
            <w:vAlign w:val="bottom"/>
          </w:tcPr>
          <w:p>
            <w:pPr>
              <w:pStyle w:val="TableContents"/>
              <w:bidi w:val="0"/>
              <w:spacing w:before="0" w:after="0"/>
              <w:jc w:val="left"/>
              <w:rPr/>
            </w:pPr>
            <w:r>
              <w:rPr/>
              <w:t>$</w:t>
            </w:r>
          </w:p>
        </w:tc>
        <w:tc>
          <w:tcPr>
            <w:tcW w:w="2135" w:type="dxa"/>
            <w:tcBorders/>
            <w:shd w:fill="CCEEFF" w:val="clear"/>
            <w:vAlign w:val="bottom"/>
          </w:tcPr>
          <w:p>
            <w:pPr>
              <w:pStyle w:val="TableContents"/>
              <w:bidi w:val="0"/>
              <w:spacing w:before="0" w:after="0"/>
              <w:jc w:val="right"/>
              <w:rPr/>
            </w:pPr>
            <w:r>
              <w:rPr/>
              <w:t>137.30</w:t>
            </w:r>
          </w:p>
        </w:tc>
        <w:tc>
          <w:tcPr>
            <w:tcW w:w="135" w:type="dxa"/>
            <w:tcBorders/>
            <w:shd w:fill="CCEEFF" w:val="clear"/>
            <w:vAlign w:val="bottom"/>
          </w:tcPr>
          <w:p>
            <w:pPr>
              <w:pStyle w:val="TableContents"/>
              <w:bidi w:val="0"/>
              <w:spacing w:before="0" w:after="283"/>
              <w:jc w:val="left"/>
              <w:rPr/>
            </w:pPr>
            <w:r>
              <w:rPr/>
              <w:t> </w:t>
            </w:r>
          </w:p>
        </w:tc>
      </w:tr>
      <w:tr>
        <w:trPr/>
        <w:tc>
          <w:tcPr>
            <w:tcW w:w="1775" w:type="dxa"/>
            <w:tcBorders/>
            <w:vAlign w:val="bottom"/>
          </w:tcPr>
          <w:p>
            <w:pPr>
              <w:pStyle w:val="TableContents"/>
              <w:bidi w:val="0"/>
              <w:spacing w:before="0" w:after="0"/>
              <w:jc w:val="left"/>
              <w:rPr/>
            </w:pPr>
            <w:r>
              <w:rPr/>
              <w:t>Total</w:t>
            </w:r>
          </w:p>
        </w:tc>
        <w:tc>
          <w:tcPr>
            <w:tcW w:w="90" w:type="dxa"/>
            <w:tcBorders/>
            <w:vAlign w:val="bottom"/>
          </w:tcPr>
          <w:p>
            <w:pPr>
              <w:pStyle w:val="TableContents"/>
              <w:bidi w:val="0"/>
              <w:spacing w:before="0" w:after="283"/>
              <w:jc w:val="right"/>
              <w:rPr/>
            </w:pPr>
            <w:r>
              <w:rPr/>
              <w:t> </w:t>
            </w:r>
          </w:p>
        </w:tc>
        <w:tc>
          <w:tcPr>
            <w:tcW w:w="468" w:type="dxa"/>
            <w:tcBorders>
              <w:bottom w:val="double" w:sz="8" w:space="0" w:color="000000"/>
            </w:tcBorders>
            <w:tcMar>
              <w:bottom w:w="28" w:type="dxa"/>
            </w:tcMar>
            <w:vAlign w:val="bottom"/>
          </w:tcPr>
          <w:p>
            <w:pPr>
              <w:pStyle w:val="TableContents"/>
              <w:bidi w:val="0"/>
              <w:spacing w:before="0" w:after="283"/>
              <w:jc w:val="left"/>
              <w:rPr/>
            </w:pPr>
            <w:r>
              <w:rPr/>
              <w:t> </w:t>
            </w:r>
          </w:p>
        </w:tc>
        <w:tc>
          <w:tcPr>
            <w:tcW w:w="662" w:type="dxa"/>
            <w:tcBorders>
              <w:bottom w:val="double" w:sz="8"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633" w:type="dxa"/>
            <w:tcBorders/>
            <w:vAlign w:val="bottom"/>
          </w:tcPr>
          <w:p>
            <w:pPr>
              <w:pStyle w:val="TableContents"/>
              <w:bidi w:val="0"/>
              <w:spacing w:before="0" w:after="0"/>
              <w:jc w:val="left"/>
              <w:rPr/>
            </w:pPr>
            <w:r>
              <w:rPr/>
              <w:t>$</w:t>
            </w:r>
          </w:p>
        </w:tc>
        <w:tc>
          <w:tcPr>
            <w:tcW w:w="466" w:type="dxa"/>
            <w:tcBorders/>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795" w:type="dxa"/>
            <w:tcBorders>
              <w:bottom w:val="double" w:sz="8" w:space="0" w:color="000000"/>
            </w:tcBorders>
            <w:tcMar>
              <w:bottom w:w="28" w:type="dxa"/>
            </w:tcMar>
            <w:vAlign w:val="bottom"/>
          </w:tcPr>
          <w:p>
            <w:pPr>
              <w:pStyle w:val="TableContents"/>
              <w:bidi w:val="0"/>
              <w:spacing w:before="0" w:after="283"/>
              <w:jc w:val="left"/>
              <w:rPr/>
            </w:pPr>
            <w:r>
              <w:rPr/>
              <w:t> </w:t>
            </w:r>
          </w:p>
        </w:tc>
        <w:tc>
          <w:tcPr>
            <w:tcW w:w="1114" w:type="dxa"/>
            <w:tcBorders>
              <w:bottom w:val="double" w:sz="8" w:space="0" w:color="000000"/>
            </w:tcBorders>
            <w:tcMar>
              <w:bottom w:w="28" w:type="dxa"/>
            </w:tcMar>
            <w:vAlign w:val="bottom"/>
          </w:tcPr>
          <w:p>
            <w:pPr>
              <w:pStyle w:val="TableContents"/>
              <w:bidi w:val="0"/>
              <w:spacing w:before="0" w:after="0"/>
              <w:jc w:val="right"/>
              <w:rPr/>
            </w:pPr>
            <w:r>
              <w:rPr/>
              <w:t>-</w:t>
            </w:r>
          </w:p>
        </w:tc>
        <w:tc>
          <w:tcPr>
            <w:tcW w:w="90"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509" w:type="dxa"/>
            <w:tcBorders/>
            <w:vAlign w:val="bottom"/>
          </w:tcPr>
          <w:p>
            <w:pPr>
              <w:pStyle w:val="TableContents"/>
              <w:bidi w:val="0"/>
              <w:spacing w:before="0" w:after="283"/>
              <w:jc w:val="left"/>
              <w:rPr/>
            </w:pPr>
            <w:r>
              <w:rPr/>
              <w:t> </w:t>
            </w:r>
          </w:p>
        </w:tc>
        <w:tc>
          <w:tcPr>
            <w:tcW w:w="2135"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pPr>
            <w:r>
              <w:rPr/>
              <w:t>(1)</w:t>
            </w:r>
          </w:p>
        </w:tc>
        <w:tc>
          <w:tcPr>
            <w:tcW w:w="9920" w:type="dxa"/>
            <w:tcBorders/>
            <w:vAlign w:val="center"/>
          </w:tcPr>
          <w:p>
            <w:pPr>
              <w:pStyle w:val="TableContents"/>
              <w:bidi w:val="0"/>
              <w:spacing w:before="0" w:after="0"/>
              <w:jc w:val="both"/>
              <w:rPr/>
            </w:pPr>
            <w:r>
              <w:rPr/>
              <w:t>In August 2018, we announced that our board of directors approved a stock repurchase plan. Under this plan, our board of directors authorized the repurchase of up to $500 million of our outstanding Class A common stock on the open market or in privately negotiated transactions.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5" w:name="ITEM3."/>
      <w:bookmarkStart w:id="26" w:name="ITEM3."/>
      <w:bookmarkEnd w:id="26"/>
    </w:p>
    <w:tbl>
      <w:tblPr>
        <w:tblW w:w="5650" w:type="dxa"/>
        <w:jc w:val="left"/>
        <w:tblInd w:w="0" w:type="dxa"/>
        <w:tblLayout w:type="fixed"/>
        <w:tblCellMar>
          <w:top w:w="0" w:type="dxa"/>
          <w:left w:w="0" w:type="dxa"/>
          <w:bottom w:w="0" w:type="dxa"/>
          <w:right w:w="0" w:type="dxa"/>
        </w:tblCellMar>
      </w:tblPr>
      <w:tblGrid>
        <w:gridCol w:w="950"/>
        <w:gridCol w:w="4700"/>
      </w:tblGrid>
      <w:tr>
        <w:trPr/>
        <w:tc>
          <w:tcPr>
            <w:tcW w:w="950" w:type="dxa"/>
            <w:tcBorders/>
            <w:vAlign w:val="center"/>
          </w:tcPr>
          <w:p>
            <w:pPr>
              <w:pStyle w:val="TableContents"/>
              <w:bidi w:val="0"/>
              <w:spacing w:before="0" w:after="283"/>
              <w:jc w:val="left"/>
              <w:rPr>
                <w:b/>
              </w:rPr>
            </w:pPr>
            <w:r>
              <w:rPr>
                <w:b/>
              </w:rPr>
              <w:t>ITEM 3.</w:t>
            </w:r>
          </w:p>
        </w:tc>
        <w:tc>
          <w:tcPr>
            <w:tcW w:w="4700" w:type="dxa"/>
            <w:tcBorders/>
            <w:vAlign w:val="center"/>
          </w:tcPr>
          <w:p>
            <w:pPr>
              <w:pStyle w:val="TableContents"/>
              <w:bidi w:val="0"/>
              <w:spacing w:before="0" w:after="0"/>
              <w:jc w:val="left"/>
              <w:rPr>
                <w:b/>
                <w:u w:val="single"/>
              </w:rPr>
            </w:pPr>
            <w:r>
              <w:rPr>
                <w:b/>
                <w:u w:val="single"/>
              </w:rPr>
              <w:t>DEFAULTS UPON SENIOR SECURITIES</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None.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7" w:name="ITEM4."/>
      <w:bookmarkStart w:id="28" w:name="ITEM4."/>
      <w:bookmarkEnd w:id="28"/>
    </w:p>
    <w:tbl>
      <w:tblPr>
        <w:tblW w:w="4525" w:type="dxa"/>
        <w:jc w:val="left"/>
        <w:tblInd w:w="0" w:type="dxa"/>
        <w:tblLayout w:type="fixed"/>
        <w:tblCellMar>
          <w:top w:w="0" w:type="dxa"/>
          <w:left w:w="0" w:type="dxa"/>
          <w:bottom w:w="0" w:type="dxa"/>
          <w:right w:w="0" w:type="dxa"/>
        </w:tblCellMar>
      </w:tblPr>
      <w:tblGrid>
        <w:gridCol w:w="950"/>
        <w:gridCol w:w="3575"/>
      </w:tblGrid>
      <w:tr>
        <w:trPr/>
        <w:tc>
          <w:tcPr>
            <w:tcW w:w="950" w:type="dxa"/>
            <w:tcBorders/>
            <w:vAlign w:val="center"/>
          </w:tcPr>
          <w:p>
            <w:pPr>
              <w:pStyle w:val="TableContents"/>
              <w:bidi w:val="0"/>
              <w:spacing w:before="0" w:after="283"/>
              <w:jc w:val="left"/>
              <w:rPr>
                <w:b/>
              </w:rPr>
            </w:pPr>
            <w:r>
              <w:rPr>
                <w:b/>
              </w:rPr>
              <w:t>ITEM 4.</w:t>
            </w:r>
          </w:p>
        </w:tc>
        <w:tc>
          <w:tcPr>
            <w:tcW w:w="3575" w:type="dxa"/>
            <w:tcBorders/>
            <w:vAlign w:val="center"/>
          </w:tcPr>
          <w:p>
            <w:pPr>
              <w:pStyle w:val="TableContents"/>
              <w:bidi w:val="0"/>
              <w:spacing w:before="0" w:after="0"/>
              <w:jc w:val="left"/>
              <w:rPr>
                <w:b/>
                <w:u w:val="single"/>
              </w:rPr>
            </w:pPr>
            <w:r>
              <w:rPr>
                <w:b/>
                <w:u w:val="single"/>
              </w:rPr>
              <w:t>MINE SAFETY DISCLOSURES</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9" w:name="ITEM5."/>
      <w:bookmarkStart w:id="30" w:name="ITEM5."/>
      <w:bookmarkEnd w:id="30"/>
    </w:p>
    <w:tbl>
      <w:tblPr>
        <w:tblW w:w="3775" w:type="dxa"/>
        <w:jc w:val="left"/>
        <w:tblInd w:w="0" w:type="dxa"/>
        <w:tblLayout w:type="fixed"/>
        <w:tblCellMar>
          <w:top w:w="0" w:type="dxa"/>
          <w:left w:w="0" w:type="dxa"/>
          <w:bottom w:w="0" w:type="dxa"/>
          <w:right w:w="0" w:type="dxa"/>
        </w:tblCellMar>
      </w:tblPr>
      <w:tblGrid>
        <w:gridCol w:w="950"/>
        <w:gridCol w:w="2825"/>
      </w:tblGrid>
      <w:tr>
        <w:trPr/>
        <w:tc>
          <w:tcPr>
            <w:tcW w:w="950" w:type="dxa"/>
            <w:tcBorders/>
            <w:vAlign w:val="center"/>
          </w:tcPr>
          <w:p>
            <w:pPr>
              <w:pStyle w:val="TableContents"/>
              <w:bidi w:val="0"/>
              <w:spacing w:before="0" w:after="283"/>
              <w:jc w:val="left"/>
              <w:rPr>
                <w:b/>
              </w:rPr>
            </w:pPr>
            <w:r>
              <w:rPr>
                <w:b/>
              </w:rPr>
              <w:t>ITEM 5.</w:t>
            </w:r>
          </w:p>
        </w:tc>
        <w:tc>
          <w:tcPr>
            <w:tcW w:w="2825" w:type="dxa"/>
            <w:tcBorders/>
            <w:vAlign w:val="center"/>
          </w:tcPr>
          <w:p>
            <w:pPr>
              <w:pStyle w:val="TableContents"/>
              <w:bidi w:val="0"/>
              <w:spacing w:before="0" w:after="0"/>
              <w:jc w:val="left"/>
              <w:rPr>
                <w:b/>
                <w:u w:val="single"/>
              </w:rPr>
            </w:pPr>
            <w:r>
              <w:rPr>
                <w:b/>
                <w:u w:val="single"/>
              </w:rPr>
              <w:t>OTHER INFORMATION</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Draw On Revolving Credit Facility</w:t>
      </w:r>
    </w:p>
    <w:p>
      <w:pPr>
        <w:pStyle w:val="TextBody"/>
        <w:bidi w:val="0"/>
        <w:spacing w:before="0" w:after="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On August 6, 2026, we drew $30 million under our revolving credit facility, bringing the total balance under our revolving credit facility to $70 million as of the date hereof. We anticipate repaying approximately $25 million during the third quarter of 2026. The material terms of the Credit Agreement are described in Note 5 to the consolidated financial statements contained in this Quarterly Report and in the Current Report on Form 8-K filed with the U.S. Securities and Exchange Commission on March 27, 2026. Such descriptions are incorporated by reference herein.</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Trading Plan</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May 12, 2026, Emma Battle, a member of our Board of Directors, adopted a trading plan, intended to satisfy the affirmative defense conditions of Rule 10b5-1(c), to sell up to 6,823 shares of Class A common stock between August 13, 2026 and May 11, 2027.</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Normal"/>
        <w:bidi w:val="0"/>
        <w:spacing w:before="0" w:after="0"/>
        <w:jc w:val="left"/>
        <w:rPr>
          <w:sz w:val="4"/>
          <w:szCs w:val="4"/>
        </w:rPr>
      </w:pPr>
      <w:r>
        <w:rPr>
          <w:sz w:val="4"/>
          <w:szCs w:val="4"/>
        </w:rPr>
      </w:r>
      <w:bookmarkStart w:id="31" w:name="ITEM6."/>
      <w:bookmarkStart w:id="32" w:name="ITEM6."/>
      <w:bookmarkEnd w:id="32"/>
    </w:p>
    <w:tbl>
      <w:tblPr>
        <w:tblW w:w="2215" w:type="dxa"/>
        <w:jc w:val="left"/>
        <w:tblInd w:w="0" w:type="dxa"/>
        <w:tblLayout w:type="fixed"/>
        <w:tblCellMar>
          <w:top w:w="0" w:type="dxa"/>
          <w:left w:w="0" w:type="dxa"/>
          <w:bottom w:w="0" w:type="dxa"/>
          <w:right w:w="0" w:type="dxa"/>
        </w:tblCellMar>
      </w:tblPr>
      <w:tblGrid>
        <w:gridCol w:w="950"/>
        <w:gridCol w:w="1265"/>
      </w:tblGrid>
      <w:tr>
        <w:trPr/>
        <w:tc>
          <w:tcPr>
            <w:tcW w:w="950" w:type="dxa"/>
            <w:tcBorders/>
            <w:vAlign w:val="center"/>
          </w:tcPr>
          <w:p>
            <w:pPr>
              <w:pStyle w:val="TableContents"/>
              <w:bidi w:val="0"/>
              <w:spacing w:before="0" w:after="283"/>
              <w:jc w:val="left"/>
              <w:rPr>
                <w:b/>
              </w:rPr>
            </w:pPr>
            <w:r>
              <w:rPr>
                <w:b/>
              </w:rPr>
              <w:t>ITEM 6.</w:t>
            </w:r>
          </w:p>
        </w:tc>
        <w:tc>
          <w:tcPr>
            <w:tcW w:w="1265" w:type="dxa"/>
            <w:tcBorders/>
            <w:vAlign w:val="center"/>
          </w:tcPr>
          <w:p>
            <w:pPr>
              <w:pStyle w:val="TableContents"/>
              <w:bidi w:val="0"/>
              <w:spacing w:before="0" w:after="0"/>
              <w:jc w:val="left"/>
              <w:rPr>
                <w:b/>
                <w:u w:val="single"/>
              </w:rPr>
            </w:pPr>
            <w:r>
              <w:rPr>
                <w:b/>
                <w:u w:val="single"/>
              </w:rPr>
              <w:t>EXHIBITS</w:t>
            </w:r>
          </w:p>
        </w:tc>
      </w:tr>
    </w:tbl>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1343"/>
        <w:gridCol w:w="90"/>
        <w:gridCol w:w="8772"/>
      </w:tblGrid>
      <w:tr>
        <w:trPr/>
        <w:tc>
          <w:tcPr>
            <w:tcW w:w="1343" w:type="dxa"/>
            <w:tcBorders>
              <w:bottom w:val="single" w:sz="12" w:space="0" w:color="000000"/>
            </w:tcBorders>
            <w:vAlign w:val="center"/>
          </w:tcPr>
          <w:p>
            <w:pPr>
              <w:pStyle w:val="TableContents"/>
              <w:bidi w:val="0"/>
              <w:spacing w:before="0" w:after="0"/>
              <w:jc w:val="center"/>
              <w:rPr>
                <w:b/>
                <w:color w:val="000000"/>
              </w:rPr>
            </w:pPr>
            <w:r>
              <w:rPr>
                <w:b/>
                <w:color w:val="000000"/>
              </w:rPr>
              <w:t>Exhibits</w:t>
            </w:r>
          </w:p>
          <w:p>
            <w:pPr>
              <w:pStyle w:val="TableContents"/>
              <w:bidi w:val="0"/>
              <w:spacing w:before="0" w:after="0"/>
              <w:jc w:val="center"/>
              <w:rPr>
                <w:b/>
                <w:color w:val="000000"/>
              </w:rPr>
            </w:pPr>
            <w:r>
              <w:rPr>
                <w:b/>
                <w:color w:val="000000"/>
              </w:rPr>
              <w:t>Regulation S-K</w:t>
            </w:r>
          </w:p>
          <w:p>
            <w:pPr>
              <w:pStyle w:val="TableContents"/>
              <w:bidi w:val="0"/>
              <w:spacing w:before="0" w:after="0"/>
              <w:jc w:val="center"/>
              <w:rPr>
                <w:b/>
                <w:color w:val="000000"/>
              </w:rPr>
            </w:pPr>
            <w:r>
              <w:rPr>
                <w:b/>
                <w:color w:val="000000"/>
              </w:rPr>
              <w:t>Number</w:t>
            </w:r>
          </w:p>
        </w:tc>
        <w:tc>
          <w:tcPr>
            <w:tcW w:w="90" w:type="dxa"/>
            <w:tcBorders/>
            <w:tcMar>
              <w:bottom w:w="0" w:type="dxa"/>
            </w:tcMar>
            <w:vAlign w:val="center"/>
          </w:tcPr>
          <w:p>
            <w:pPr>
              <w:pStyle w:val="TableContents"/>
              <w:bidi w:val="0"/>
              <w:spacing w:before="0" w:after="283"/>
              <w:jc w:val="left"/>
              <w:rPr/>
            </w:pPr>
            <w:r>
              <w:rPr/>
              <w:t> </w:t>
            </w:r>
          </w:p>
        </w:tc>
        <w:tc>
          <w:tcPr>
            <w:tcW w:w="8772" w:type="dxa"/>
            <w:tcBorders>
              <w:bottom w:val="single" w:sz="12" w:space="0" w:color="000000"/>
            </w:tcBorders>
            <w:vAlign w:val="center"/>
          </w:tcPr>
          <w:p>
            <w:pPr>
              <w:pStyle w:val="TableContents"/>
              <w:bidi w:val="0"/>
              <w:spacing w:before="0" w:after="0"/>
              <w:jc w:val="left"/>
              <w:rPr>
                <w:b/>
                <w:color w:val="000000"/>
              </w:rPr>
            </w:pPr>
            <w:r>
              <w:rPr>
                <w:b/>
                <w:color w:val="000000"/>
              </w:rPr>
              <w:t>Description</w:t>
            </w:r>
          </w:p>
        </w:tc>
      </w:tr>
      <w:tr>
        <w:trPr/>
        <w:tc>
          <w:tcPr>
            <w:tcW w:w="1343" w:type="dxa"/>
            <w:tcBorders/>
            <w:shd w:fill="CCEEFF" w:val="clear"/>
            <w:tcMar>
              <w:bottom w:w="0" w:type="dxa"/>
            </w:tcMar>
            <w:vAlign w:val="center"/>
          </w:tcPr>
          <w:p>
            <w:pPr>
              <w:pStyle w:val="TableContents"/>
              <w:bidi w:val="0"/>
              <w:spacing w:before="0" w:after="0"/>
              <w:jc w:val="left"/>
              <w:rPr/>
            </w:pPr>
            <w:hyperlink r:id="rId2">
              <w:r>
                <w:rPr>
                  <w:rStyle w:val="InternetLink"/>
                </w:rPr>
                <w:t>10.1</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8772" w:type="dxa"/>
            <w:tcBorders/>
            <w:shd w:fill="CCEEFF" w:val="clear"/>
            <w:tcMar>
              <w:bottom w:w="0" w:type="dxa"/>
            </w:tcMar>
            <w:vAlign w:val="center"/>
          </w:tcPr>
          <w:p>
            <w:pPr>
              <w:pStyle w:val="TableContents"/>
              <w:bidi w:val="0"/>
              <w:spacing w:before="0" w:after="0"/>
              <w:jc w:val="both"/>
              <w:rPr>
                <w:color w:val="000000"/>
              </w:rPr>
            </w:pPr>
            <w:r>
              <w:rPr>
                <w:color w:val="000000"/>
              </w:rPr>
              <w:t>Nu Skin Enterprises, Inc. Amended and Restated 2024 Omnibus Incentive Plan (incorporated by reference to Exhibit 10.1 to the Company’s Current Report on Form 8-K filed May 29, 2026).</w:t>
            </w:r>
          </w:p>
        </w:tc>
      </w:tr>
      <w:tr>
        <w:trPr/>
        <w:tc>
          <w:tcPr>
            <w:tcW w:w="1343" w:type="dxa"/>
            <w:tcBorders/>
            <w:tcMar>
              <w:bottom w:w="0" w:type="dxa"/>
            </w:tcMar>
            <w:vAlign w:val="center"/>
          </w:tcPr>
          <w:p>
            <w:pPr>
              <w:pStyle w:val="TableContents"/>
              <w:bidi w:val="0"/>
              <w:spacing w:before="0" w:after="0"/>
              <w:jc w:val="left"/>
              <w:rPr/>
            </w:pPr>
            <w:hyperlink w:anchor="ef20075180_ex31-1.htm">
              <w:r>
                <w:rPr>
                  <w:rStyle w:val="InternetLink"/>
                </w:rPr>
                <w:t>31.1</w:t>
              </w:r>
            </w:hyperlink>
          </w:p>
        </w:tc>
        <w:tc>
          <w:tcPr>
            <w:tcW w:w="90" w:type="dxa"/>
            <w:tcBorders/>
            <w:tcMar>
              <w:bottom w:w="0" w:type="dxa"/>
            </w:tcMar>
            <w:vAlign w:val="center"/>
          </w:tcPr>
          <w:p>
            <w:pPr>
              <w:pStyle w:val="TableContents"/>
              <w:bidi w:val="0"/>
              <w:spacing w:before="0" w:after="283"/>
              <w:jc w:val="left"/>
              <w:rPr/>
            </w:pPr>
            <w:r>
              <w:rPr/>
              <w:t> </w:t>
            </w:r>
          </w:p>
        </w:tc>
        <w:tc>
          <w:tcPr>
            <w:tcW w:w="8772" w:type="dxa"/>
            <w:tcBorders/>
            <w:tcMar>
              <w:bottom w:w="0" w:type="dxa"/>
            </w:tcMar>
            <w:vAlign w:val="center"/>
          </w:tcPr>
          <w:p>
            <w:pPr>
              <w:pStyle w:val="TableContents"/>
              <w:bidi w:val="0"/>
              <w:spacing w:before="0" w:after="0"/>
              <w:jc w:val="both"/>
              <w:rPr>
                <w:color w:val="000000"/>
              </w:rPr>
            </w:pPr>
            <w:r>
              <w:rPr>
                <w:color w:val="000000"/>
              </w:rPr>
              <w:t>Certification by Ryan S. Napierski, Chief Executive Officer, pursuant to Rule 13a-14(a) of the Securities Exchange Act of 1934, as adopted pursuant to Section 302 of the Sarbanes-Oxley Act of 2002.</w:t>
            </w:r>
          </w:p>
        </w:tc>
      </w:tr>
      <w:tr>
        <w:trPr/>
        <w:tc>
          <w:tcPr>
            <w:tcW w:w="1343" w:type="dxa"/>
            <w:tcBorders/>
            <w:shd w:fill="CCEEFF" w:val="clear"/>
            <w:tcMar>
              <w:bottom w:w="0" w:type="dxa"/>
            </w:tcMar>
            <w:vAlign w:val="center"/>
          </w:tcPr>
          <w:p>
            <w:pPr>
              <w:pStyle w:val="TableContents"/>
              <w:bidi w:val="0"/>
              <w:spacing w:before="0" w:after="0"/>
              <w:jc w:val="left"/>
              <w:rPr/>
            </w:pPr>
            <w:hyperlink w:anchor="ef20075180_ex31-2.htm">
              <w:r>
                <w:rPr>
                  <w:rStyle w:val="InternetLink"/>
                </w:rPr>
                <w:t>31.2</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8772" w:type="dxa"/>
            <w:tcBorders/>
            <w:shd w:fill="CCEEFF" w:val="clear"/>
            <w:tcMar>
              <w:bottom w:w="0" w:type="dxa"/>
            </w:tcMar>
            <w:vAlign w:val="center"/>
          </w:tcPr>
          <w:p>
            <w:pPr>
              <w:pStyle w:val="TableContents"/>
              <w:bidi w:val="0"/>
              <w:spacing w:before="0" w:after="0"/>
              <w:jc w:val="both"/>
              <w:rPr>
                <w:color w:val="000000"/>
              </w:rPr>
            </w:pPr>
            <w:r>
              <w:rPr>
                <w:color w:val="000000"/>
              </w:rPr>
              <w:t>Certification by Chelsea K. Lantz, Chief Financial Officer, pursuant to Rule 13a-14(a) of the Securities Exchange Act of 1934, as adopted pursuant to Section 302 of the Sarbanes-Oxley Act of 2002.</w:t>
            </w:r>
          </w:p>
        </w:tc>
      </w:tr>
      <w:tr>
        <w:trPr/>
        <w:tc>
          <w:tcPr>
            <w:tcW w:w="1343" w:type="dxa"/>
            <w:tcBorders/>
            <w:tcMar>
              <w:bottom w:w="0" w:type="dxa"/>
            </w:tcMar>
            <w:vAlign w:val="center"/>
          </w:tcPr>
          <w:p>
            <w:pPr>
              <w:pStyle w:val="TableContents"/>
              <w:bidi w:val="0"/>
              <w:spacing w:before="0" w:after="0"/>
              <w:jc w:val="left"/>
              <w:rPr/>
            </w:pPr>
            <w:hyperlink w:anchor="ef20075180_ex32-1.htm">
              <w:r>
                <w:rPr>
                  <w:rStyle w:val="InternetLink"/>
                </w:rPr>
                <w:t>32.1</w:t>
              </w:r>
            </w:hyperlink>
          </w:p>
        </w:tc>
        <w:tc>
          <w:tcPr>
            <w:tcW w:w="90" w:type="dxa"/>
            <w:tcBorders/>
            <w:tcMar>
              <w:bottom w:w="0" w:type="dxa"/>
            </w:tcMar>
            <w:vAlign w:val="center"/>
          </w:tcPr>
          <w:p>
            <w:pPr>
              <w:pStyle w:val="TableContents"/>
              <w:bidi w:val="0"/>
              <w:spacing w:before="0" w:after="283"/>
              <w:jc w:val="left"/>
              <w:rPr/>
            </w:pPr>
            <w:r>
              <w:rPr/>
              <w:t> </w:t>
            </w:r>
          </w:p>
        </w:tc>
        <w:tc>
          <w:tcPr>
            <w:tcW w:w="8772" w:type="dxa"/>
            <w:tcBorders/>
            <w:tcMar>
              <w:bottom w:w="0" w:type="dxa"/>
            </w:tcMar>
            <w:vAlign w:val="center"/>
          </w:tcPr>
          <w:p>
            <w:pPr>
              <w:pStyle w:val="TableContents"/>
              <w:bidi w:val="0"/>
              <w:spacing w:before="0" w:after="0"/>
              <w:jc w:val="both"/>
              <w:rPr>
                <w:color w:val="000000"/>
              </w:rPr>
            </w:pPr>
            <w:r>
              <w:rPr>
                <w:color w:val="000000"/>
              </w:rPr>
              <w:t>Certification by Ryan S. Napierski, Chief Executive Officer, pursuant to Section 1350, Chapter 63 of Title 18, United States Code, as adopted pursuant to Section 906 of the Sarbanes-Oxley Act of 2002.</w:t>
            </w:r>
          </w:p>
        </w:tc>
      </w:tr>
      <w:tr>
        <w:trPr/>
        <w:tc>
          <w:tcPr>
            <w:tcW w:w="1343" w:type="dxa"/>
            <w:tcBorders/>
            <w:shd w:fill="CCEEFF" w:val="clear"/>
            <w:tcMar>
              <w:bottom w:w="0" w:type="dxa"/>
            </w:tcMar>
            <w:vAlign w:val="center"/>
          </w:tcPr>
          <w:p>
            <w:pPr>
              <w:pStyle w:val="TableContents"/>
              <w:bidi w:val="0"/>
              <w:spacing w:before="0" w:after="0"/>
              <w:jc w:val="left"/>
              <w:rPr/>
            </w:pPr>
            <w:hyperlink w:anchor="ef20075180_ex32-2.htm">
              <w:r>
                <w:rPr>
                  <w:rStyle w:val="InternetLink"/>
                </w:rPr>
                <w:t>32.2</w:t>
              </w:r>
            </w:hyperlink>
          </w:p>
        </w:tc>
        <w:tc>
          <w:tcPr>
            <w:tcW w:w="90" w:type="dxa"/>
            <w:tcBorders/>
            <w:shd w:fill="CCEEFF" w:val="clear"/>
            <w:tcMar>
              <w:bottom w:w="0" w:type="dxa"/>
            </w:tcMar>
            <w:vAlign w:val="center"/>
          </w:tcPr>
          <w:p>
            <w:pPr>
              <w:pStyle w:val="TableContents"/>
              <w:bidi w:val="0"/>
              <w:spacing w:before="0" w:after="283"/>
              <w:jc w:val="left"/>
              <w:rPr/>
            </w:pPr>
            <w:r>
              <w:rPr/>
              <w:t> </w:t>
            </w:r>
          </w:p>
        </w:tc>
        <w:tc>
          <w:tcPr>
            <w:tcW w:w="8772" w:type="dxa"/>
            <w:tcBorders/>
            <w:shd w:fill="CCEEFF" w:val="clear"/>
            <w:tcMar>
              <w:bottom w:w="0" w:type="dxa"/>
            </w:tcMar>
            <w:vAlign w:val="center"/>
          </w:tcPr>
          <w:p>
            <w:pPr>
              <w:pStyle w:val="TableContents"/>
              <w:bidi w:val="0"/>
              <w:spacing w:before="0" w:after="0"/>
              <w:jc w:val="both"/>
              <w:rPr>
                <w:color w:val="000000"/>
              </w:rPr>
            </w:pPr>
            <w:r>
              <w:rPr>
                <w:color w:val="000000"/>
              </w:rPr>
              <w:t>Certification by Chelsea K. Lantz, Chief Financial Officer, pursuant to Section 1350, Chapter 63 of Title 18, United States Code, as adopted pursuant to Section 906 of the Sarbanes-Oxley Act of 2002.</w:t>
            </w:r>
          </w:p>
        </w:tc>
      </w:tr>
      <w:tr>
        <w:trPr/>
        <w:tc>
          <w:tcPr>
            <w:tcW w:w="1343" w:type="dxa"/>
            <w:tcBorders/>
            <w:tcMar>
              <w:bottom w:w="0" w:type="dxa"/>
            </w:tcMar>
            <w:vAlign w:val="center"/>
          </w:tcPr>
          <w:p>
            <w:pPr>
              <w:pStyle w:val="TableContents"/>
              <w:bidi w:val="0"/>
              <w:spacing w:before="0" w:after="0"/>
              <w:jc w:val="left"/>
              <w:rPr>
                <w:color w:val="000000"/>
              </w:rPr>
            </w:pPr>
            <w:r>
              <w:rPr>
                <w:color w:val="000000"/>
              </w:rPr>
              <w:t>101.INS</w:t>
            </w:r>
          </w:p>
        </w:tc>
        <w:tc>
          <w:tcPr>
            <w:tcW w:w="90" w:type="dxa"/>
            <w:tcBorders/>
            <w:tcMar>
              <w:bottom w:w="0" w:type="dxa"/>
            </w:tcMar>
            <w:vAlign w:val="center"/>
          </w:tcPr>
          <w:p>
            <w:pPr>
              <w:pStyle w:val="TableContents"/>
              <w:bidi w:val="0"/>
              <w:spacing w:before="0" w:after="283"/>
              <w:jc w:val="left"/>
              <w:rPr/>
            </w:pPr>
            <w:r>
              <w:rPr/>
              <w:t> </w:t>
            </w:r>
          </w:p>
        </w:tc>
        <w:tc>
          <w:tcPr>
            <w:tcW w:w="8772" w:type="dxa"/>
            <w:tcBorders/>
            <w:tcMar>
              <w:bottom w:w="0" w:type="dxa"/>
            </w:tcMar>
            <w:vAlign w:val="center"/>
          </w:tcPr>
          <w:p>
            <w:pPr>
              <w:pStyle w:val="TableContents"/>
              <w:bidi w:val="0"/>
              <w:spacing w:before="0" w:after="0"/>
              <w:jc w:val="both"/>
              <w:rPr>
                <w:color w:val="000000"/>
              </w:rPr>
            </w:pPr>
            <w:r>
              <w:rPr>
                <w:color w:val="000000"/>
              </w:rPr>
              <w:t>Inline XBRL Instance Document (the instance document does not appear in the Interactive Data File because its XBRL tags are embedded within the Inline XBRL document)</w:t>
            </w:r>
          </w:p>
        </w:tc>
      </w:tr>
      <w:tr>
        <w:trPr/>
        <w:tc>
          <w:tcPr>
            <w:tcW w:w="1343" w:type="dxa"/>
            <w:tcBorders/>
            <w:shd w:fill="CCEEFF" w:val="clear"/>
            <w:tcMar>
              <w:bottom w:w="0" w:type="dxa"/>
            </w:tcMar>
            <w:vAlign w:val="center"/>
          </w:tcPr>
          <w:p>
            <w:pPr>
              <w:pStyle w:val="TableContents"/>
              <w:bidi w:val="0"/>
              <w:spacing w:before="0" w:after="0"/>
              <w:jc w:val="left"/>
              <w:rPr>
                <w:color w:val="000000"/>
              </w:rPr>
            </w:pPr>
            <w:r>
              <w:rPr>
                <w:color w:val="000000"/>
              </w:rPr>
              <w:t>101.SCH</w:t>
            </w:r>
          </w:p>
        </w:tc>
        <w:tc>
          <w:tcPr>
            <w:tcW w:w="90" w:type="dxa"/>
            <w:tcBorders/>
            <w:shd w:fill="CCEEFF" w:val="clear"/>
            <w:tcMar>
              <w:bottom w:w="0" w:type="dxa"/>
            </w:tcMar>
            <w:vAlign w:val="center"/>
          </w:tcPr>
          <w:p>
            <w:pPr>
              <w:pStyle w:val="TableContents"/>
              <w:bidi w:val="0"/>
              <w:spacing w:before="0" w:after="283"/>
              <w:jc w:val="left"/>
              <w:rPr/>
            </w:pPr>
            <w:r>
              <w:rPr/>
              <w:t> </w:t>
            </w:r>
          </w:p>
        </w:tc>
        <w:tc>
          <w:tcPr>
            <w:tcW w:w="8772" w:type="dxa"/>
            <w:tcBorders/>
            <w:shd w:fill="CCEEFF" w:val="clear"/>
            <w:tcMar>
              <w:bottom w:w="0" w:type="dxa"/>
            </w:tcMar>
            <w:vAlign w:val="center"/>
          </w:tcPr>
          <w:p>
            <w:pPr>
              <w:pStyle w:val="TableContents"/>
              <w:bidi w:val="0"/>
              <w:spacing w:before="0" w:after="0"/>
              <w:jc w:val="left"/>
              <w:rPr>
                <w:color w:val="000000"/>
              </w:rPr>
            </w:pPr>
            <w:r>
              <w:rPr>
                <w:color w:val="000000"/>
              </w:rPr>
              <w:t>Inline XBRL Taxonomy Extension Schema Document</w:t>
            </w:r>
          </w:p>
        </w:tc>
      </w:tr>
      <w:tr>
        <w:trPr/>
        <w:tc>
          <w:tcPr>
            <w:tcW w:w="1343" w:type="dxa"/>
            <w:tcBorders/>
            <w:tcMar>
              <w:bottom w:w="0" w:type="dxa"/>
            </w:tcMar>
            <w:vAlign w:val="center"/>
          </w:tcPr>
          <w:p>
            <w:pPr>
              <w:pStyle w:val="TableContents"/>
              <w:bidi w:val="0"/>
              <w:spacing w:before="0" w:after="0"/>
              <w:jc w:val="left"/>
              <w:rPr>
                <w:color w:val="000000"/>
              </w:rPr>
            </w:pPr>
            <w:r>
              <w:rPr>
                <w:color w:val="000000"/>
              </w:rPr>
              <w:t>101.CAL</w:t>
            </w:r>
          </w:p>
        </w:tc>
        <w:tc>
          <w:tcPr>
            <w:tcW w:w="90" w:type="dxa"/>
            <w:tcBorders/>
            <w:tcMar>
              <w:bottom w:w="0" w:type="dxa"/>
            </w:tcMar>
            <w:vAlign w:val="center"/>
          </w:tcPr>
          <w:p>
            <w:pPr>
              <w:pStyle w:val="TableContents"/>
              <w:bidi w:val="0"/>
              <w:spacing w:before="0" w:after="283"/>
              <w:jc w:val="left"/>
              <w:rPr/>
            </w:pPr>
            <w:r>
              <w:rPr/>
              <w:t> </w:t>
            </w:r>
          </w:p>
        </w:tc>
        <w:tc>
          <w:tcPr>
            <w:tcW w:w="8772" w:type="dxa"/>
            <w:tcBorders/>
            <w:tcMar>
              <w:bottom w:w="0" w:type="dxa"/>
            </w:tcMar>
            <w:vAlign w:val="center"/>
          </w:tcPr>
          <w:p>
            <w:pPr>
              <w:pStyle w:val="TableContents"/>
              <w:bidi w:val="0"/>
              <w:spacing w:before="0" w:after="0"/>
              <w:jc w:val="left"/>
              <w:rPr>
                <w:color w:val="000000"/>
              </w:rPr>
            </w:pPr>
            <w:r>
              <w:rPr>
                <w:color w:val="000000"/>
              </w:rPr>
              <w:t>Inline XBRL Taxonomy Extension Calculation Linkbase Document</w:t>
            </w:r>
          </w:p>
        </w:tc>
      </w:tr>
      <w:tr>
        <w:trPr/>
        <w:tc>
          <w:tcPr>
            <w:tcW w:w="1343" w:type="dxa"/>
            <w:tcBorders/>
            <w:shd w:fill="CCEEFF" w:val="clear"/>
            <w:tcMar>
              <w:bottom w:w="0" w:type="dxa"/>
            </w:tcMar>
            <w:vAlign w:val="center"/>
          </w:tcPr>
          <w:p>
            <w:pPr>
              <w:pStyle w:val="TableContents"/>
              <w:bidi w:val="0"/>
              <w:spacing w:before="0" w:after="0"/>
              <w:jc w:val="left"/>
              <w:rPr>
                <w:color w:val="000000"/>
              </w:rPr>
            </w:pPr>
            <w:r>
              <w:rPr>
                <w:color w:val="000000"/>
              </w:rPr>
              <w:t>101.DEF</w:t>
            </w:r>
          </w:p>
        </w:tc>
        <w:tc>
          <w:tcPr>
            <w:tcW w:w="90" w:type="dxa"/>
            <w:tcBorders/>
            <w:shd w:fill="CCEEFF" w:val="clear"/>
            <w:tcMar>
              <w:bottom w:w="0" w:type="dxa"/>
            </w:tcMar>
            <w:vAlign w:val="center"/>
          </w:tcPr>
          <w:p>
            <w:pPr>
              <w:pStyle w:val="TableContents"/>
              <w:bidi w:val="0"/>
              <w:spacing w:before="0" w:after="283"/>
              <w:jc w:val="left"/>
              <w:rPr/>
            </w:pPr>
            <w:r>
              <w:rPr/>
              <w:t> </w:t>
            </w:r>
          </w:p>
        </w:tc>
        <w:tc>
          <w:tcPr>
            <w:tcW w:w="8772" w:type="dxa"/>
            <w:tcBorders/>
            <w:shd w:fill="CCEEFF" w:val="clear"/>
            <w:tcMar>
              <w:bottom w:w="0" w:type="dxa"/>
            </w:tcMar>
            <w:vAlign w:val="center"/>
          </w:tcPr>
          <w:p>
            <w:pPr>
              <w:pStyle w:val="TableContents"/>
              <w:bidi w:val="0"/>
              <w:spacing w:before="0" w:after="0"/>
              <w:jc w:val="left"/>
              <w:rPr>
                <w:color w:val="000000"/>
              </w:rPr>
            </w:pPr>
            <w:r>
              <w:rPr>
                <w:color w:val="000000"/>
              </w:rPr>
              <w:t>Inline XBRL Taxonomy Extension Definition Linkbase Document</w:t>
            </w:r>
          </w:p>
        </w:tc>
      </w:tr>
      <w:tr>
        <w:trPr/>
        <w:tc>
          <w:tcPr>
            <w:tcW w:w="1343" w:type="dxa"/>
            <w:tcBorders/>
            <w:tcMar>
              <w:bottom w:w="0" w:type="dxa"/>
            </w:tcMar>
            <w:vAlign w:val="center"/>
          </w:tcPr>
          <w:p>
            <w:pPr>
              <w:pStyle w:val="TableContents"/>
              <w:bidi w:val="0"/>
              <w:spacing w:before="0" w:after="0"/>
              <w:jc w:val="left"/>
              <w:rPr>
                <w:color w:val="000000"/>
              </w:rPr>
            </w:pPr>
            <w:r>
              <w:rPr>
                <w:color w:val="000000"/>
              </w:rPr>
              <w:t>101.LAB</w:t>
            </w:r>
          </w:p>
        </w:tc>
        <w:tc>
          <w:tcPr>
            <w:tcW w:w="90" w:type="dxa"/>
            <w:tcBorders/>
            <w:tcMar>
              <w:bottom w:w="0" w:type="dxa"/>
            </w:tcMar>
            <w:vAlign w:val="center"/>
          </w:tcPr>
          <w:p>
            <w:pPr>
              <w:pStyle w:val="TableContents"/>
              <w:bidi w:val="0"/>
              <w:spacing w:before="0" w:after="283"/>
              <w:jc w:val="left"/>
              <w:rPr/>
            </w:pPr>
            <w:r>
              <w:rPr/>
              <w:t> </w:t>
            </w:r>
          </w:p>
        </w:tc>
        <w:tc>
          <w:tcPr>
            <w:tcW w:w="8772" w:type="dxa"/>
            <w:tcBorders/>
            <w:tcMar>
              <w:bottom w:w="0" w:type="dxa"/>
            </w:tcMar>
            <w:vAlign w:val="center"/>
          </w:tcPr>
          <w:p>
            <w:pPr>
              <w:pStyle w:val="TableContents"/>
              <w:bidi w:val="0"/>
              <w:spacing w:before="0" w:after="0"/>
              <w:jc w:val="left"/>
              <w:rPr>
                <w:color w:val="000000"/>
              </w:rPr>
            </w:pPr>
            <w:r>
              <w:rPr>
                <w:color w:val="000000"/>
              </w:rPr>
              <w:t>Inline XBRL Taxonomy Extension Label Linkbase Document</w:t>
            </w:r>
          </w:p>
        </w:tc>
      </w:tr>
      <w:tr>
        <w:trPr/>
        <w:tc>
          <w:tcPr>
            <w:tcW w:w="1343" w:type="dxa"/>
            <w:tcBorders/>
            <w:shd w:fill="CCEEFF" w:val="clear"/>
            <w:tcMar>
              <w:bottom w:w="0" w:type="dxa"/>
            </w:tcMar>
            <w:vAlign w:val="center"/>
          </w:tcPr>
          <w:p>
            <w:pPr>
              <w:pStyle w:val="TableContents"/>
              <w:bidi w:val="0"/>
              <w:spacing w:before="0" w:after="0"/>
              <w:jc w:val="left"/>
              <w:rPr>
                <w:color w:val="000000"/>
              </w:rPr>
            </w:pPr>
            <w:r>
              <w:rPr>
                <w:color w:val="000000"/>
              </w:rPr>
              <w:t>101.PRE</w:t>
            </w:r>
          </w:p>
        </w:tc>
        <w:tc>
          <w:tcPr>
            <w:tcW w:w="90" w:type="dxa"/>
            <w:tcBorders/>
            <w:shd w:fill="CCEEFF" w:val="clear"/>
            <w:tcMar>
              <w:bottom w:w="0" w:type="dxa"/>
            </w:tcMar>
            <w:vAlign w:val="center"/>
          </w:tcPr>
          <w:p>
            <w:pPr>
              <w:pStyle w:val="TableContents"/>
              <w:bidi w:val="0"/>
              <w:spacing w:before="0" w:after="283"/>
              <w:jc w:val="left"/>
              <w:rPr/>
            </w:pPr>
            <w:r>
              <w:rPr/>
              <w:t> </w:t>
            </w:r>
          </w:p>
        </w:tc>
        <w:tc>
          <w:tcPr>
            <w:tcW w:w="8772" w:type="dxa"/>
            <w:tcBorders/>
            <w:shd w:fill="CCEEFF" w:val="clear"/>
            <w:tcMar>
              <w:bottom w:w="0" w:type="dxa"/>
            </w:tcMar>
            <w:vAlign w:val="center"/>
          </w:tcPr>
          <w:p>
            <w:pPr>
              <w:pStyle w:val="TableContents"/>
              <w:bidi w:val="0"/>
              <w:spacing w:before="0" w:after="0"/>
              <w:jc w:val="left"/>
              <w:rPr>
                <w:color w:val="000000"/>
              </w:rPr>
            </w:pPr>
            <w:r>
              <w:rPr>
                <w:color w:val="000000"/>
              </w:rPr>
              <w:t>Inline XBRL Taxonomy Extension Presentation Linkbase Document</w:t>
            </w:r>
          </w:p>
        </w:tc>
      </w:tr>
      <w:tr>
        <w:trPr/>
        <w:tc>
          <w:tcPr>
            <w:tcW w:w="1343" w:type="dxa"/>
            <w:tcBorders/>
            <w:tcMar>
              <w:bottom w:w="0" w:type="dxa"/>
            </w:tcMar>
            <w:vAlign w:val="center"/>
          </w:tcPr>
          <w:p>
            <w:pPr>
              <w:pStyle w:val="TableContents"/>
              <w:bidi w:val="0"/>
              <w:spacing w:before="0" w:after="0"/>
              <w:jc w:val="left"/>
              <w:rPr>
                <w:color w:val="000000"/>
              </w:rPr>
            </w:pPr>
            <w:r>
              <w:rPr>
                <w:color w:val="000000"/>
              </w:rPr>
              <w:t>104</w:t>
            </w:r>
          </w:p>
        </w:tc>
        <w:tc>
          <w:tcPr>
            <w:tcW w:w="90" w:type="dxa"/>
            <w:tcBorders/>
            <w:tcMar>
              <w:bottom w:w="0" w:type="dxa"/>
            </w:tcMar>
            <w:vAlign w:val="center"/>
          </w:tcPr>
          <w:p>
            <w:pPr>
              <w:pStyle w:val="TableContents"/>
              <w:bidi w:val="0"/>
              <w:spacing w:before="0" w:after="283"/>
              <w:jc w:val="left"/>
              <w:rPr/>
            </w:pPr>
            <w:r>
              <w:rPr/>
              <w:t> </w:t>
            </w:r>
          </w:p>
        </w:tc>
        <w:tc>
          <w:tcPr>
            <w:tcW w:w="8772" w:type="dxa"/>
            <w:tcBorders/>
            <w:tcMar>
              <w:bottom w:w="0" w:type="dxa"/>
            </w:tcMar>
            <w:vAlign w:val="center"/>
          </w:tcPr>
          <w:p>
            <w:pPr>
              <w:pStyle w:val="TableContents"/>
              <w:bidi w:val="0"/>
              <w:spacing w:before="0" w:after="0"/>
              <w:jc w:val="left"/>
              <w:rPr>
                <w:color w:val="000000"/>
              </w:rPr>
            </w:pPr>
            <w:r>
              <w:rPr>
                <w:color w:val="000000"/>
              </w:rPr>
              <w:t>Cover Page Interactive Data File (formatted as inline XBRL and contained in Exhibit 101)</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bookmarkStart w:id="33" w:name="SIGNATURE"/>
      <w:bookmarkEnd w:id="33"/>
      <w:r>
        <w:rPr>
          <w:rFonts w:ascii="Times New Roman" w:hAnsi="Times New Roman"/>
          <w:b/>
          <w:color w:val="000000"/>
          <w:sz w:val="20"/>
          <w:shd w:fill="FFFFFF" w:val="clear"/>
        </w:rPr>
        <w:t>SIGNATURE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August 10, 2026</w:t>
      </w:r>
    </w:p>
    <w:p>
      <w:pPr>
        <w:pStyle w:val="TextBody"/>
        <w:bidi w:val="0"/>
        <w:spacing w:before="0" w:after="0"/>
        <w:jc w:val="left"/>
        <w:rPr/>
      </w:pPr>
      <w:r>
        <w:rPr/>
      </w:r>
    </w:p>
    <w:tbl>
      <w:tblPr>
        <w:tblW w:w="6025" w:type="dxa"/>
        <w:jc w:val="left"/>
        <w:tblInd w:w="0" w:type="dxa"/>
        <w:tblLayout w:type="fixed"/>
        <w:tblCellMar>
          <w:top w:w="0" w:type="dxa"/>
          <w:left w:w="0" w:type="dxa"/>
          <w:bottom w:w="0" w:type="dxa"/>
          <w:right w:w="0" w:type="dxa"/>
        </w:tblCellMar>
      </w:tblPr>
      <w:tblGrid>
        <w:gridCol w:w="395"/>
        <w:gridCol w:w="5510"/>
        <w:gridCol w:w="120"/>
      </w:tblGrid>
      <w:tr>
        <w:trPr/>
        <w:tc>
          <w:tcPr>
            <w:tcW w:w="6025" w:type="dxa"/>
            <w:gridSpan w:val="3"/>
            <w:tcBorders/>
            <w:vAlign w:val="center"/>
          </w:tcPr>
          <w:p>
            <w:pPr>
              <w:pStyle w:val="TableContents"/>
              <w:bidi w:val="0"/>
              <w:spacing w:before="0" w:after="0"/>
              <w:jc w:val="left"/>
              <w:rPr>
                <w:b/>
                <w:color w:val="000000"/>
              </w:rPr>
            </w:pPr>
            <w:r>
              <w:rPr>
                <w:b/>
                <w:color w:val="000000"/>
              </w:rPr>
              <w:t>NU SKIN ENTERPRISES, INC.</w:t>
            </w:r>
          </w:p>
        </w:tc>
      </w:tr>
      <w:tr>
        <w:trPr/>
        <w:tc>
          <w:tcPr>
            <w:tcW w:w="395" w:type="dxa"/>
            <w:tcBorders/>
            <w:vAlign w:val="center"/>
          </w:tcPr>
          <w:p>
            <w:pPr>
              <w:pStyle w:val="TableContents"/>
              <w:bidi w:val="0"/>
              <w:spacing w:before="0" w:after="283"/>
              <w:jc w:val="left"/>
              <w:rPr/>
            </w:pPr>
            <w:r>
              <w:rPr/>
              <w:t> </w:t>
            </w:r>
          </w:p>
        </w:tc>
        <w:tc>
          <w:tcPr>
            <w:tcW w:w="5630" w:type="dxa"/>
            <w:gridSpan w:val="2"/>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jc w:val="left"/>
              <w:rPr>
                <w:color w:val="000000"/>
              </w:rPr>
            </w:pPr>
            <w:r>
              <w:rPr>
                <w:color w:val="000000"/>
              </w:rPr>
              <w:t>By:</w:t>
            </w:r>
          </w:p>
        </w:tc>
        <w:tc>
          <w:tcPr>
            <w:tcW w:w="5510"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Chelsea K. Lantz</w:t>
            </w:r>
          </w:p>
        </w:tc>
        <w:tc>
          <w:tcPr>
            <w:tcW w:w="12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pPr>
            <w:r>
              <w:rPr/>
              <w:t> </w:t>
            </w:r>
          </w:p>
        </w:tc>
        <w:tc>
          <w:tcPr>
            <w:tcW w:w="5510" w:type="dxa"/>
            <w:tcBorders/>
            <w:vAlign w:val="center"/>
          </w:tcPr>
          <w:p>
            <w:pPr>
              <w:pStyle w:val="TableContents"/>
              <w:bidi w:val="0"/>
              <w:spacing w:before="0" w:after="0"/>
              <w:jc w:val="left"/>
              <w:rPr>
                <w:color w:val="000000"/>
              </w:rPr>
            </w:pPr>
            <w:r>
              <w:rPr>
                <w:color w:val="000000"/>
              </w:rPr>
              <w:t>Chelsea K. Lantz</w:t>
            </w:r>
          </w:p>
        </w:tc>
        <w:tc>
          <w:tcPr>
            <w:tcW w:w="12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pPr>
            <w:r>
              <w:rPr/>
              <w:t> </w:t>
            </w:r>
          </w:p>
        </w:tc>
        <w:tc>
          <w:tcPr>
            <w:tcW w:w="5510" w:type="dxa"/>
            <w:tcBorders/>
            <w:vAlign w:val="center"/>
          </w:tcPr>
          <w:p>
            <w:pPr>
              <w:pStyle w:val="TableContents"/>
              <w:bidi w:val="0"/>
              <w:spacing w:before="0" w:after="0"/>
              <w:jc w:val="left"/>
              <w:rPr>
                <w:color w:val="000000"/>
              </w:rPr>
            </w:pPr>
            <w:r>
              <w:rPr>
                <w:color w:val="000000"/>
              </w:rPr>
              <w:t>Chief Financial Officer</w:t>
            </w:r>
          </w:p>
        </w:tc>
        <w:tc>
          <w:tcPr>
            <w:tcW w:w="12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pPr>
            <w:r>
              <w:rPr/>
              <w:t> </w:t>
            </w:r>
          </w:p>
        </w:tc>
        <w:tc>
          <w:tcPr>
            <w:tcW w:w="5510" w:type="dxa"/>
            <w:tcBorders/>
            <w:vAlign w:val="center"/>
          </w:tcPr>
          <w:p>
            <w:pPr>
              <w:pStyle w:val="TableContents"/>
              <w:bidi w:val="0"/>
              <w:spacing w:before="0" w:after="0"/>
              <w:jc w:val="left"/>
              <w:rPr>
                <w:color w:val="000000"/>
              </w:rPr>
            </w:pPr>
            <w:r>
              <w:rPr>
                <w:color w:val="000000"/>
              </w:rPr>
              <w:t>(Duly Authorized Officer and Principal Financial Officer)</w:t>
            </w:r>
          </w:p>
        </w:tc>
        <w:tc>
          <w:tcPr>
            <w:tcW w:w="12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33</w:t>
      </w:r>
    </w:p>
    <w:p>
      <w:pPr>
        <w:pStyle w:val="HorizontalLine"/>
        <w:bidi w:val="0"/>
        <w:jc w:val="left"/>
        <w:rPr/>
      </w:pPr>
      <w:r>
        <w:rPr/>
      </w:r>
    </w:p>
    <w:p>
      <w:pPr>
        <w:pStyle w:val="HorizontalLine"/>
        <w:bidi w:val="0"/>
        <w:jc w:val="right"/>
        <w:rPr/>
      </w:pPr>
      <w:r>
        <w:rPr/>
      </w:r>
      <w:bookmarkStart w:id="34" w:name="ef20075180_ex31-1.htm"/>
      <w:bookmarkStart w:id="35" w:name="ksef20075180_ex311"/>
      <w:bookmarkStart w:id="36" w:name="ef20075180_ex31-1.htm"/>
      <w:bookmarkStart w:id="37" w:name="ksef20075180_ex311"/>
      <w:bookmarkEnd w:id="36"/>
      <w:bookmarkEnd w:id="37"/>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31.1</w:t>
      </w:r>
    </w:p>
    <w:p>
      <w:pPr>
        <w:pStyle w:val="TextBody"/>
        <w:bidi w:val="0"/>
        <w:spacing w:before="0" w:after="0"/>
        <w:jc w:val="righ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SECTION 302 CERTIFICATION OF CHIEF EXECUTIVE OFFICER</w:t>
      </w:r>
    </w:p>
    <w:p>
      <w:pPr>
        <w:pStyle w:val="TextBody"/>
        <w:bidi w:val="0"/>
        <w:spacing w:before="0" w:after="0"/>
        <w:jc w:val="center"/>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 Ryan S. Napierski, certify that:</w:t>
      </w:r>
    </w:p>
    <w:p>
      <w:pPr>
        <w:pStyle w:val="TextBody"/>
        <w:bidi w:val="0"/>
        <w:spacing w:before="0" w:after="0"/>
        <w:jc w:val="both"/>
        <w:rPr/>
      </w:pPr>
      <w:r>
        <w:rPr/>
      </w:r>
    </w:p>
    <w:tbl>
      <w:tblPr>
        <w:tblW w:w="7945" w:type="dxa"/>
        <w:jc w:val="left"/>
        <w:tblInd w:w="0" w:type="dxa"/>
        <w:tblLayout w:type="fixed"/>
        <w:tblCellMar>
          <w:top w:w="0" w:type="dxa"/>
          <w:left w:w="0" w:type="dxa"/>
          <w:bottom w:w="0" w:type="dxa"/>
          <w:right w:w="0" w:type="dxa"/>
        </w:tblCellMar>
      </w:tblPr>
      <w:tblGrid>
        <w:gridCol w:w="245"/>
        <w:gridCol w:w="7700"/>
      </w:tblGrid>
      <w:tr>
        <w:trPr/>
        <w:tc>
          <w:tcPr>
            <w:tcW w:w="245" w:type="dxa"/>
            <w:tcBorders/>
            <w:vAlign w:val="center"/>
          </w:tcPr>
          <w:p>
            <w:pPr>
              <w:pStyle w:val="TableContents"/>
              <w:bidi w:val="0"/>
              <w:spacing w:before="0" w:after="283"/>
              <w:jc w:val="left"/>
              <w:rPr/>
            </w:pPr>
            <w:r>
              <w:rPr/>
              <w:t>1.</w:t>
            </w:r>
          </w:p>
        </w:tc>
        <w:tc>
          <w:tcPr>
            <w:tcW w:w="7700" w:type="dxa"/>
            <w:tcBorders/>
            <w:vAlign w:val="center"/>
          </w:tcPr>
          <w:p>
            <w:pPr>
              <w:pStyle w:val="TableContents"/>
              <w:bidi w:val="0"/>
              <w:spacing w:before="0" w:after="0"/>
              <w:jc w:val="both"/>
              <w:rPr/>
            </w:pPr>
            <w:r>
              <w:rPr/>
              <w:t>I have reviewed this quarterly report on Form 10-Q of Nu Skin Enterprises, Inc.;</w:t>
            </w:r>
          </w:p>
        </w:tc>
      </w:tr>
    </w:tbl>
    <w:p>
      <w:pPr>
        <w:pStyle w:val="TextBody"/>
        <w:bidi w:val="0"/>
        <w:spacing w:before="0" w:after="0"/>
        <w:jc w:val="both"/>
        <w:rPr/>
      </w:pPr>
      <w:r>
        <w:rPr/>
      </w:r>
    </w:p>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283"/>
              <w:jc w:val="left"/>
              <w:rPr/>
            </w:pPr>
            <w:r>
              <w:rPr/>
              <w:t>2.</w:t>
            </w:r>
          </w:p>
        </w:tc>
        <w:tc>
          <w:tcPr>
            <w:tcW w:w="10001" w:type="dxa"/>
            <w:tcBorders/>
            <w:vAlign w:val="center"/>
          </w:tcPr>
          <w:p>
            <w:pPr>
              <w:pStyle w:val="TableContents"/>
              <w:bidi w:val="0"/>
              <w:spacing w:before="0" w:after="0"/>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both"/>
        <w:rPr/>
      </w:pPr>
      <w:r>
        <w:rPr/>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pPr>
            <w:r>
              <w:rPr/>
              <w:t>3.</w:t>
            </w:r>
          </w:p>
        </w:tc>
        <w:tc>
          <w:tcPr>
            <w:tcW w:w="9999" w:type="dxa"/>
            <w:tcBorders/>
            <w:vAlign w:val="center"/>
          </w:tcPr>
          <w:p>
            <w:pPr>
              <w:pStyle w:val="TableContents"/>
              <w:bidi w:val="0"/>
              <w:spacing w:before="0" w:after="0"/>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both"/>
        <w:rPr/>
      </w:pPr>
      <w:r>
        <w:rPr/>
      </w:r>
    </w:p>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283"/>
              <w:jc w:val="left"/>
              <w:rPr/>
            </w:pPr>
            <w:r>
              <w:rPr/>
              <w:t>4.</w:t>
            </w:r>
          </w:p>
        </w:tc>
        <w:tc>
          <w:tcPr>
            <w:tcW w:w="10003" w:type="dxa"/>
            <w:tcBorders/>
            <w:vAlign w:val="center"/>
          </w:tcPr>
          <w:p>
            <w:pPr>
              <w:pStyle w:val="TableContents"/>
              <w:bidi w:val="0"/>
              <w:spacing w:before="0" w:after="0"/>
              <w:jc w:val="both"/>
              <w:rPr/>
            </w:pPr>
            <w:r>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both"/>
        <w:rPr/>
      </w:pPr>
      <w:r>
        <w:rPr/>
      </w:r>
    </w:p>
    <w:tbl>
      <w:tblPr>
        <w:tblW w:w="10205" w:type="dxa"/>
        <w:jc w:val="left"/>
        <w:tblInd w:w="0" w:type="dxa"/>
        <w:tblLayout w:type="fixed"/>
        <w:tblCellMar>
          <w:top w:w="0" w:type="dxa"/>
          <w:left w:w="0" w:type="dxa"/>
          <w:bottom w:w="0" w:type="dxa"/>
          <w:right w:w="0" w:type="dxa"/>
        </w:tblCellMar>
      </w:tblPr>
      <w:tblGrid>
        <w:gridCol w:w="68"/>
        <w:gridCol w:w="249"/>
        <w:gridCol w:w="9888"/>
      </w:tblGrid>
      <w:tr>
        <w:trPr/>
        <w:tc>
          <w:tcPr>
            <w:tcW w:w="68" w:type="dxa"/>
            <w:tcBorders/>
            <w:vAlign w:val="center"/>
          </w:tcPr>
          <w:p>
            <w:pPr>
              <w:pStyle w:val="TableContents"/>
              <w:bidi w:val="0"/>
              <w:spacing w:before="0" w:after="283"/>
              <w:jc w:val="left"/>
              <w:rPr/>
            </w:pPr>
            <w:r>
              <w:rPr/>
            </w:r>
          </w:p>
        </w:tc>
        <w:tc>
          <w:tcPr>
            <w:tcW w:w="249" w:type="dxa"/>
            <w:tcBorders/>
            <w:vAlign w:val="center"/>
          </w:tcPr>
          <w:p>
            <w:pPr>
              <w:pStyle w:val="TableContents"/>
              <w:bidi w:val="0"/>
              <w:spacing w:before="0" w:after="283"/>
              <w:jc w:val="left"/>
              <w:rPr/>
            </w:pPr>
            <w:r>
              <w:rPr/>
              <w:t>(a)</w:t>
            </w:r>
          </w:p>
        </w:tc>
        <w:tc>
          <w:tcPr>
            <w:tcW w:w="9888" w:type="dxa"/>
            <w:tcBorders/>
            <w:vAlign w:val="center"/>
          </w:tcPr>
          <w:p>
            <w:pPr>
              <w:pStyle w:val="TableContents"/>
              <w:bidi w:val="0"/>
              <w:spacing w:before="0" w:after="0"/>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both"/>
        <w:rPr/>
      </w:pPr>
      <w:r>
        <w:rPr/>
      </w:r>
    </w:p>
    <w:tbl>
      <w:tblPr>
        <w:tblW w:w="10205" w:type="dxa"/>
        <w:jc w:val="left"/>
        <w:tblInd w:w="0" w:type="dxa"/>
        <w:tblLayout w:type="fixed"/>
        <w:tblCellMar>
          <w:top w:w="0" w:type="dxa"/>
          <w:left w:w="0" w:type="dxa"/>
          <w:bottom w:w="0" w:type="dxa"/>
          <w:right w:w="0" w:type="dxa"/>
        </w:tblCellMar>
      </w:tblPr>
      <w:tblGrid>
        <w:gridCol w:w="68"/>
        <w:gridCol w:w="265"/>
        <w:gridCol w:w="9872"/>
      </w:tblGrid>
      <w:tr>
        <w:trPr/>
        <w:tc>
          <w:tcPr>
            <w:tcW w:w="68" w:type="dxa"/>
            <w:tcBorders/>
            <w:vAlign w:val="center"/>
          </w:tcPr>
          <w:p>
            <w:pPr>
              <w:pStyle w:val="TableContents"/>
              <w:bidi w:val="0"/>
              <w:spacing w:before="0" w:after="283"/>
              <w:jc w:val="left"/>
              <w:rPr/>
            </w:pPr>
            <w:r>
              <w:rPr/>
            </w:r>
          </w:p>
        </w:tc>
        <w:tc>
          <w:tcPr>
            <w:tcW w:w="265" w:type="dxa"/>
            <w:tcBorders/>
            <w:vAlign w:val="center"/>
          </w:tcPr>
          <w:p>
            <w:pPr>
              <w:pStyle w:val="TableContents"/>
              <w:bidi w:val="0"/>
              <w:spacing w:before="0" w:after="283"/>
              <w:jc w:val="left"/>
              <w:rPr/>
            </w:pPr>
            <w:r>
              <w:rPr/>
              <w:t>(b)</w:t>
            </w:r>
          </w:p>
        </w:tc>
        <w:tc>
          <w:tcPr>
            <w:tcW w:w="9872" w:type="dxa"/>
            <w:tcBorders/>
            <w:vAlign w:val="center"/>
          </w:tcPr>
          <w:p>
            <w:pPr>
              <w:pStyle w:val="TableContents"/>
              <w:bidi w:val="0"/>
              <w:spacing w:before="0" w:after="0"/>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720" w:right="0" w:hanging="0"/>
        <w:jc w:val="both"/>
        <w:rPr/>
      </w:pPr>
      <w:r>
        <w:rPr/>
      </w:r>
    </w:p>
    <w:tbl>
      <w:tblPr>
        <w:tblW w:w="10205" w:type="dxa"/>
        <w:jc w:val="left"/>
        <w:tblInd w:w="0" w:type="dxa"/>
        <w:tblLayout w:type="fixed"/>
        <w:tblCellMar>
          <w:top w:w="0" w:type="dxa"/>
          <w:left w:w="0" w:type="dxa"/>
          <w:bottom w:w="0" w:type="dxa"/>
          <w:right w:w="0" w:type="dxa"/>
        </w:tblCellMar>
      </w:tblPr>
      <w:tblGrid>
        <w:gridCol w:w="68"/>
        <w:gridCol w:w="256"/>
        <w:gridCol w:w="9881"/>
      </w:tblGrid>
      <w:tr>
        <w:trPr/>
        <w:tc>
          <w:tcPr>
            <w:tcW w:w="68" w:type="dxa"/>
            <w:tcBorders/>
            <w:vAlign w:val="center"/>
          </w:tcPr>
          <w:p>
            <w:pPr>
              <w:pStyle w:val="TableContents"/>
              <w:bidi w:val="0"/>
              <w:spacing w:before="0" w:after="283"/>
              <w:jc w:val="left"/>
              <w:rPr/>
            </w:pPr>
            <w:r>
              <w:rPr/>
            </w:r>
          </w:p>
        </w:tc>
        <w:tc>
          <w:tcPr>
            <w:tcW w:w="256" w:type="dxa"/>
            <w:tcBorders/>
            <w:vAlign w:val="center"/>
          </w:tcPr>
          <w:p>
            <w:pPr>
              <w:pStyle w:val="TableContents"/>
              <w:bidi w:val="0"/>
              <w:spacing w:before="0" w:after="283"/>
              <w:jc w:val="left"/>
              <w:rPr/>
            </w:pPr>
            <w:r>
              <w:rPr/>
              <w:t>(c)</w:t>
            </w:r>
          </w:p>
        </w:tc>
        <w:tc>
          <w:tcPr>
            <w:tcW w:w="9881" w:type="dxa"/>
            <w:tcBorders/>
            <w:vAlign w:val="center"/>
          </w:tcPr>
          <w:p>
            <w:pPr>
              <w:pStyle w:val="TableContents"/>
              <w:bidi w:val="0"/>
              <w:spacing w:before="0" w:after="0"/>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720" w:right="0" w:hanging="0"/>
        <w:jc w:val="both"/>
        <w:rPr/>
      </w:pPr>
      <w:r>
        <w:rPr/>
      </w:r>
    </w:p>
    <w:tbl>
      <w:tblPr>
        <w:tblW w:w="10205" w:type="dxa"/>
        <w:jc w:val="left"/>
        <w:tblInd w:w="0" w:type="dxa"/>
        <w:tblLayout w:type="fixed"/>
        <w:tblCellMar>
          <w:top w:w="0" w:type="dxa"/>
          <w:left w:w="0" w:type="dxa"/>
          <w:bottom w:w="0" w:type="dxa"/>
          <w:right w:w="0" w:type="dxa"/>
        </w:tblCellMar>
      </w:tblPr>
      <w:tblGrid>
        <w:gridCol w:w="68"/>
        <w:gridCol w:w="265"/>
        <w:gridCol w:w="9872"/>
      </w:tblGrid>
      <w:tr>
        <w:trPr/>
        <w:tc>
          <w:tcPr>
            <w:tcW w:w="68" w:type="dxa"/>
            <w:tcBorders/>
            <w:vAlign w:val="center"/>
          </w:tcPr>
          <w:p>
            <w:pPr>
              <w:pStyle w:val="TableContents"/>
              <w:bidi w:val="0"/>
              <w:spacing w:before="0" w:after="283"/>
              <w:jc w:val="left"/>
              <w:rPr/>
            </w:pPr>
            <w:r>
              <w:rPr/>
            </w:r>
          </w:p>
        </w:tc>
        <w:tc>
          <w:tcPr>
            <w:tcW w:w="265" w:type="dxa"/>
            <w:tcBorders/>
            <w:vAlign w:val="center"/>
          </w:tcPr>
          <w:p>
            <w:pPr>
              <w:pStyle w:val="TableContents"/>
              <w:bidi w:val="0"/>
              <w:spacing w:before="0" w:after="283"/>
              <w:jc w:val="left"/>
              <w:rPr/>
            </w:pPr>
            <w:r>
              <w:rPr/>
              <w:t>(d)</w:t>
            </w:r>
          </w:p>
        </w:tc>
        <w:tc>
          <w:tcPr>
            <w:tcW w:w="9872" w:type="dxa"/>
            <w:tcBorders/>
            <w:vAlign w:val="center"/>
          </w:tcPr>
          <w:p>
            <w:pPr>
              <w:pStyle w:val="TableContents"/>
              <w:bidi w:val="0"/>
              <w:spacing w:before="0" w:after="0"/>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both"/>
        <w:rPr/>
      </w:pPr>
      <w:r>
        <w:rPr/>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pPr>
            <w:r>
              <w:rPr/>
              <w:t>5.</w:t>
            </w:r>
          </w:p>
        </w:tc>
        <w:tc>
          <w:tcPr>
            <w:tcW w:w="9999" w:type="dxa"/>
            <w:tcBorders/>
            <w:vAlign w:val="center"/>
          </w:tcPr>
          <w:p>
            <w:pPr>
              <w:pStyle w:val="TableContents"/>
              <w:bidi w:val="0"/>
              <w:spacing w:before="0" w:after="0"/>
              <w:jc w:val="both"/>
              <w:rPr/>
            </w:pPr>
            <w:r>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both"/>
        <w:rPr/>
      </w:pPr>
      <w:r>
        <w:rPr/>
      </w:r>
    </w:p>
    <w:tbl>
      <w:tblPr>
        <w:tblW w:w="10205" w:type="dxa"/>
        <w:jc w:val="left"/>
        <w:tblInd w:w="0" w:type="dxa"/>
        <w:tblLayout w:type="fixed"/>
        <w:tblCellMar>
          <w:top w:w="0" w:type="dxa"/>
          <w:left w:w="0" w:type="dxa"/>
          <w:bottom w:w="0" w:type="dxa"/>
          <w:right w:w="0" w:type="dxa"/>
        </w:tblCellMar>
      </w:tblPr>
      <w:tblGrid>
        <w:gridCol w:w="68"/>
        <w:gridCol w:w="258"/>
        <w:gridCol w:w="9879"/>
      </w:tblGrid>
      <w:tr>
        <w:trPr/>
        <w:tc>
          <w:tcPr>
            <w:tcW w:w="68" w:type="dxa"/>
            <w:tcBorders/>
            <w:vAlign w:val="center"/>
          </w:tcPr>
          <w:p>
            <w:pPr>
              <w:pStyle w:val="TableContents"/>
              <w:bidi w:val="0"/>
              <w:spacing w:before="0" w:after="283"/>
              <w:jc w:val="left"/>
              <w:rPr/>
            </w:pPr>
            <w:r>
              <w:rPr/>
            </w:r>
          </w:p>
        </w:tc>
        <w:tc>
          <w:tcPr>
            <w:tcW w:w="258" w:type="dxa"/>
            <w:tcBorders/>
            <w:vAlign w:val="center"/>
          </w:tcPr>
          <w:p>
            <w:pPr>
              <w:pStyle w:val="TableContents"/>
              <w:bidi w:val="0"/>
              <w:spacing w:before="0" w:after="283"/>
              <w:jc w:val="left"/>
              <w:rPr/>
            </w:pPr>
            <w:r>
              <w:rPr/>
              <w:t>(a)</w:t>
            </w:r>
          </w:p>
        </w:tc>
        <w:tc>
          <w:tcPr>
            <w:tcW w:w="9879" w:type="dxa"/>
            <w:tcBorders/>
            <w:vAlign w:val="center"/>
          </w:tcPr>
          <w:p>
            <w:pPr>
              <w:pStyle w:val="TableContents"/>
              <w:bidi w:val="0"/>
              <w:spacing w:before="0" w:after="0"/>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720" w:right="0" w:hanging="0"/>
        <w:jc w:val="both"/>
        <w:rPr/>
      </w:pPr>
      <w:r>
        <w:rPr/>
      </w:r>
    </w:p>
    <w:tbl>
      <w:tblPr>
        <w:tblW w:w="10205" w:type="dxa"/>
        <w:jc w:val="left"/>
        <w:tblInd w:w="0" w:type="dxa"/>
        <w:tblLayout w:type="fixed"/>
        <w:tblCellMar>
          <w:top w:w="0" w:type="dxa"/>
          <w:left w:w="0" w:type="dxa"/>
          <w:bottom w:w="0" w:type="dxa"/>
          <w:right w:w="0" w:type="dxa"/>
        </w:tblCellMar>
      </w:tblPr>
      <w:tblGrid>
        <w:gridCol w:w="68"/>
        <w:gridCol w:w="288"/>
        <w:gridCol w:w="9849"/>
      </w:tblGrid>
      <w:tr>
        <w:trPr/>
        <w:tc>
          <w:tcPr>
            <w:tcW w:w="68" w:type="dxa"/>
            <w:tcBorders/>
            <w:vAlign w:val="center"/>
          </w:tcPr>
          <w:p>
            <w:pPr>
              <w:pStyle w:val="TableContents"/>
              <w:bidi w:val="0"/>
              <w:spacing w:before="0" w:after="283"/>
              <w:jc w:val="left"/>
              <w:rPr/>
            </w:pPr>
            <w:r>
              <w:rPr/>
            </w:r>
          </w:p>
        </w:tc>
        <w:tc>
          <w:tcPr>
            <w:tcW w:w="288" w:type="dxa"/>
            <w:tcBorders/>
            <w:vAlign w:val="center"/>
          </w:tcPr>
          <w:p>
            <w:pPr>
              <w:pStyle w:val="TableContents"/>
              <w:bidi w:val="0"/>
              <w:spacing w:before="0" w:after="283"/>
              <w:jc w:val="left"/>
              <w:rPr/>
            </w:pPr>
            <w:r>
              <w:rPr/>
              <w:t>(b)</w:t>
            </w:r>
          </w:p>
        </w:tc>
        <w:tc>
          <w:tcPr>
            <w:tcW w:w="9849" w:type="dxa"/>
            <w:tcBorders/>
            <w:vAlign w:val="center"/>
          </w:tcPr>
          <w:p>
            <w:pPr>
              <w:pStyle w:val="TableContents"/>
              <w:bidi w:val="0"/>
              <w:spacing w:before="0" w:after="0"/>
              <w:jc w:val="both"/>
              <w:rPr/>
            </w:pPr>
            <w:r>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p>
      <w:pPr>
        <w:pStyle w:val="TextBody"/>
        <w:bidi w:val="0"/>
        <w:spacing w:before="0" w:after="0"/>
        <w:jc w:val="left"/>
        <w:rPr/>
      </w:pPr>
      <w:r>
        <w:rPr/>
      </w:r>
    </w:p>
    <w:tbl>
      <w:tblPr>
        <w:tblW w:w="4675" w:type="dxa"/>
        <w:jc w:val="left"/>
        <w:tblInd w:w="0" w:type="dxa"/>
        <w:tblLayout w:type="fixed"/>
        <w:tblCellMar>
          <w:top w:w="0" w:type="dxa"/>
          <w:left w:w="0" w:type="dxa"/>
          <w:bottom w:w="0" w:type="dxa"/>
          <w:right w:w="0" w:type="dxa"/>
        </w:tblCellMar>
      </w:tblPr>
      <w:tblGrid>
        <w:gridCol w:w="2225"/>
        <w:gridCol w:w="2315"/>
        <w:gridCol w:w="135"/>
      </w:tblGrid>
      <w:tr>
        <w:trPr/>
        <w:tc>
          <w:tcPr>
            <w:tcW w:w="2225"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0"/>
              <w:jc w:val="left"/>
              <w:rPr/>
            </w:pPr>
            <w:r>
              <w:rPr/>
              <w:t>Date: August 10, 2026</w:t>
            </w:r>
          </w:p>
        </w:tc>
        <w:tc>
          <w:tcPr>
            <w:tcW w:w="2315" w:type="dxa"/>
            <w:tcBorders>
              <w:bottom w:val="single" w:sz="12" w:space="0" w:color="000000"/>
            </w:tcBorders>
            <w:tcMar>
              <w:bottom w:w="28" w:type="dxa"/>
            </w:tcMar>
            <w:vAlign w:val="center"/>
          </w:tcPr>
          <w:p>
            <w:pPr>
              <w:pStyle w:val="TableContents"/>
              <w:bidi w:val="0"/>
              <w:spacing w:before="0" w:after="0"/>
              <w:jc w:val="left"/>
              <w:rPr/>
            </w:pPr>
            <w:r>
              <w:rPr/>
              <w:t>/s/ Ryan S. Napierski</w:t>
            </w:r>
          </w:p>
        </w:tc>
        <w:tc>
          <w:tcPr>
            <w:tcW w:w="13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2315" w:type="dxa"/>
            <w:tcBorders>
              <w:top w:val="single" w:sz="12" w:space="0" w:color="000000"/>
            </w:tcBorders>
            <w:tcMar>
              <w:top w:w="28" w:type="dxa"/>
            </w:tcMar>
            <w:vAlign w:val="center"/>
          </w:tcPr>
          <w:p>
            <w:pPr>
              <w:pStyle w:val="TableContents"/>
              <w:bidi w:val="0"/>
              <w:spacing w:before="0" w:after="0"/>
              <w:jc w:val="left"/>
              <w:rPr/>
            </w:pPr>
            <w:r>
              <w:rPr/>
              <w:t>Ryan S. Napierski</w:t>
            </w:r>
          </w:p>
        </w:tc>
        <w:tc>
          <w:tcPr>
            <w:tcW w:w="13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0"/>
              <w:jc w:val="left"/>
              <w:rPr/>
            </w:pPr>
            <w:r>
              <w:rPr/>
              <w:t>Chief Executive Officer</w:t>
            </w:r>
          </w:p>
        </w:tc>
        <w:tc>
          <w:tcPr>
            <w:tcW w:w="13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HorizontalLine"/>
        <w:bidi w:val="0"/>
        <w:jc w:val="left"/>
        <w:rPr/>
      </w:pPr>
      <w:r>
        <w:rPr/>
      </w:r>
    </w:p>
    <w:p>
      <w:pPr>
        <w:pStyle w:val="HorizontalLine"/>
        <w:bidi w:val="0"/>
        <w:jc w:val="right"/>
        <w:rPr/>
      </w:pPr>
      <w:r>
        <w:rPr/>
      </w:r>
      <w:bookmarkStart w:id="38" w:name="ef20075180_ex31-2.htm"/>
      <w:bookmarkStart w:id="39" w:name="ksef20075180_ex312"/>
      <w:bookmarkStart w:id="40" w:name="ef20075180_ex31-2.htm"/>
      <w:bookmarkStart w:id="41" w:name="ksef20075180_ex312"/>
      <w:bookmarkEnd w:id="40"/>
      <w:bookmarkEnd w:id="41"/>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31.2</w:t>
      </w:r>
    </w:p>
    <w:p>
      <w:pPr>
        <w:pStyle w:val="TextBody"/>
        <w:bidi w:val="0"/>
        <w:spacing w:before="0" w:after="0"/>
        <w:jc w:val="center"/>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SECTION 302 CERTIFICATION OF CHIEF FINANCIAL OFFICER</w:t>
      </w:r>
    </w:p>
    <w:p>
      <w:pPr>
        <w:pStyle w:val="TextBody"/>
        <w:bidi w:val="0"/>
        <w:spacing w:before="0" w:after="0"/>
        <w:jc w:val="center"/>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 Chelsea K. Lantz, certify that:</w:t>
      </w:r>
    </w:p>
    <w:p>
      <w:pPr>
        <w:pStyle w:val="TextBody"/>
        <w:bidi w:val="0"/>
        <w:spacing w:before="0" w:after="0"/>
        <w:jc w:val="both"/>
        <w:rPr/>
      </w:pPr>
      <w:r>
        <w:rPr/>
      </w:r>
    </w:p>
    <w:tbl>
      <w:tblPr>
        <w:tblW w:w="7945" w:type="dxa"/>
        <w:jc w:val="left"/>
        <w:tblInd w:w="0" w:type="dxa"/>
        <w:tblLayout w:type="fixed"/>
        <w:tblCellMar>
          <w:top w:w="0" w:type="dxa"/>
          <w:left w:w="0" w:type="dxa"/>
          <w:bottom w:w="0" w:type="dxa"/>
          <w:right w:w="0" w:type="dxa"/>
        </w:tblCellMar>
      </w:tblPr>
      <w:tblGrid>
        <w:gridCol w:w="245"/>
        <w:gridCol w:w="7700"/>
      </w:tblGrid>
      <w:tr>
        <w:trPr/>
        <w:tc>
          <w:tcPr>
            <w:tcW w:w="245" w:type="dxa"/>
            <w:tcBorders/>
            <w:vAlign w:val="center"/>
          </w:tcPr>
          <w:p>
            <w:pPr>
              <w:pStyle w:val="TableContents"/>
              <w:bidi w:val="0"/>
              <w:spacing w:before="0" w:after="283"/>
              <w:jc w:val="left"/>
              <w:rPr/>
            </w:pPr>
            <w:r>
              <w:rPr/>
              <w:t>1.</w:t>
            </w:r>
          </w:p>
        </w:tc>
        <w:tc>
          <w:tcPr>
            <w:tcW w:w="7700" w:type="dxa"/>
            <w:tcBorders/>
            <w:vAlign w:val="center"/>
          </w:tcPr>
          <w:p>
            <w:pPr>
              <w:pStyle w:val="TableContents"/>
              <w:bidi w:val="0"/>
              <w:spacing w:before="0" w:after="0"/>
              <w:jc w:val="both"/>
              <w:rPr/>
            </w:pPr>
            <w:r>
              <w:rPr/>
              <w:t>I have reviewed this quarterly report on Form 10-Q of Nu Skin Enterprises, Inc.;</w:t>
            </w:r>
          </w:p>
        </w:tc>
      </w:tr>
    </w:tbl>
    <w:p>
      <w:pPr>
        <w:pStyle w:val="TextBody"/>
        <w:bidi w:val="0"/>
        <w:spacing w:before="0" w:after="0"/>
        <w:jc w:val="both"/>
        <w:rPr/>
      </w:pPr>
      <w:r>
        <w:rPr/>
      </w:r>
    </w:p>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283"/>
              <w:jc w:val="left"/>
              <w:rPr/>
            </w:pPr>
            <w:r>
              <w:rPr/>
              <w:t>2.</w:t>
            </w:r>
          </w:p>
        </w:tc>
        <w:tc>
          <w:tcPr>
            <w:tcW w:w="10001" w:type="dxa"/>
            <w:tcBorders/>
            <w:vAlign w:val="center"/>
          </w:tcPr>
          <w:p>
            <w:pPr>
              <w:pStyle w:val="TableContents"/>
              <w:bidi w:val="0"/>
              <w:spacing w:before="0" w:after="0"/>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both"/>
        <w:rPr/>
      </w:pPr>
      <w:r>
        <w:rPr/>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pPr>
            <w:r>
              <w:rPr/>
              <w:t>3.</w:t>
            </w:r>
          </w:p>
        </w:tc>
        <w:tc>
          <w:tcPr>
            <w:tcW w:w="9999" w:type="dxa"/>
            <w:tcBorders/>
            <w:vAlign w:val="center"/>
          </w:tcPr>
          <w:p>
            <w:pPr>
              <w:pStyle w:val="TableContents"/>
              <w:bidi w:val="0"/>
              <w:spacing w:before="0" w:after="0"/>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both"/>
        <w:rPr/>
      </w:pPr>
      <w:r>
        <w:rPr/>
      </w:r>
    </w:p>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283"/>
              <w:jc w:val="left"/>
              <w:rPr/>
            </w:pPr>
            <w:r>
              <w:rPr/>
              <w:t>4.</w:t>
            </w:r>
          </w:p>
        </w:tc>
        <w:tc>
          <w:tcPr>
            <w:tcW w:w="10003" w:type="dxa"/>
            <w:tcBorders/>
            <w:vAlign w:val="center"/>
          </w:tcPr>
          <w:p>
            <w:pPr>
              <w:pStyle w:val="TableContents"/>
              <w:bidi w:val="0"/>
              <w:spacing w:before="0" w:after="0"/>
              <w:jc w:val="both"/>
              <w:rPr/>
            </w:pPr>
            <w:r>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both"/>
        <w:rPr/>
      </w:pPr>
      <w:r>
        <w:rPr/>
      </w:r>
    </w:p>
    <w:tbl>
      <w:tblPr>
        <w:tblW w:w="10205" w:type="dxa"/>
        <w:jc w:val="left"/>
        <w:tblInd w:w="0" w:type="dxa"/>
        <w:tblLayout w:type="fixed"/>
        <w:tblCellMar>
          <w:top w:w="0" w:type="dxa"/>
          <w:left w:w="0" w:type="dxa"/>
          <w:bottom w:w="0" w:type="dxa"/>
          <w:right w:w="0" w:type="dxa"/>
        </w:tblCellMar>
      </w:tblPr>
      <w:tblGrid>
        <w:gridCol w:w="68"/>
        <w:gridCol w:w="249"/>
        <w:gridCol w:w="9888"/>
      </w:tblGrid>
      <w:tr>
        <w:trPr/>
        <w:tc>
          <w:tcPr>
            <w:tcW w:w="68" w:type="dxa"/>
            <w:tcBorders/>
            <w:vAlign w:val="center"/>
          </w:tcPr>
          <w:p>
            <w:pPr>
              <w:pStyle w:val="TableContents"/>
              <w:bidi w:val="0"/>
              <w:spacing w:before="0" w:after="283"/>
              <w:jc w:val="left"/>
              <w:rPr/>
            </w:pPr>
            <w:r>
              <w:rPr/>
            </w:r>
          </w:p>
        </w:tc>
        <w:tc>
          <w:tcPr>
            <w:tcW w:w="249" w:type="dxa"/>
            <w:tcBorders/>
            <w:vAlign w:val="center"/>
          </w:tcPr>
          <w:p>
            <w:pPr>
              <w:pStyle w:val="TableContents"/>
              <w:bidi w:val="0"/>
              <w:spacing w:before="0" w:after="283"/>
              <w:jc w:val="left"/>
              <w:rPr/>
            </w:pPr>
            <w:r>
              <w:rPr/>
              <w:t>(a)</w:t>
            </w:r>
          </w:p>
        </w:tc>
        <w:tc>
          <w:tcPr>
            <w:tcW w:w="9888" w:type="dxa"/>
            <w:tcBorders/>
            <w:vAlign w:val="center"/>
          </w:tcPr>
          <w:p>
            <w:pPr>
              <w:pStyle w:val="TableContents"/>
              <w:bidi w:val="0"/>
              <w:spacing w:before="0" w:after="0"/>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both"/>
        <w:rPr/>
      </w:pPr>
      <w:r>
        <w:rPr/>
      </w:r>
    </w:p>
    <w:tbl>
      <w:tblPr>
        <w:tblW w:w="10205" w:type="dxa"/>
        <w:jc w:val="left"/>
        <w:tblInd w:w="0" w:type="dxa"/>
        <w:tblLayout w:type="fixed"/>
        <w:tblCellMar>
          <w:top w:w="0" w:type="dxa"/>
          <w:left w:w="0" w:type="dxa"/>
          <w:bottom w:w="0" w:type="dxa"/>
          <w:right w:w="0" w:type="dxa"/>
        </w:tblCellMar>
      </w:tblPr>
      <w:tblGrid>
        <w:gridCol w:w="68"/>
        <w:gridCol w:w="265"/>
        <w:gridCol w:w="9872"/>
      </w:tblGrid>
      <w:tr>
        <w:trPr/>
        <w:tc>
          <w:tcPr>
            <w:tcW w:w="68" w:type="dxa"/>
            <w:tcBorders/>
            <w:vAlign w:val="center"/>
          </w:tcPr>
          <w:p>
            <w:pPr>
              <w:pStyle w:val="TableContents"/>
              <w:bidi w:val="0"/>
              <w:spacing w:before="0" w:after="283"/>
              <w:jc w:val="left"/>
              <w:rPr/>
            </w:pPr>
            <w:r>
              <w:rPr/>
            </w:r>
          </w:p>
        </w:tc>
        <w:tc>
          <w:tcPr>
            <w:tcW w:w="265" w:type="dxa"/>
            <w:tcBorders/>
            <w:vAlign w:val="center"/>
          </w:tcPr>
          <w:p>
            <w:pPr>
              <w:pStyle w:val="TableContents"/>
              <w:bidi w:val="0"/>
              <w:spacing w:before="0" w:after="283"/>
              <w:jc w:val="left"/>
              <w:rPr/>
            </w:pPr>
            <w:r>
              <w:rPr/>
              <w:t>(b)</w:t>
            </w:r>
          </w:p>
        </w:tc>
        <w:tc>
          <w:tcPr>
            <w:tcW w:w="9872" w:type="dxa"/>
            <w:tcBorders/>
            <w:vAlign w:val="center"/>
          </w:tcPr>
          <w:p>
            <w:pPr>
              <w:pStyle w:val="TableContents"/>
              <w:bidi w:val="0"/>
              <w:spacing w:before="0" w:after="0"/>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720" w:right="0" w:hanging="0"/>
        <w:jc w:val="both"/>
        <w:rPr/>
      </w:pPr>
      <w:r>
        <w:rPr/>
      </w:r>
    </w:p>
    <w:tbl>
      <w:tblPr>
        <w:tblW w:w="10205" w:type="dxa"/>
        <w:jc w:val="left"/>
        <w:tblInd w:w="0" w:type="dxa"/>
        <w:tblLayout w:type="fixed"/>
        <w:tblCellMar>
          <w:top w:w="0" w:type="dxa"/>
          <w:left w:w="0" w:type="dxa"/>
          <w:bottom w:w="0" w:type="dxa"/>
          <w:right w:w="0" w:type="dxa"/>
        </w:tblCellMar>
      </w:tblPr>
      <w:tblGrid>
        <w:gridCol w:w="68"/>
        <w:gridCol w:w="256"/>
        <w:gridCol w:w="9881"/>
      </w:tblGrid>
      <w:tr>
        <w:trPr/>
        <w:tc>
          <w:tcPr>
            <w:tcW w:w="68" w:type="dxa"/>
            <w:tcBorders/>
            <w:vAlign w:val="center"/>
          </w:tcPr>
          <w:p>
            <w:pPr>
              <w:pStyle w:val="TableContents"/>
              <w:bidi w:val="0"/>
              <w:spacing w:before="0" w:after="283"/>
              <w:jc w:val="left"/>
              <w:rPr/>
            </w:pPr>
            <w:r>
              <w:rPr/>
            </w:r>
          </w:p>
        </w:tc>
        <w:tc>
          <w:tcPr>
            <w:tcW w:w="256" w:type="dxa"/>
            <w:tcBorders/>
            <w:vAlign w:val="center"/>
          </w:tcPr>
          <w:p>
            <w:pPr>
              <w:pStyle w:val="TableContents"/>
              <w:bidi w:val="0"/>
              <w:spacing w:before="0" w:after="283"/>
              <w:jc w:val="left"/>
              <w:rPr/>
            </w:pPr>
            <w:r>
              <w:rPr/>
              <w:t>(c)</w:t>
            </w:r>
          </w:p>
        </w:tc>
        <w:tc>
          <w:tcPr>
            <w:tcW w:w="9881" w:type="dxa"/>
            <w:tcBorders/>
            <w:vAlign w:val="center"/>
          </w:tcPr>
          <w:p>
            <w:pPr>
              <w:pStyle w:val="TableContents"/>
              <w:bidi w:val="0"/>
              <w:spacing w:before="0" w:after="0"/>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720" w:right="0" w:hanging="0"/>
        <w:jc w:val="both"/>
        <w:rPr/>
      </w:pPr>
      <w:r>
        <w:rPr/>
      </w:r>
    </w:p>
    <w:tbl>
      <w:tblPr>
        <w:tblW w:w="10205" w:type="dxa"/>
        <w:jc w:val="left"/>
        <w:tblInd w:w="0" w:type="dxa"/>
        <w:tblLayout w:type="fixed"/>
        <w:tblCellMar>
          <w:top w:w="0" w:type="dxa"/>
          <w:left w:w="0" w:type="dxa"/>
          <w:bottom w:w="0" w:type="dxa"/>
          <w:right w:w="0" w:type="dxa"/>
        </w:tblCellMar>
      </w:tblPr>
      <w:tblGrid>
        <w:gridCol w:w="68"/>
        <w:gridCol w:w="265"/>
        <w:gridCol w:w="9872"/>
      </w:tblGrid>
      <w:tr>
        <w:trPr/>
        <w:tc>
          <w:tcPr>
            <w:tcW w:w="68" w:type="dxa"/>
            <w:tcBorders/>
            <w:vAlign w:val="center"/>
          </w:tcPr>
          <w:p>
            <w:pPr>
              <w:pStyle w:val="TableContents"/>
              <w:bidi w:val="0"/>
              <w:spacing w:before="0" w:after="283"/>
              <w:jc w:val="left"/>
              <w:rPr/>
            </w:pPr>
            <w:r>
              <w:rPr/>
            </w:r>
          </w:p>
        </w:tc>
        <w:tc>
          <w:tcPr>
            <w:tcW w:w="265" w:type="dxa"/>
            <w:tcBorders/>
            <w:vAlign w:val="center"/>
          </w:tcPr>
          <w:p>
            <w:pPr>
              <w:pStyle w:val="TableContents"/>
              <w:bidi w:val="0"/>
              <w:spacing w:before="0" w:after="283"/>
              <w:jc w:val="left"/>
              <w:rPr/>
            </w:pPr>
            <w:r>
              <w:rPr/>
              <w:t>(d)</w:t>
            </w:r>
          </w:p>
        </w:tc>
        <w:tc>
          <w:tcPr>
            <w:tcW w:w="9872" w:type="dxa"/>
            <w:tcBorders/>
            <w:vAlign w:val="center"/>
          </w:tcPr>
          <w:p>
            <w:pPr>
              <w:pStyle w:val="TableContents"/>
              <w:bidi w:val="0"/>
              <w:spacing w:before="0" w:after="0"/>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both"/>
        <w:rPr/>
      </w:pPr>
      <w:r>
        <w:rPr/>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pPr>
            <w:r>
              <w:rPr/>
              <w:t>5.</w:t>
            </w:r>
          </w:p>
        </w:tc>
        <w:tc>
          <w:tcPr>
            <w:tcW w:w="9999" w:type="dxa"/>
            <w:tcBorders/>
            <w:vAlign w:val="center"/>
          </w:tcPr>
          <w:p>
            <w:pPr>
              <w:pStyle w:val="TableContents"/>
              <w:bidi w:val="0"/>
              <w:spacing w:before="0" w:after="0"/>
              <w:jc w:val="both"/>
              <w:rPr/>
            </w:pPr>
            <w:r>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both"/>
        <w:rPr/>
      </w:pPr>
      <w:r>
        <w:rPr/>
      </w:r>
    </w:p>
    <w:tbl>
      <w:tblPr>
        <w:tblW w:w="10205" w:type="dxa"/>
        <w:jc w:val="left"/>
        <w:tblInd w:w="0" w:type="dxa"/>
        <w:tblLayout w:type="fixed"/>
        <w:tblCellMar>
          <w:top w:w="0" w:type="dxa"/>
          <w:left w:w="0" w:type="dxa"/>
          <w:bottom w:w="0" w:type="dxa"/>
          <w:right w:w="0" w:type="dxa"/>
        </w:tblCellMar>
      </w:tblPr>
      <w:tblGrid>
        <w:gridCol w:w="68"/>
        <w:gridCol w:w="258"/>
        <w:gridCol w:w="9879"/>
      </w:tblGrid>
      <w:tr>
        <w:trPr/>
        <w:tc>
          <w:tcPr>
            <w:tcW w:w="68" w:type="dxa"/>
            <w:tcBorders/>
            <w:vAlign w:val="center"/>
          </w:tcPr>
          <w:p>
            <w:pPr>
              <w:pStyle w:val="TableContents"/>
              <w:bidi w:val="0"/>
              <w:spacing w:before="0" w:after="283"/>
              <w:jc w:val="left"/>
              <w:rPr/>
            </w:pPr>
            <w:r>
              <w:rPr/>
            </w:r>
          </w:p>
        </w:tc>
        <w:tc>
          <w:tcPr>
            <w:tcW w:w="258" w:type="dxa"/>
            <w:tcBorders/>
            <w:vAlign w:val="center"/>
          </w:tcPr>
          <w:p>
            <w:pPr>
              <w:pStyle w:val="TableContents"/>
              <w:bidi w:val="0"/>
              <w:spacing w:before="0" w:after="283"/>
              <w:jc w:val="left"/>
              <w:rPr/>
            </w:pPr>
            <w:r>
              <w:rPr/>
              <w:t>(a)</w:t>
            </w:r>
          </w:p>
        </w:tc>
        <w:tc>
          <w:tcPr>
            <w:tcW w:w="9879" w:type="dxa"/>
            <w:tcBorders/>
            <w:vAlign w:val="center"/>
          </w:tcPr>
          <w:p>
            <w:pPr>
              <w:pStyle w:val="TableContents"/>
              <w:bidi w:val="0"/>
              <w:spacing w:before="0" w:after="0"/>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720" w:right="0" w:hanging="0"/>
        <w:jc w:val="both"/>
        <w:rPr/>
      </w:pPr>
      <w:r>
        <w:rPr/>
      </w:r>
    </w:p>
    <w:tbl>
      <w:tblPr>
        <w:tblW w:w="10205" w:type="dxa"/>
        <w:jc w:val="left"/>
        <w:tblInd w:w="0" w:type="dxa"/>
        <w:tblLayout w:type="fixed"/>
        <w:tblCellMar>
          <w:top w:w="0" w:type="dxa"/>
          <w:left w:w="0" w:type="dxa"/>
          <w:bottom w:w="0" w:type="dxa"/>
          <w:right w:w="0" w:type="dxa"/>
        </w:tblCellMar>
      </w:tblPr>
      <w:tblGrid>
        <w:gridCol w:w="68"/>
        <w:gridCol w:w="288"/>
        <w:gridCol w:w="9849"/>
      </w:tblGrid>
      <w:tr>
        <w:trPr/>
        <w:tc>
          <w:tcPr>
            <w:tcW w:w="68" w:type="dxa"/>
            <w:tcBorders/>
            <w:vAlign w:val="center"/>
          </w:tcPr>
          <w:p>
            <w:pPr>
              <w:pStyle w:val="TableContents"/>
              <w:bidi w:val="0"/>
              <w:spacing w:before="0" w:after="283"/>
              <w:jc w:val="left"/>
              <w:rPr/>
            </w:pPr>
            <w:r>
              <w:rPr/>
            </w:r>
          </w:p>
        </w:tc>
        <w:tc>
          <w:tcPr>
            <w:tcW w:w="288" w:type="dxa"/>
            <w:tcBorders/>
            <w:vAlign w:val="center"/>
          </w:tcPr>
          <w:p>
            <w:pPr>
              <w:pStyle w:val="TableContents"/>
              <w:bidi w:val="0"/>
              <w:spacing w:before="0" w:after="283"/>
              <w:jc w:val="left"/>
              <w:rPr/>
            </w:pPr>
            <w:r>
              <w:rPr/>
              <w:t>(b)</w:t>
            </w:r>
          </w:p>
        </w:tc>
        <w:tc>
          <w:tcPr>
            <w:tcW w:w="9849" w:type="dxa"/>
            <w:tcBorders/>
            <w:vAlign w:val="center"/>
          </w:tcPr>
          <w:p>
            <w:pPr>
              <w:pStyle w:val="TableContents"/>
              <w:bidi w:val="0"/>
              <w:spacing w:before="0" w:after="0"/>
              <w:jc w:val="both"/>
              <w:rPr/>
            </w:pPr>
            <w:r>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p>
      <w:pPr>
        <w:pStyle w:val="TextBody"/>
        <w:bidi w:val="0"/>
        <w:spacing w:before="0" w:after="0"/>
        <w:jc w:val="left"/>
        <w:rPr/>
      </w:pPr>
      <w:r>
        <w:rPr/>
      </w:r>
    </w:p>
    <w:tbl>
      <w:tblPr>
        <w:tblW w:w="4600" w:type="dxa"/>
        <w:jc w:val="left"/>
        <w:tblInd w:w="0" w:type="dxa"/>
        <w:tblLayout w:type="fixed"/>
        <w:tblCellMar>
          <w:top w:w="0" w:type="dxa"/>
          <w:left w:w="0" w:type="dxa"/>
          <w:bottom w:w="0" w:type="dxa"/>
          <w:right w:w="0" w:type="dxa"/>
        </w:tblCellMar>
      </w:tblPr>
      <w:tblGrid>
        <w:gridCol w:w="2225"/>
        <w:gridCol w:w="2240"/>
        <w:gridCol w:w="135"/>
      </w:tblGrid>
      <w:tr>
        <w:trPr/>
        <w:tc>
          <w:tcPr>
            <w:tcW w:w="222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0"/>
              <w:jc w:val="left"/>
              <w:rPr/>
            </w:pPr>
            <w:r>
              <w:rPr/>
              <w:t>Date: August 10, 2026</w:t>
            </w:r>
          </w:p>
        </w:tc>
        <w:tc>
          <w:tcPr>
            <w:tcW w:w="2240" w:type="dxa"/>
            <w:tcBorders>
              <w:bottom w:val="single" w:sz="12" w:space="0" w:color="000000"/>
            </w:tcBorders>
            <w:tcMar>
              <w:bottom w:w="28" w:type="dxa"/>
            </w:tcMar>
            <w:vAlign w:val="center"/>
          </w:tcPr>
          <w:p>
            <w:pPr>
              <w:pStyle w:val="TableContents"/>
              <w:bidi w:val="0"/>
              <w:spacing w:before="0" w:after="0"/>
              <w:jc w:val="left"/>
              <w:rPr/>
            </w:pPr>
            <w:r>
              <w:rPr/>
              <w:t>/s/ Chelsea K. Lantz</w:t>
            </w:r>
          </w:p>
        </w:tc>
        <w:tc>
          <w:tcPr>
            <w:tcW w:w="13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2240" w:type="dxa"/>
            <w:tcBorders>
              <w:top w:val="single" w:sz="12" w:space="0" w:color="000000"/>
            </w:tcBorders>
            <w:tcMar>
              <w:top w:w="28" w:type="dxa"/>
            </w:tcMar>
            <w:vAlign w:val="center"/>
          </w:tcPr>
          <w:p>
            <w:pPr>
              <w:pStyle w:val="TableContents"/>
              <w:bidi w:val="0"/>
              <w:spacing w:before="0" w:after="0"/>
              <w:jc w:val="left"/>
              <w:rPr/>
            </w:pPr>
            <w:r>
              <w:rPr/>
              <w:t>Chelsea K. Lantz</w:t>
            </w:r>
          </w:p>
        </w:tc>
        <w:tc>
          <w:tcPr>
            <w:tcW w:w="13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0"/>
              <w:jc w:val="left"/>
              <w:rPr/>
            </w:pPr>
            <w:r>
              <w:rPr/>
              <w:t>Chief Financial Officer</w:t>
            </w:r>
          </w:p>
        </w:tc>
        <w:tc>
          <w:tcPr>
            <w:tcW w:w="13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HorizontalLine"/>
        <w:bidi w:val="0"/>
        <w:jc w:val="left"/>
        <w:rPr/>
      </w:pPr>
      <w:r>
        <w:rPr/>
      </w:r>
    </w:p>
    <w:p>
      <w:pPr>
        <w:pStyle w:val="HorizontalLine"/>
        <w:bidi w:val="0"/>
        <w:jc w:val="right"/>
        <w:rPr/>
      </w:pPr>
      <w:r>
        <w:rPr/>
      </w:r>
      <w:bookmarkStart w:id="42" w:name="ef20075180_ex32-1.htm"/>
      <w:bookmarkStart w:id="43" w:name="ksef20075180_ex321"/>
      <w:bookmarkStart w:id="44" w:name="ef20075180_ex32-1.htm"/>
      <w:bookmarkStart w:id="45" w:name="ksef20075180_ex321"/>
      <w:bookmarkEnd w:id="44"/>
      <w:bookmarkEnd w:id="45"/>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32.1</w:t>
      </w:r>
    </w:p>
    <w:p>
      <w:pPr>
        <w:pStyle w:val="TextBody"/>
        <w:bidi w:val="0"/>
        <w:spacing w:before="0" w:after="0"/>
        <w:jc w:val="center"/>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SECTION 906 CERTIFICATION OF CHIEF EXECUTIVE OFFICER</w:t>
      </w:r>
    </w:p>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CERTIFICATION PURSUANT TO</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18 U.S.C. SECTION 1350, AS ADOPTED PURSUANT TO</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SECTION 906 OF THE SARBANES-OXLEY ACT OF 2002</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In connection with the quarterly report of Nu Skin Enterprises, Inc. (the “Company”) on Form 10-Q for the period ended June 30, 2026 (the “Report”), I, Ryan S. Napierski, Chief Executive Officer of the Company, certify, pursuant to 18 U.S.C. §1350, as adopted pursuant to Section 906 of the Sarbanes-Oxley Act of 2002, that to the best of my knowledge:</w:t>
      </w:r>
    </w:p>
    <w:p>
      <w:pPr>
        <w:pStyle w:val="TextBody"/>
        <w:bidi w:val="0"/>
        <w:spacing w:before="0" w:after="0"/>
        <w:jc w:val="both"/>
        <w:rPr/>
      </w:pPr>
      <w:r>
        <w:rPr/>
      </w:r>
    </w:p>
    <w:tbl>
      <w:tblPr>
        <w:tblW w:w="10205" w:type="dxa"/>
        <w:jc w:val="left"/>
        <w:tblInd w:w="0" w:type="dxa"/>
        <w:tblLayout w:type="fixed"/>
        <w:tblCellMar>
          <w:top w:w="0" w:type="dxa"/>
          <w:left w:w="0" w:type="dxa"/>
          <w:bottom w:w="0" w:type="dxa"/>
          <w:right w:w="0" w:type="dxa"/>
        </w:tblCellMar>
      </w:tblPr>
      <w:tblGrid>
        <w:gridCol w:w="68"/>
        <w:gridCol w:w="221"/>
        <w:gridCol w:w="9916"/>
      </w:tblGrid>
      <w:tr>
        <w:trPr/>
        <w:tc>
          <w:tcPr>
            <w:tcW w:w="68" w:type="dxa"/>
            <w:tcBorders/>
            <w:vAlign w:val="center"/>
          </w:tcPr>
          <w:p>
            <w:pPr>
              <w:pStyle w:val="TableContents"/>
              <w:bidi w:val="0"/>
              <w:spacing w:before="0" w:after="283"/>
              <w:jc w:val="left"/>
              <w:rPr/>
            </w:pPr>
            <w:r>
              <w:rPr/>
            </w:r>
          </w:p>
        </w:tc>
        <w:tc>
          <w:tcPr>
            <w:tcW w:w="221" w:type="dxa"/>
            <w:tcBorders/>
            <w:vAlign w:val="center"/>
          </w:tcPr>
          <w:p>
            <w:pPr>
              <w:pStyle w:val="TableContents"/>
              <w:bidi w:val="0"/>
              <w:spacing w:before="0" w:after="283"/>
              <w:jc w:val="left"/>
              <w:rPr/>
            </w:pPr>
            <w:r>
              <w:rPr/>
              <w:t>1.</w:t>
            </w:r>
          </w:p>
        </w:tc>
        <w:tc>
          <w:tcPr>
            <w:tcW w:w="9916" w:type="dxa"/>
            <w:tcBorders/>
            <w:vAlign w:val="center"/>
          </w:tcPr>
          <w:p>
            <w:pPr>
              <w:pStyle w:val="TableContents"/>
              <w:bidi w:val="0"/>
              <w:spacing w:before="0" w:after="0"/>
              <w:jc w:val="both"/>
              <w:rPr/>
            </w:pPr>
            <w:r>
              <w:rPr/>
              <w:t>The Report fully complies with the requirements of Section 13(a) or 15(d) of the Securities Exchange Act of 1934; and</w:t>
            </w:r>
          </w:p>
        </w:tc>
      </w:tr>
    </w:tbl>
    <w:p>
      <w:pPr>
        <w:pStyle w:val="TextBody"/>
        <w:bidi w:val="0"/>
        <w:spacing w:before="0" w:after="0"/>
        <w:jc w:val="both"/>
        <w:rPr/>
      </w:pPr>
      <w:r>
        <w:rPr/>
      </w:r>
    </w:p>
    <w:tbl>
      <w:tblPr>
        <w:tblW w:w="10205" w:type="dxa"/>
        <w:jc w:val="left"/>
        <w:tblInd w:w="0" w:type="dxa"/>
        <w:tblLayout w:type="fixed"/>
        <w:tblCellMar>
          <w:top w:w="0" w:type="dxa"/>
          <w:left w:w="0" w:type="dxa"/>
          <w:bottom w:w="0" w:type="dxa"/>
          <w:right w:w="0" w:type="dxa"/>
        </w:tblCellMar>
      </w:tblPr>
      <w:tblGrid>
        <w:gridCol w:w="68"/>
        <w:gridCol w:w="211"/>
        <w:gridCol w:w="9926"/>
      </w:tblGrid>
      <w:tr>
        <w:trPr/>
        <w:tc>
          <w:tcPr>
            <w:tcW w:w="68" w:type="dxa"/>
            <w:tcBorders/>
            <w:vAlign w:val="center"/>
          </w:tcPr>
          <w:p>
            <w:pPr>
              <w:pStyle w:val="TableContents"/>
              <w:bidi w:val="0"/>
              <w:spacing w:before="0" w:after="283"/>
              <w:jc w:val="left"/>
              <w:rPr/>
            </w:pPr>
            <w:r>
              <w:rPr/>
            </w:r>
          </w:p>
        </w:tc>
        <w:tc>
          <w:tcPr>
            <w:tcW w:w="211" w:type="dxa"/>
            <w:tcBorders/>
            <w:vAlign w:val="center"/>
          </w:tcPr>
          <w:p>
            <w:pPr>
              <w:pStyle w:val="TableContents"/>
              <w:bidi w:val="0"/>
              <w:spacing w:before="0" w:after="283"/>
              <w:jc w:val="left"/>
              <w:rPr/>
            </w:pPr>
            <w:r>
              <w:rPr/>
              <w:t>2.</w:t>
            </w:r>
          </w:p>
        </w:tc>
        <w:tc>
          <w:tcPr>
            <w:tcW w:w="9926" w:type="dxa"/>
            <w:tcBorders/>
            <w:vAlign w:val="center"/>
          </w:tcPr>
          <w:p>
            <w:pPr>
              <w:pStyle w:val="TableContents"/>
              <w:bidi w:val="0"/>
              <w:spacing w:before="0" w:after="0"/>
              <w:jc w:val="both"/>
              <w:rPr/>
            </w:pPr>
            <w:r>
              <w:rPr/>
              <w:t>The information contained in the Report fairly presents, in all material respects, the financial condition and results of operations of the Company.</w:t>
            </w:r>
          </w:p>
        </w:tc>
      </w:tr>
    </w:tbl>
    <w:p>
      <w:pPr>
        <w:pStyle w:val="TextBody"/>
        <w:bidi w:val="0"/>
        <w:spacing w:before="0" w:after="0"/>
        <w:jc w:val="left"/>
        <w:rPr/>
      </w:pPr>
      <w:r>
        <w:rPr/>
      </w:r>
    </w:p>
    <w:p>
      <w:pPr>
        <w:pStyle w:val="TextBody"/>
        <w:bidi w:val="0"/>
        <w:spacing w:before="0" w:after="0"/>
        <w:jc w:val="left"/>
        <w:rPr/>
      </w:pPr>
      <w:r>
        <w:rPr/>
      </w:r>
    </w:p>
    <w:tbl>
      <w:tblPr>
        <w:tblW w:w="4675" w:type="dxa"/>
        <w:jc w:val="left"/>
        <w:tblInd w:w="0" w:type="dxa"/>
        <w:tblLayout w:type="fixed"/>
        <w:tblCellMar>
          <w:top w:w="0" w:type="dxa"/>
          <w:left w:w="0" w:type="dxa"/>
          <w:bottom w:w="0" w:type="dxa"/>
          <w:right w:w="0" w:type="dxa"/>
        </w:tblCellMar>
      </w:tblPr>
      <w:tblGrid>
        <w:gridCol w:w="2225"/>
        <w:gridCol w:w="2315"/>
        <w:gridCol w:w="135"/>
      </w:tblGrid>
      <w:tr>
        <w:trPr/>
        <w:tc>
          <w:tcPr>
            <w:tcW w:w="2225"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0"/>
              <w:jc w:val="left"/>
              <w:rPr/>
            </w:pPr>
            <w:r>
              <w:rPr/>
              <w:t>Date: August 10, 2026</w:t>
            </w:r>
          </w:p>
        </w:tc>
        <w:tc>
          <w:tcPr>
            <w:tcW w:w="2315" w:type="dxa"/>
            <w:tcBorders>
              <w:bottom w:val="single" w:sz="12" w:space="0" w:color="000000"/>
            </w:tcBorders>
            <w:tcMar>
              <w:bottom w:w="28" w:type="dxa"/>
            </w:tcMar>
            <w:vAlign w:val="center"/>
          </w:tcPr>
          <w:p>
            <w:pPr>
              <w:pStyle w:val="TableContents"/>
              <w:bidi w:val="0"/>
              <w:spacing w:before="0" w:after="0"/>
              <w:jc w:val="left"/>
              <w:rPr/>
            </w:pPr>
            <w:r>
              <w:rPr/>
              <w:t>/s/ Ryan S. Napierski</w:t>
            </w:r>
          </w:p>
        </w:tc>
        <w:tc>
          <w:tcPr>
            <w:tcW w:w="13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2315" w:type="dxa"/>
            <w:tcBorders>
              <w:top w:val="single" w:sz="12" w:space="0" w:color="000000"/>
            </w:tcBorders>
            <w:tcMar>
              <w:top w:w="28" w:type="dxa"/>
            </w:tcMar>
            <w:vAlign w:val="center"/>
          </w:tcPr>
          <w:p>
            <w:pPr>
              <w:pStyle w:val="TableContents"/>
              <w:bidi w:val="0"/>
              <w:spacing w:before="0" w:after="0"/>
              <w:jc w:val="left"/>
              <w:rPr/>
            </w:pPr>
            <w:r>
              <w:rPr/>
              <w:t>Ryan S. Napierski</w:t>
            </w:r>
          </w:p>
        </w:tc>
        <w:tc>
          <w:tcPr>
            <w:tcW w:w="13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0"/>
              <w:jc w:val="left"/>
              <w:rPr/>
            </w:pPr>
            <w:r>
              <w:rPr/>
              <w:t>Chief Executive Officer</w:t>
            </w:r>
          </w:p>
        </w:tc>
        <w:tc>
          <w:tcPr>
            <w:tcW w:w="13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HorizontalLine"/>
        <w:bidi w:val="0"/>
        <w:jc w:val="left"/>
        <w:rPr/>
      </w:pPr>
      <w:r>
        <w:rPr/>
      </w:r>
    </w:p>
    <w:p>
      <w:pPr>
        <w:pStyle w:val="HorizontalLine"/>
        <w:bidi w:val="0"/>
        <w:jc w:val="right"/>
        <w:rPr/>
      </w:pPr>
      <w:r>
        <w:rPr/>
      </w:r>
      <w:bookmarkStart w:id="46" w:name="ef20075180_ex32-2.htm"/>
      <w:bookmarkStart w:id="47" w:name="ksef20075180_ex322"/>
      <w:bookmarkStart w:id="48" w:name="ef20075180_ex32-2.htm"/>
      <w:bookmarkStart w:id="49" w:name="ksef20075180_ex322"/>
      <w:bookmarkEnd w:id="48"/>
      <w:bookmarkEnd w:id="49"/>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32.2</w:t>
      </w:r>
    </w:p>
    <w:p>
      <w:pPr>
        <w:pStyle w:val="TextBody"/>
        <w:bidi w:val="0"/>
        <w:spacing w:before="0" w:after="0"/>
        <w:jc w:val="center"/>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SECTION 906 CERTIFICATION OF CHIEF FINANCIAL OFFICER</w:t>
      </w:r>
    </w:p>
    <w:p>
      <w:pPr>
        <w:pStyle w:val="TextBody"/>
        <w:bidi w:val="0"/>
        <w:spacing w:before="0" w:after="0"/>
        <w:jc w:val="left"/>
        <w:rPr/>
      </w:pPr>
      <w:r>
        <w:rPr/>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CERTIFICATION PURSUANT TO</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18 U.S.C. SECTION 1350, AS ADOPTED PURSUANT TO</w:t>
      </w:r>
    </w:p>
    <w:p>
      <w:pPr>
        <w:pStyle w:val="TextBody"/>
        <w:bidi w:val="0"/>
        <w:spacing w:before="0" w:after="0"/>
        <w:jc w:val="center"/>
        <w:rPr>
          <w:rFonts w:ascii="Times New Roman;Times;serif" w:hAnsi="Times New Roman;Times;serif"/>
          <w:color w:val="000000"/>
          <w:sz w:val="20"/>
        </w:rPr>
      </w:pPr>
      <w:r>
        <w:rPr>
          <w:rFonts w:ascii="Times New Roman;Times;serif" w:hAnsi="Times New Roman;Times;serif"/>
          <w:color w:val="000000"/>
          <w:sz w:val="20"/>
        </w:rPr>
        <w:t>SECTION 906 OF THE SARBANES-OXLEY ACT OF 2002</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In connection with the quarterly report of Nu Skin Enterprises, Inc. (the “Company”) on Form 10-Q for the period ended June 30, 2026 (the “Report”), I, Chelsea K. Lantz, Chief Financial Officer of the Company, certify, pursuant to 18 U.S.C. § 1350, as adopted pursuant to Section 906 of the Sarbanes-Oxley Act of 2002, that to the best of my knowledge:</w:t>
      </w:r>
    </w:p>
    <w:p>
      <w:pPr>
        <w:pStyle w:val="TextBody"/>
        <w:bidi w:val="0"/>
        <w:spacing w:before="0" w:after="0"/>
        <w:jc w:val="both"/>
        <w:rPr/>
      </w:pPr>
      <w:r>
        <w:rPr/>
      </w:r>
    </w:p>
    <w:tbl>
      <w:tblPr>
        <w:tblW w:w="10205" w:type="dxa"/>
        <w:jc w:val="left"/>
        <w:tblInd w:w="0" w:type="dxa"/>
        <w:tblLayout w:type="fixed"/>
        <w:tblCellMar>
          <w:top w:w="0" w:type="dxa"/>
          <w:left w:w="0" w:type="dxa"/>
          <w:bottom w:w="0" w:type="dxa"/>
          <w:right w:w="0" w:type="dxa"/>
        </w:tblCellMar>
      </w:tblPr>
      <w:tblGrid>
        <w:gridCol w:w="68"/>
        <w:gridCol w:w="221"/>
        <w:gridCol w:w="9916"/>
      </w:tblGrid>
      <w:tr>
        <w:trPr/>
        <w:tc>
          <w:tcPr>
            <w:tcW w:w="68" w:type="dxa"/>
            <w:tcBorders/>
            <w:vAlign w:val="center"/>
          </w:tcPr>
          <w:p>
            <w:pPr>
              <w:pStyle w:val="TableContents"/>
              <w:bidi w:val="0"/>
              <w:spacing w:before="0" w:after="283"/>
              <w:jc w:val="left"/>
              <w:rPr/>
            </w:pPr>
            <w:r>
              <w:rPr/>
            </w:r>
          </w:p>
        </w:tc>
        <w:tc>
          <w:tcPr>
            <w:tcW w:w="221" w:type="dxa"/>
            <w:tcBorders/>
            <w:vAlign w:val="center"/>
          </w:tcPr>
          <w:p>
            <w:pPr>
              <w:pStyle w:val="TableContents"/>
              <w:bidi w:val="0"/>
              <w:spacing w:before="0" w:after="283"/>
              <w:jc w:val="left"/>
              <w:rPr/>
            </w:pPr>
            <w:r>
              <w:rPr/>
              <w:t>1.</w:t>
            </w:r>
          </w:p>
        </w:tc>
        <w:tc>
          <w:tcPr>
            <w:tcW w:w="9916" w:type="dxa"/>
            <w:tcBorders/>
            <w:vAlign w:val="center"/>
          </w:tcPr>
          <w:p>
            <w:pPr>
              <w:pStyle w:val="TableContents"/>
              <w:bidi w:val="0"/>
              <w:spacing w:before="0" w:after="0"/>
              <w:jc w:val="both"/>
              <w:rPr/>
            </w:pPr>
            <w:r>
              <w:rPr/>
              <w:t>The Report fully complies with the requirements of Section 13(a) or 15(d) of the Securities Exchange Act of 1934; and</w:t>
            </w:r>
          </w:p>
        </w:tc>
      </w:tr>
    </w:tbl>
    <w:p>
      <w:pPr>
        <w:pStyle w:val="TextBody"/>
        <w:bidi w:val="0"/>
        <w:spacing w:before="0" w:after="0"/>
        <w:jc w:val="both"/>
        <w:rPr/>
      </w:pPr>
      <w:r>
        <w:rPr/>
      </w:r>
    </w:p>
    <w:tbl>
      <w:tblPr>
        <w:tblW w:w="10205" w:type="dxa"/>
        <w:jc w:val="left"/>
        <w:tblInd w:w="0" w:type="dxa"/>
        <w:tblLayout w:type="fixed"/>
        <w:tblCellMar>
          <w:top w:w="0" w:type="dxa"/>
          <w:left w:w="0" w:type="dxa"/>
          <w:bottom w:w="0" w:type="dxa"/>
          <w:right w:w="0" w:type="dxa"/>
        </w:tblCellMar>
      </w:tblPr>
      <w:tblGrid>
        <w:gridCol w:w="68"/>
        <w:gridCol w:w="211"/>
        <w:gridCol w:w="9926"/>
      </w:tblGrid>
      <w:tr>
        <w:trPr/>
        <w:tc>
          <w:tcPr>
            <w:tcW w:w="68" w:type="dxa"/>
            <w:tcBorders/>
            <w:vAlign w:val="center"/>
          </w:tcPr>
          <w:p>
            <w:pPr>
              <w:pStyle w:val="TableContents"/>
              <w:bidi w:val="0"/>
              <w:spacing w:before="0" w:after="283"/>
              <w:jc w:val="left"/>
              <w:rPr/>
            </w:pPr>
            <w:r>
              <w:rPr/>
            </w:r>
          </w:p>
        </w:tc>
        <w:tc>
          <w:tcPr>
            <w:tcW w:w="211" w:type="dxa"/>
            <w:tcBorders/>
            <w:vAlign w:val="center"/>
          </w:tcPr>
          <w:p>
            <w:pPr>
              <w:pStyle w:val="TableContents"/>
              <w:bidi w:val="0"/>
              <w:spacing w:before="0" w:after="283"/>
              <w:jc w:val="left"/>
              <w:rPr/>
            </w:pPr>
            <w:r>
              <w:rPr/>
              <w:t>2.</w:t>
            </w:r>
          </w:p>
        </w:tc>
        <w:tc>
          <w:tcPr>
            <w:tcW w:w="9926" w:type="dxa"/>
            <w:tcBorders/>
            <w:vAlign w:val="center"/>
          </w:tcPr>
          <w:p>
            <w:pPr>
              <w:pStyle w:val="TableContents"/>
              <w:bidi w:val="0"/>
              <w:spacing w:before="0" w:after="0"/>
              <w:jc w:val="both"/>
              <w:rPr/>
            </w:pPr>
            <w:r>
              <w:rPr/>
              <w:t>The information contained in the Report fairly presents, in all material respects, the financial condition and results of operations of the Company.</w:t>
            </w:r>
          </w:p>
        </w:tc>
      </w:tr>
    </w:tbl>
    <w:p>
      <w:pPr>
        <w:pStyle w:val="TextBody"/>
        <w:bidi w:val="0"/>
        <w:spacing w:before="0" w:after="0"/>
        <w:jc w:val="left"/>
        <w:rPr/>
      </w:pPr>
      <w:r>
        <w:rPr/>
      </w:r>
    </w:p>
    <w:p>
      <w:pPr>
        <w:pStyle w:val="TextBody"/>
        <w:bidi w:val="0"/>
        <w:spacing w:before="0" w:after="0"/>
        <w:jc w:val="left"/>
        <w:rPr/>
      </w:pPr>
      <w:r>
        <w:rPr/>
      </w:r>
    </w:p>
    <w:tbl>
      <w:tblPr>
        <w:tblW w:w="4600" w:type="dxa"/>
        <w:jc w:val="left"/>
        <w:tblInd w:w="0" w:type="dxa"/>
        <w:tblLayout w:type="fixed"/>
        <w:tblCellMar>
          <w:top w:w="0" w:type="dxa"/>
          <w:left w:w="0" w:type="dxa"/>
          <w:bottom w:w="0" w:type="dxa"/>
          <w:right w:w="0" w:type="dxa"/>
        </w:tblCellMar>
      </w:tblPr>
      <w:tblGrid>
        <w:gridCol w:w="2225"/>
        <w:gridCol w:w="2240"/>
        <w:gridCol w:w="135"/>
      </w:tblGrid>
      <w:tr>
        <w:trPr/>
        <w:tc>
          <w:tcPr>
            <w:tcW w:w="222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0"/>
              <w:jc w:val="left"/>
              <w:rPr/>
            </w:pPr>
            <w:r>
              <w:rPr/>
              <w:t>Date: August 10, 2026</w:t>
            </w:r>
          </w:p>
        </w:tc>
        <w:tc>
          <w:tcPr>
            <w:tcW w:w="2240" w:type="dxa"/>
            <w:tcBorders>
              <w:bottom w:val="single" w:sz="12" w:space="0" w:color="000000"/>
            </w:tcBorders>
            <w:tcMar>
              <w:bottom w:w="28" w:type="dxa"/>
            </w:tcMar>
            <w:vAlign w:val="center"/>
          </w:tcPr>
          <w:p>
            <w:pPr>
              <w:pStyle w:val="TableContents"/>
              <w:bidi w:val="0"/>
              <w:spacing w:before="0" w:after="0"/>
              <w:jc w:val="left"/>
              <w:rPr/>
            </w:pPr>
            <w:r>
              <w:rPr/>
              <w:t>/s/ Chelsea K. Lantz</w:t>
            </w:r>
          </w:p>
        </w:tc>
        <w:tc>
          <w:tcPr>
            <w:tcW w:w="13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2240" w:type="dxa"/>
            <w:tcBorders>
              <w:top w:val="single" w:sz="12" w:space="0" w:color="000000"/>
            </w:tcBorders>
            <w:tcMar>
              <w:top w:w="28" w:type="dxa"/>
            </w:tcMar>
            <w:vAlign w:val="center"/>
          </w:tcPr>
          <w:p>
            <w:pPr>
              <w:pStyle w:val="TableContents"/>
              <w:bidi w:val="0"/>
              <w:spacing w:before="0" w:after="0"/>
              <w:jc w:val="left"/>
              <w:rPr/>
            </w:pPr>
            <w:r>
              <w:rPr/>
              <w:t>Chelsea K. Lantz</w:t>
            </w:r>
          </w:p>
        </w:tc>
        <w:tc>
          <w:tcPr>
            <w:tcW w:w="13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0"/>
              <w:jc w:val="left"/>
              <w:rPr/>
            </w:pPr>
            <w:r>
              <w:rPr/>
              <w:t>Chief Financial Officer</w:t>
            </w:r>
          </w:p>
        </w:tc>
        <w:tc>
          <w:tcPr>
            <w:tcW w:w="135"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HorizontalLine"/>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21561/000114036126023312/ef20075128_ex10-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18503</Words>
  <Characters>99246</Characters>
  <CharactersWithSpaces>119563</CharactersWithSpaces>
  <Paragraphs>8188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