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center"/>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Washington, D.C. 20549</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10-K</w:t>
      </w:r>
    </w:p>
    <w:p>
      <w:pPr>
        <w:pStyle w:val="TextBody"/>
        <w:bidi w:val="0"/>
        <w:spacing w:before="0" w:after="0"/>
        <w:jc w:val="left"/>
        <w:rPr/>
      </w:pPr>
      <w:r>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ANNUAL REPORT PURSUANT TO SECTION 13 OR 15(d) OF THE SECURITIES EXCHANGE ACT OF 1934</w:t>
            </w:r>
          </w:p>
        </w:tc>
      </w:tr>
    </w:tbl>
    <w:p>
      <w:pPr>
        <w:pStyle w:val="TextBody"/>
        <w:bidi w:val="0"/>
        <w:spacing w:before="0" w:after="0"/>
        <w:jc w:val="left"/>
        <w:rPr/>
      </w:pPr>
      <w:r>
        <w:rPr/>
      </w:r>
    </w:p>
    <w:p>
      <w:pPr>
        <w:pStyle w:val="TextBody"/>
        <w:bidi w:val="0"/>
        <w:spacing w:before="0" w:after="0"/>
        <w:ind w:left="720" w:right="0" w:hanging="0"/>
        <w:jc w:val="left"/>
        <w:rPr>
          <w:rFonts w:ascii="Times New Roman" w:hAnsi="Times New Roman"/>
          <w:color w:val="000000"/>
          <w:sz w:val="20"/>
          <w:shd w:fill="FFFFFF" w:val="clear"/>
        </w:rPr>
      </w:pPr>
      <w:r>
        <w:rPr>
          <w:rFonts w:ascii="Times New Roman" w:hAnsi="Times New Roman"/>
          <w:color w:val="000000"/>
          <w:sz w:val="20"/>
          <w:shd w:fill="FFFFFF" w:val="clear"/>
        </w:rPr>
        <w:t>For the fiscal year ended December 31, 2025</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or</w:t>
      </w:r>
    </w:p>
    <w:p>
      <w:pPr>
        <w:pStyle w:val="TextBody"/>
        <w:bidi w:val="0"/>
        <w:spacing w:before="0" w:after="0"/>
        <w:jc w:val="left"/>
        <w:rPr/>
      </w:pPr>
      <w:r>
        <w:rPr/>
      </w:r>
    </w:p>
    <w:tbl>
      <w:tblPr>
        <w:tblW w:w="9595" w:type="dxa"/>
        <w:jc w:val="left"/>
        <w:tblInd w:w="0" w:type="dxa"/>
        <w:tblLayout w:type="fixed"/>
        <w:tblCellMar>
          <w:top w:w="0" w:type="dxa"/>
          <w:left w:w="0" w:type="dxa"/>
          <w:bottom w:w="0" w:type="dxa"/>
          <w:right w:w="0" w:type="dxa"/>
        </w:tblCellMar>
      </w:tblPr>
      <w:tblGrid>
        <w:gridCol w:w="245"/>
        <w:gridCol w:w="9350"/>
      </w:tblGrid>
      <w:tr>
        <w:trPr/>
        <w:tc>
          <w:tcPr>
            <w:tcW w:w="245" w:type="dxa"/>
            <w:tcBorders/>
            <w:vAlign w:val="center"/>
          </w:tcPr>
          <w:p>
            <w:pPr>
              <w:pStyle w:val="TableContents"/>
              <w:bidi w:val="0"/>
              <w:spacing w:before="0" w:after="283"/>
              <w:jc w:val="left"/>
              <w:rPr/>
            </w:pPr>
            <w:r>
              <w:rPr/>
              <w:t>☐</w:t>
            </w:r>
          </w:p>
        </w:tc>
        <w:tc>
          <w:tcPr>
            <w:tcW w:w="9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TRANSITION REPORT PURSUANT TO SECTION 13 OR 15(d) OF THE SECURITIES EXCHANGE ACT OF 1934</w:t>
            </w:r>
          </w:p>
        </w:tc>
      </w:tr>
    </w:tbl>
    <w:p>
      <w:pPr>
        <w:pStyle w:val="TextBody"/>
        <w:bidi w:val="0"/>
        <w:spacing w:before="0" w:after="0"/>
        <w:jc w:val="left"/>
        <w:rPr/>
      </w:pPr>
      <w:r>
        <w:rPr/>
      </w:r>
    </w:p>
    <w:p>
      <w:pPr>
        <w:pStyle w:val="TextBody"/>
        <w:bidi w:val="0"/>
        <w:spacing w:before="0" w:after="0"/>
        <w:ind w:left="720" w:right="0" w:hanging="0"/>
        <w:jc w:val="left"/>
        <w:rPr>
          <w:rFonts w:ascii="Times New Roman" w:hAnsi="Times New Roman"/>
          <w:color w:val="000000"/>
          <w:sz w:val="20"/>
          <w:shd w:fill="FFFFFF" w:val="clear"/>
        </w:rPr>
      </w:pPr>
      <w:r>
        <w:rPr>
          <w:rFonts w:ascii="Times New Roman" w:hAnsi="Times New Roman"/>
          <w:color w:val="000000"/>
          <w:sz w:val="20"/>
          <w:shd w:fill="FFFFFF" w:val="clear"/>
        </w:rPr>
        <w:t>For the transition period from ________ to ________</w:t>
      </w:r>
    </w:p>
    <w:p>
      <w:pPr>
        <w:pStyle w:val="TextBody"/>
        <w:bidi w:val="0"/>
        <w:spacing w:before="0" w:after="0"/>
        <w:jc w:val="left"/>
        <w:rPr/>
      </w:pPr>
      <w:r>
        <w:rPr/>
      </w:r>
    </w:p>
    <w:p>
      <w:pPr>
        <w:pStyle w:val="TextBody"/>
        <w:bidi w:val="0"/>
        <w:spacing w:before="0" w:after="0"/>
        <w:ind w:left="720" w:right="0" w:hanging="0"/>
        <w:jc w:val="left"/>
        <w:rPr>
          <w:rFonts w:ascii="Times New Roman" w:hAnsi="Times New Roman"/>
          <w:color w:val="000000"/>
          <w:sz w:val="20"/>
          <w:shd w:fill="FFFFFF" w:val="clear"/>
        </w:rPr>
      </w:pPr>
      <w:r>
        <w:rPr>
          <w:rFonts w:ascii="Times New Roman" w:hAnsi="Times New Roman"/>
          <w:color w:val="000000"/>
          <w:sz w:val="20"/>
          <w:shd w:fill="FFFFFF" w:val="clear"/>
        </w:rPr>
        <w:t>Commission file number:  001-12421</w:t>
      </w:r>
    </w:p>
    <w:p>
      <w:pPr>
        <w:pStyle w:val="TextBody"/>
        <w:bidi w:val="0"/>
        <w:spacing w:before="0" w:after="0"/>
        <w:jc w:val="left"/>
        <w:rPr/>
      </w:pPr>
      <w:r>
        <w:rPr/>
      </w:r>
    </w:p>
    <w:tbl>
      <w:tblPr>
        <w:tblW w:w="6815" w:type="dxa"/>
        <w:jc w:val="left"/>
        <w:tblInd w:w="0" w:type="dxa"/>
        <w:tblLayout w:type="fixed"/>
        <w:tblCellMar>
          <w:top w:w="0" w:type="dxa"/>
          <w:left w:w="0" w:type="dxa"/>
          <w:bottom w:w="0" w:type="dxa"/>
          <w:right w:w="0" w:type="dxa"/>
        </w:tblCellMar>
      </w:tblPr>
      <w:tblGrid>
        <w:gridCol w:w="75"/>
        <w:gridCol w:w="6665"/>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6665"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48"/>
              </w:rPr>
            </w:pPr>
            <w:r>
              <w:rPr>
                <w:rFonts w:ascii="Times New Roman" w:hAnsi="Times New Roman"/>
                <w:b/>
                <w:sz w:val="48"/>
              </w:rPr>
              <w:t>NU SKIN ENTERPRISES, INC.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(Exact name of registrant as specified in its charter)</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tbl>
      <w:tblPr>
        <w:tblW w:w="7690" w:type="dxa"/>
        <w:jc w:val="left"/>
        <w:tblInd w:w="0" w:type="dxa"/>
        <w:tblLayout w:type="fixed"/>
        <w:tblCellMar>
          <w:top w:w="0" w:type="dxa"/>
          <w:left w:w="0" w:type="dxa"/>
          <w:bottom w:w="28" w:type="dxa"/>
          <w:right w:w="0" w:type="dxa"/>
        </w:tblCellMar>
      </w:tblPr>
      <w:tblGrid>
        <w:gridCol w:w="4865"/>
        <w:gridCol w:w="60"/>
        <w:gridCol w:w="2765"/>
      </w:tblGrid>
      <w:tr>
        <w:trPr/>
        <w:tc>
          <w:tcPr>
            <w:tcW w:w="4865"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765"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87-0565309</w:t>
            </w:r>
          </w:p>
        </w:tc>
      </w:tr>
      <w:tr>
        <w:trPr/>
        <w:tc>
          <w:tcPr>
            <w:tcW w:w="4865"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(State or other jurisdiction of 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2765"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(IRS Employer Identification No.)</w:t>
            </w:r>
          </w:p>
        </w:tc>
      </w:tr>
    </w:tbl>
    <w:p>
      <w:pPr>
        <w:pStyle w:val="TextBody"/>
        <w:bidi w:val="0"/>
        <w:spacing w:before="0" w:after="0"/>
        <w:jc w:val="left"/>
        <w:rPr/>
      </w:pPr>
      <w:r>
        <w:rPr/>
      </w:r>
    </w:p>
    <w:tbl>
      <w:tblPr>
        <w:tblW w:w="4940" w:type="dxa"/>
        <w:jc w:val="left"/>
        <w:tblInd w:w="0" w:type="dxa"/>
        <w:tblLayout w:type="fixed"/>
        <w:tblCellMar>
          <w:top w:w="0" w:type="dxa"/>
          <w:left w:w="0" w:type="dxa"/>
          <w:bottom w:w="0" w:type="dxa"/>
          <w:right w:w="0" w:type="dxa"/>
        </w:tblCellMar>
      </w:tblPr>
      <w:tblGrid>
        <w:gridCol w:w="60"/>
        <w:gridCol w:w="4820"/>
        <w:gridCol w:w="60"/>
      </w:tblGrid>
      <w:tr>
        <w:trPr/>
        <w:tc>
          <w:tcPr>
            <w:tcW w:w="60" w:type="dxa"/>
            <w:tcBorders/>
            <w:vAlign w:val="center"/>
          </w:tcPr>
          <w:p>
            <w:pPr>
              <w:pStyle w:val="TableContents"/>
              <w:bidi w:val="0"/>
              <w:spacing w:before="0" w:after="283"/>
              <w:jc w:val="left"/>
              <w:rPr/>
            </w:pPr>
            <w:r>
              <w:rPr/>
              <w:t> </w:t>
            </w:r>
          </w:p>
        </w:tc>
        <w:tc>
          <w:tcPr>
            <w:tcW w:w="4820"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75 West Center Street</w:t>
            </w:r>
          </w:p>
          <w:p>
            <w:pPr>
              <w:pStyle w:val="TableContents"/>
              <w:bidi w:val="0"/>
              <w:spacing w:before="0" w:after="0"/>
              <w:jc w:val="center"/>
              <w:rPr>
                <w:rFonts w:ascii="Times New Roman" w:hAnsi="Times New Roman"/>
                <w:b/>
                <w:sz w:val="20"/>
              </w:rPr>
            </w:pPr>
            <w:r>
              <w:rPr>
                <w:rFonts w:ascii="Times New Roman" w:hAnsi="Times New Roman"/>
                <w:b/>
                <w:sz w:val="20"/>
              </w:rPr>
              <w:t>Provo, Utah  84601</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(Address of principal executive offices, including zip code)</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xml:space="preserve">Registrant’s telephone number, including area code: </w:t>
      </w:r>
      <w:r>
        <w:rPr>
          <w:rFonts w:ascii="Times New Roman" w:hAnsi="Times New Roman"/>
          <w:b w:val="false"/>
          <w:color w:val="000000"/>
          <w:sz w:val="20"/>
          <w:shd w:fill="FFFFFF" w:val="clear"/>
        </w:rPr>
        <w:t>(801) 345-1000</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pPr>
      <w:r>
        <w:rPr/>
      </w:r>
    </w:p>
    <w:tbl>
      <w:tblPr>
        <w:tblW w:w="8550" w:type="dxa"/>
        <w:jc w:val="left"/>
        <w:tblInd w:w="0" w:type="dxa"/>
        <w:tblLayout w:type="fixed"/>
        <w:tblCellMar>
          <w:top w:w="0" w:type="dxa"/>
          <w:left w:w="0" w:type="dxa"/>
          <w:bottom w:w="28" w:type="dxa"/>
          <w:right w:w="0" w:type="dxa"/>
        </w:tblCellMar>
      </w:tblPr>
      <w:tblGrid>
        <w:gridCol w:w="3305"/>
        <w:gridCol w:w="60"/>
        <w:gridCol w:w="1535"/>
        <w:gridCol w:w="60"/>
        <w:gridCol w:w="3590"/>
      </w:tblGrid>
      <w:tr>
        <w:trPr/>
        <w:tc>
          <w:tcPr>
            <w:tcW w:w="3305" w:type="dxa"/>
            <w:tcBorders>
              <w:bottom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590" w:type="dxa"/>
            <w:tcBorders>
              <w:bottom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Name of each exchange on which registered</w:t>
            </w:r>
          </w:p>
        </w:tc>
      </w:tr>
      <w:tr>
        <w:trPr/>
        <w:tc>
          <w:tcPr>
            <w:tcW w:w="3305"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Class A Common Stock, $.001 par value</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NUS</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New York Stock Exchange</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12(g) of the Act:   None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if the registrant is a well-known seasoned issuer, as defined in Rule 405 of the Securities Act.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if the registrant is not required to file reports pursuant to Section 13 or Section 15(d) of the Act.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tbl>
      <w:tblPr>
        <w:tblW w:w="4675" w:type="dxa"/>
        <w:jc w:val="left"/>
        <w:tblInd w:w="0" w:type="dxa"/>
        <w:tblLayout w:type="fixed"/>
        <w:tblCellMar>
          <w:top w:w="0" w:type="dxa"/>
          <w:left w:w="0" w:type="dxa"/>
          <w:bottom w:w="0" w:type="dxa"/>
          <w:right w:w="0" w:type="dxa"/>
        </w:tblCellMar>
      </w:tblPr>
      <w:tblGrid>
        <w:gridCol w:w="2105"/>
        <w:gridCol w:w="60"/>
        <w:gridCol w:w="2510"/>
      </w:tblGrid>
      <w:tr>
        <w:trPr/>
        <w:tc>
          <w:tcPr>
            <w:tcW w:w="2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Large accelerated filer  ☐</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Accelerated filer  ☑</w:t>
            </w:r>
          </w:p>
        </w:tc>
      </w:tr>
      <w:tr>
        <w:trPr/>
        <w:tc>
          <w:tcPr>
            <w:tcW w:w="2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Non-accelerated filer  ☐</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Smaller reporting company  ☐</w:t>
            </w:r>
          </w:p>
        </w:tc>
      </w:tr>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Emerging growth company  ☐</w:t>
            </w:r>
          </w:p>
        </w:tc>
      </w:tr>
    </w:tbl>
    <w:p>
      <w:pPr>
        <w:pStyle w:val="TextBody"/>
        <w:bidi w:val="0"/>
        <w:spacing w:before="0" w:after="0"/>
        <w:jc w:val="left"/>
        <w:rPr/>
      </w:pPr>
      <w:r>
        <w:rPr/>
      </w:r>
    </w:p>
    <w:p>
      <w:pPr>
        <w:pStyle w:val="TextBody"/>
        <w:bidi w:val="0"/>
        <w:spacing w:before="15" w:after="0"/>
        <w:ind w:left="0" w:right="0" w:hanging="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jc w:val="left"/>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shell company (as defined in Rule 12b-2 of the Act).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Based on the closing sales price of the Class A common stock on the New York Stock Exchange on June 30, 2025, the last business day of the Registrant’s second fiscal quarter, the aggregate market value of the voting stock held by non-affiliates of the Registrant was approximately $390 million. All executive officers and directors of the Registrant, and all stockholders holding more than 10% of the Registrant’s outstanding voting stock (other than institutional investors, such as registered investment companies, eligible to file beneficial ownership reports on Schedule 13G), have been deemed, solely for the purpose of the foregoing calculation, to be “affiliates” of the Registrant.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January 31, 2026, 48,126,825 shares of the Registrant’s Class A common stock, $.001 par value per share, and no shares of the Registrant’s Class B common stock, $.001 par value per share, were outstanding.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Documents incorporated by reference</w:t>
      </w:r>
      <w:r>
        <w:rPr>
          <w:rFonts w:ascii="Times New Roman" w:hAnsi="Times New Roman"/>
          <w:color w:val="000000"/>
          <w:sz w:val="20"/>
          <w:shd w:fill="FFFFFF" w:val="clear"/>
        </w:rPr>
        <w:t>. Portions of the Registrant’s Definitive Proxy Statement for the Registrant’s 2026 Annual Meeting of Stockholders are incorporated by reference in Part III of this report. The Definitive Proxy Statement or an amendment to this Form 10-K will be filed with the Securities and Exchange Commission within 120 days after the Registrant’s fiscal year end.</w:t>
      </w:r>
    </w:p>
    <w:p>
      <w:pPr>
        <w:pStyle w:val="TextBody"/>
        <w:bidi w:val="0"/>
        <w:spacing w:before="0" w:after="0"/>
        <w:jc w:val="left"/>
        <w:rPr/>
      </w:pPr>
      <w:r>
        <w:rPr/>
      </w:r>
    </w:p>
    <w:p>
      <w:pPr>
        <w:pStyle w:val="HorizontalLine"/>
        <w:bidi w:val="0"/>
        <w:jc w:val="both"/>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bookmarkStart w:id="0" w:name="TABLEOFCONTENTS"/>
      <w:bookmarkEnd w:id="0"/>
      <w:r>
        <w:rPr>
          <w:rFonts w:ascii="Times New Roman" w:hAnsi="Times New Roman"/>
          <w:b/>
          <w:color w:val="000000"/>
          <w:sz w:val="20"/>
          <w:shd w:fill="FFFFFF" w:val="clear"/>
        </w:rPr>
        <w:t>TABLE OF CONTENTS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38"/>
        <w:gridCol w:w="1472"/>
        <w:gridCol w:w="8110"/>
        <w:gridCol w:w="485"/>
      </w:tblGrid>
      <w:tr>
        <w:trPr/>
        <w:tc>
          <w:tcPr>
            <w:tcW w:w="1610" w:type="dxa"/>
            <w:gridSpan w:val="2"/>
            <w:tcBorders/>
            <w:vAlign w:val="center"/>
          </w:tcPr>
          <w:p>
            <w:pPr>
              <w:pStyle w:val="TableContents"/>
              <w:bidi w:val="0"/>
              <w:spacing w:before="0" w:after="283"/>
              <w:jc w:val="left"/>
              <w:rPr/>
            </w:pPr>
            <w:r>
              <w:rPr/>
              <w:t> </w:t>
            </w:r>
          </w:p>
        </w:tc>
        <w:tc>
          <w:tcPr>
            <w:tcW w:w="8110" w:type="dxa"/>
            <w:tcBorders/>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Page</w:t>
            </w:r>
          </w:p>
        </w:tc>
      </w:tr>
      <w:tr>
        <w:trPr/>
        <w:tc>
          <w:tcPr>
            <w:tcW w:w="1610" w:type="dxa"/>
            <w:gridSpan w:val="2"/>
            <w:tcBorders/>
            <w:shd w:fill="CCEEFF" w:val="clear"/>
            <w:vAlign w:val="center"/>
          </w:tcPr>
          <w:p>
            <w:pPr>
              <w:pStyle w:val="TableContents"/>
              <w:bidi w:val="0"/>
              <w:spacing w:before="0" w:after="0"/>
              <w:jc w:val="left"/>
              <w:rPr/>
            </w:pPr>
            <w:hyperlink w:anchor="PARTI">
              <w:r>
                <w:rPr>
                  <w:rStyle w:val="InternetLink"/>
                  <w:b/>
                  <w:color w:val="000000"/>
                </w:rPr>
                <w:t>PART I</w:t>
              </w:r>
            </w:hyperlink>
          </w:p>
        </w:tc>
        <w:tc>
          <w:tcPr>
            <w:tcW w:w="811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1</w:t>
            </w:r>
          </w:p>
        </w:tc>
      </w:tr>
      <w:tr>
        <w:trPr/>
        <w:tc>
          <w:tcPr>
            <w:tcW w:w="138"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0"/>
              <w:jc w:val="left"/>
              <w:rPr>
                <w:color w:val="000000"/>
              </w:rPr>
            </w:pPr>
            <w:r>
              <w:rPr>
                <w:color w:val="000000"/>
              </w:rPr>
              <w:t>ITEM 1.</w:t>
            </w:r>
          </w:p>
        </w:tc>
        <w:tc>
          <w:tcPr>
            <w:tcW w:w="8110" w:type="dxa"/>
            <w:tcBorders/>
            <w:vAlign w:val="center"/>
          </w:tcPr>
          <w:p>
            <w:pPr>
              <w:pStyle w:val="TableContents"/>
              <w:bidi w:val="0"/>
              <w:spacing w:before="0" w:after="0"/>
              <w:jc w:val="left"/>
              <w:rPr/>
            </w:pPr>
            <w:hyperlink w:anchor="BUSINESS">
              <w:r>
                <w:rPr>
                  <w:rStyle w:val="InternetLink"/>
                  <w:color w:val="000000"/>
                </w:rPr>
                <w:t>BUSINESS</w:t>
              </w:r>
            </w:hyperlink>
          </w:p>
        </w:tc>
        <w:tc>
          <w:tcPr>
            <w:tcW w:w="485" w:type="dxa"/>
            <w:tcBorders/>
            <w:vAlign w:val="center"/>
          </w:tcPr>
          <w:p>
            <w:pPr>
              <w:pStyle w:val="TableContents"/>
              <w:bidi w:val="0"/>
              <w:spacing w:before="0" w:after="0"/>
              <w:jc w:val="center"/>
              <w:rPr>
                <w:color w:val="000000"/>
              </w:rPr>
            </w:pPr>
            <w:r>
              <w:rPr>
                <w:color w:val="000000"/>
              </w:rPr>
              <w:t>1</w:t>
            </w:r>
          </w:p>
        </w:tc>
      </w:tr>
      <w:tr>
        <w:trPr/>
        <w:tc>
          <w:tcPr>
            <w:tcW w:w="138"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left"/>
              <w:rPr/>
            </w:pPr>
            <w:r>
              <w:rPr/>
              <w:t> </w:t>
            </w:r>
          </w:p>
        </w:tc>
        <w:tc>
          <w:tcPr>
            <w:tcW w:w="8110" w:type="dxa"/>
            <w:tcBorders/>
            <w:shd w:fill="CCEEFF" w:val="clear"/>
            <w:vAlign w:val="center"/>
          </w:tcPr>
          <w:p>
            <w:pPr>
              <w:pStyle w:val="TableContents"/>
              <w:bidi w:val="0"/>
              <w:spacing w:before="0" w:after="0"/>
              <w:jc w:val="left"/>
              <w:rPr/>
            </w:pPr>
            <w:hyperlink w:anchor="PRODUCTS">
              <w:r>
                <w:rPr>
                  <w:rStyle w:val="InternetLink"/>
                  <w:color w:val="000000"/>
                </w:rPr>
                <w:t>PRODUCTS</w:t>
              </w:r>
            </w:hyperlink>
          </w:p>
        </w:tc>
        <w:tc>
          <w:tcPr>
            <w:tcW w:w="485" w:type="dxa"/>
            <w:tcBorders/>
            <w:shd w:fill="CCEEFF" w:val="clear"/>
            <w:vAlign w:val="center"/>
          </w:tcPr>
          <w:p>
            <w:pPr>
              <w:pStyle w:val="TableContents"/>
              <w:bidi w:val="0"/>
              <w:spacing w:before="0" w:after="0"/>
              <w:jc w:val="center"/>
              <w:rPr>
                <w:color w:val="000000"/>
              </w:rPr>
            </w:pPr>
            <w:r>
              <w:rPr>
                <w:color w:val="000000"/>
              </w:rPr>
              <w:t>1</w:t>
            </w:r>
          </w:p>
        </w:tc>
      </w:tr>
      <w:tr>
        <w:trPr/>
        <w:tc>
          <w:tcPr>
            <w:tcW w:w="138"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left"/>
              <w:rPr/>
            </w:pPr>
            <w:r>
              <w:rPr/>
              <w:t> </w:t>
            </w:r>
          </w:p>
        </w:tc>
        <w:tc>
          <w:tcPr>
            <w:tcW w:w="8110" w:type="dxa"/>
            <w:tcBorders/>
            <w:vAlign w:val="center"/>
          </w:tcPr>
          <w:p>
            <w:pPr>
              <w:pStyle w:val="TableContents"/>
              <w:bidi w:val="0"/>
              <w:spacing w:before="0" w:after="0"/>
              <w:jc w:val="left"/>
              <w:rPr/>
            </w:pPr>
            <w:hyperlink w:anchor="DISTRIBUTIONCHANNEL">
              <w:r>
                <w:rPr>
                  <w:rStyle w:val="InternetLink"/>
                  <w:color w:val="000000"/>
                </w:rPr>
                <w:t>DISTRIBUTION CHANNEL</w:t>
              </w:r>
            </w:hyperlink>
          </w:p>
        </w:tc>
        <w:tc>
          <w:tcPr>
            <w:tcW w:w="485" w:type="dxa"/>
            <w:tcBorders/>
            <w:vAlign w:val="center"/>
          </w:tcPr>
          <w:p>
            <w:pPr>
              <w:pStyle w:val="TableContents"/>
              <w:bidi w:val="0"/>
              <w:spacing w:before="0" w:after="0"/>
              <w:jc w:val="center"/>
              <w:rPr>
                <w:color w:val="000000"/>
              </w:rPr>
            </w:pPr>
            <w:r>
              <w:rPr>
                <w:color w:val="000000"/>
              </w:rPr>
              <w:t>3</w:t>
            </w:r>
          </w:p>
        </w:tc>
      </w:tr>
      <w:tr>
        <w:trPr/>
        <w:tc>
          <w:tcPr>
            <w:tcW w:w="138"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left"/>
              <w:rPr/>
            </w:pPr>
            <w:r>
              <w:rPr/>
              <w:t> </w:t>
            </w:r>
          </w:p>
        </w:tc>
        <w:tc>
          <w:tcPr>
            <w:tcW w:w="8110" w:type="dxa"/>
            <w:tcBorders/>
            <w:shd w:fill="CCEEFF" w:val="clear"/>
            <w:vAlign w:val="center"/>
          </w:tcPr>
          <w:p>
            <w:pPr>
              <w:pStyle w:val="TableContents"/>
              <w:bidi w:val="0"/>
              <w:spacing w:before="0" w:after="0"/>
              <w:jc w:val="left"/>
              <w:rPr/>
            </w:pPr>
            <w:hyperlink w:anchor="GEOGRAPHICREGIONS">
              <w:r>
                <w:rPr>
                  <w:rStyle w:val="InternetLink"/>
                  <w:color w:val="000000"/>
                </w:rPr>
                <w:t>GEOGRAPHIC REGIONS</w:t>
              </w:r>
            </w:hyperlink>
          </w:p>
        </w:tc>
        <w:tc>
          <w:tcPr>
            <w:tcW w:w="485" w:type="dxa"/>
            <w:tcBorders/>
            <w:shd w:fill="CCEEFF" w:val="clear"/>
            <w:vAlign w:val="center"/>
          </w:tcPr>
          <w:p>
            <w:pPr>
              <w:pStyle w:val="TableContents"/>
              <w:bidi w:val="0"/>
              <w:spacing w:before="0" w:after="0"/>
              <w:jc w:val="center"/>
              <w:rPr>
                <w:color w:val="000000"/>
              </w:rPr>
            </w:pPr>
            <w:r>
              <w:rPr>
                <w:color w:val="000000"/>
              </w:rPr>
              <w:t>8</w:t>
            </w:r>
          </w:p>
        </w:tc>
      </w:tr>
      <w:tr>
        <w:trPr/>
        <w:tc>
          <w:tcPr>
            <w:tcW w:w="138"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left"/>
              <w:rPr/>
            </w:pPr>
            <w:r>
              <w:rPr/>
              <w:t> </w:t>
            </w:r>
          </w:p>
        </w:tc>
        <w:tc>
          <w:tcPr>
            <w:tcW w:w="8110" w:type="dxa"/>
            <w:tcBorders/>
            <w:vAlign w:val="center"/>
          </w:tcPr>
          <w:p>
            <w:pPr>
              <w:pStyle w:val="TableContents"/>
              <w:bidi w:val="0"/>
              <w:spacing w:before="0" w:after="0"/>
              <w:jc w:val="left"/>
              <w:rPr/>
            </w:pPr>
            <w:hyperlink w:anchor="REGULATION">
              <w:r>
                <w:rPr>
                  <w:rStyle w:val="InternetLink"/>
                  <w:color w:val="000000"/>
                </w:rPr>
                <w:t>REGULATION</w:t>
              </w:r>
            </w:hyperlink>
          </w:p>
        </w:tc>
        <w:tc>
          <w:tcPr>
            <w:tcW w:w="485" w:type="dxa"/>
            <w:tcBorders/>
            <w:vAlign w:val="center"/>
          </w:tcPr>
          <w:p>
            <w:pPr>
              <w:pStyle w:val="TableContents"/>
              <w:bidi w:val="0"/>
              <w:spacing w:before="0" w:after="0"/>
              <w:jc w:val="center"/>
              <w:rPr>
                <w:color w:val="000000"/>
              </w:rPr>
            </w:pPr>
            <w:r>
              <w:rPr>
                <w:color w:val="000000"/>
              </w:rPr>
              <w:t>8</w:t>
            </w:r>
          </w:p>
        </w:tc>
      </w:tr>
      <w:tr>
        <w:trPr/>
        <w:tc>
          <w:tcPr>
            <w:tcW w:w="138"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left"/>
              <w:rPr/>
            </w:pPr>
            <w:r>
              <w:rPr/>
              <w:t> </w:t>
            </w:r>
          </w:p>
        </w:tc>
        <w:tc>
          <w:tcPr>
            <w:tcW w:w="8110" w:type="dxa"/>
            <w:tcBorders/>
            <w:shd w:fill="CCEEFF" w:val="clear"/>
            <w:vAlign w:val="center"/>
          </w:tcPr>
          <w:p>
            <w:pPr>
              <w:pStyle w:val="TableContents"/>
              <w:bidi w:val="0"/>
              <w:spacing w:before="0" w:after="0"/>
              <w:jc w:val="left"/>
              <w:rPr/>
            </w:pPr>
            <w:hyperlink w:anchor="COMPETITION">
              <w:r>
                <w:rPr>
                  <w:rStyle w:val="InternetLink"/>
                  <w:color w:val="000000"/>
                </w:rPr>
                <w:t>COMPETITION</w:t>
              </w:r>
            </w:hyperlink>
          </w:p>
        </w:tc>
        <w:tc>
          <w:tcPr>
            <w:tcW w:w="485" w:type="dxa"/>
            <w:tcBorders/>
            <w:shd w:fill="CCEEFF" w:val="clear"/>
            <w:vAlign w:val="center"/>
          </w:tcPr>
          <w:p>
            <w:pPr>
              <w:pStyle w:val="TableContents"/>
              <w:bidi w:val="0"/>
              <w:spacing w:before="0" w:after="0"/>
              <w:jc w:val="center"/>
              <w:rPr>
                <w:color w:val="000000"/>
              </w:rPr>
            </w:pPr>
            <w:r>
              <w:rPr>
                <w:color w:val="000000"/>
              </w:rPr>
              <w:t>14</w:t>
            </w:r>
          </w:p>
        </w:tc>
      </w:tr>
      <w:tr>
        <w:trPr/>
        <w:tc>
          <w:tcPr>
            <w:tcW w:w="138"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left"/>
              <w:rPr/>
            </w:pPr>
            <w:r>
              <w:rPr/>
              <w:t> </w:t>
            </w:r>
          </w:p>
        </w:tc>
        <w:tc>
          <w:tcPr>
            <w:tcW w:w="8110" w:type="dxa"/>
            <w:tcBorders/>
            <w:vAlign w:val="center"/>
          </w:tcPr>
          <w:p>
            <w:pPr>
              <w:pStyle w:val="TableContents"/>
              <w:bidi w:val="0"/>
              <w:spacing w:before="0" w:after="0"/>
              <w:jc w:val="left"/>
              <w:rPr/>
            </w:pPr>
            <w:hyperlink w:anchor="RHYZCOMPANIES">
              <w:r>
                <w:rPr>
                  <w:rStyle w:val="InternetLink"/>
                  <w:color w:val="000000"/>
                </w:rPr>
                <w:t>RHYZ COMPANIES</w:t>
              </w:r>
            </w:hyperlink>
          </w:p>
        </w:tc>
        <w:tc>
          <w:tcPr>
            <w:tcW w:w="485" w:type="dxa"/>
            <w:tcBorders/>
            <w:vAlign w:val="center"/>
          </w:tcPr>
          <w:p>
            <w:pPr>
              <w:pStyle w:val="TableContents"/>
              <w:bidi w:val="0"/>
              <w:spacing w:before="0" w:after="0"/>
              <w:jc w:val="center"/>
              <w:rPr>
                <w:color w:val="000000"/>
              </w:rPr>
            </w:pPr>
            <w:r>
              <w:rPr>
                <w:color w:val="000000"/>
              </w:rPr>
              <w:t>15</w:t>
            </w:r>
          </w:p>
        </w:tc>
      </w:tr>
      <w:tr>
        <w:trPr/>
        <w:tc>
          <w:tcPr>
            <w:tcW w:w="138"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left"/>
              <w:rPr/>
            </w:pPr>
            <w:r>
              <w:rPr/>
              <w:t> </w:t>
            </w:r>
          </w:p>
        </w:tc>
        <w:tc>
          <w:tcPr>
            <w:tcW w:w="8110" w:type="dxa"/>
            <w:tcBorders/>
            <w:shd w:fill="CCEEFF" w:val="clear"/>
            <w:vAlign w:val="center"/>
          </w:tcPr>
          <w:p>
            <w:pPr>
              <w:pStyle w:val="TableContents"/>
              <w:bidi w:val="0"/>
              <w:spacing w:before="0" w:after="0"/>
              <w:jc w:val="left"/>
              <w:rPr/>
            </w:pPr>
            <w:hyperlink w:anchor="HUMANCAPITALRESOURCES">
              <w:r>
                <w:rPr>
                  <w:rStyle w:val="InternetLink"/>
                  <w:color w:val="000000"/>
                </w:rPr>
                <w:t>HUMAN CAPITAL RESOURCES</w:t>
              </w:r>
            </w:hyperlink>
          </w:p>
        </w:tc>
        <w:tc>
          <w:tcPr>
            <w:tcW w:w="485" w:type="dxa"/>
            <w:tcBorders/>
            <w:shd w:fill="CCEEFF" w:val="clear"/>
            <w:vAlign w:val="center"/>
          </w:tcPr>
          <w:p>
            <w:pPr>
              <w:pStyle w:val="TableContents"/>
              <w:bidi w:val="0"/>
              <w:spacing w:before="0" w:after="0"/>
              <w:jc w:val="center"/>
              <w:rPr>
                <w:color w:val="000000"/>
              </w:rPr>
            </w:pPr>
            <w:r>
              <w:rPr>
                <w:color w:val="000000"/>
              </w:rPr>
              <w:t>15</w:t>
            </w:r>
          </w:p>
        </w:tc>
      </w:tr>
      <w:tr>
        <w:trPr/>
        <w:tc>
          <w:tcPr>
            <w:tcW w:w="138"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left"/>
              <w:rPr/>
            </w:pPr>
            <w:r>
              <w:rPr/>
              <w:t> </w:t>
            </w:r>
          </w:p>
        </w:tc>
        <w:tc>
          <w:tcPr>
            <w:tcW w:w="8110" w:type="dxa"/>
            <w:tcBorders/>
            <w:vAlign w:val="center"/>
          </w:tcPr>
          <w:p>
            <w:pPr>
              <w:pStyle w:val="TableContents"/>
              <w:bidi w:val="0"/>
              <w:spacing w:before="0" w:after="0"/>
              <w:jc w:val="left"/>
              <w:rPr/>
            </w:pPr>
            <w:hyperlink w:anchor="AVAILABLEINFORMATION">
              <w:r>
                <w:rPr>
                  <w:rStyle w:val="InternetLink"/>
                  <w:color w:val="000000"/>
                </w:rPr>
                <w:t>AVAILABLE INFORMATION</w:t>
              </w:r>
            </w:hyperlink>
          </w:p>
        </w:tc>
        <w:tc>
          <w:tcPr>
            <w:tcW w:w="485" w:type="dxa"/>
            <w:tcBorders/>
            <w:vAlign w:val="center"/>
          </w:tcPr>
          <w:p>
            <w:pPr>
              <w:pStyle w:val="TableContents"/>
              <w:bidi w:val="0"/>
              <w:spacing w:before="0" w:after="0"/>
              <w:jc w:val="center"/>
              <w:rPr>
                <w:color w:val="000000"/>
              </w:rPr>
            </w:pPr>
            <w:r>
              <w:rPr>
                <w:color w:val="000000"/>
              </w:rPr>
              <w:t>16</w:t>
            </w:r>
          </w:p>
        </w:tc>
      </w:tr>
      <w:tr>
        <w:trPr/>
        <w:tc>
          <w:tcPr>
            <w:tcW w:w="138"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left"/>
              <w:rPr/>
            </w:pPr>
            <w:r>
              <w:rPr/>
              <w:t> </w:t>
            </w:r>
          </w:p>
        </w:tc>
        <w:tc>
          <w:tcPr>
            <w:tcW w:w="8110" w:type="dxa"/>
            <w:tcBorders/>
            <w:shd w:fill="CCEEFF" w:val="clear"/>
            <w:vAlign w:val="center"/>
          </w:tcPr>
          <w:p>
            <w:pPr>
              <w:pStyle w:val="TableContents"/>
              <w:bidi w:val="0"/>
              <w:spacing w:before="0" w:after="0"/>
              <w:jc w:val="left"/>
              <w:rPr/>
            </w:pPr>
            <w:hyperlink w:anchor="INFORMATIONABOUTOUREXECUT">
              <w:r>
                <w:rPr>
                  <w:rStyle w:val="InternetLink"/>
                  <w:color w:val="000000"/>
                </w:rPr>
                <w:t>INFORMATION ABOUT OUR EXECUTIVE OFFICERS</w:t>
              </w:r>
            </w:hyperlink>
          </w:p>
        </w:tc>
        <w:tc>
          <w:tcPr>
            <w:tcW w:w="485" w:type="dxa"/>
            <w:tcBorders/>
            <w:shd w:fill="CCEEFF" w:val="clear"/>
            <w:vAlign w:val="center"/>
          </w:tcPr>
          <w:p>
            <w:pPr>
              <w:pStyle w:val="TableContents"/>
              <w:bidi w:val="0"/>
              <w:spacing w:before="0" w:after="0"/>
              <w:jc w:val="center"/>
              <w:rPr>
                <w:color w:val="000000"/>
              </w:rPr>
            </w:pPr>
            <w:r>
              <w:rPr>
                <w:color w:val="000000"/>
              </w:rPr>
              <w:t>17</w:t>
            </w:r>
          </w:p>
        </w:tc>
      </w:tr>
      <w:tr>
        <w:trPr/>
        <w:tc>
          <w:tcPr>
            <w:tcW w:w="138"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0"/>
              <w:jc w:val="left"/>
              <w:rPr>
                <w:color w:val="000000"/>
              </w:rPr>
            </w:pPr>
            <w:r>
              <w:rPr>
                <w:color w:val="000000"/>
              </w:rPr>
              <w:t>ITEM 1A.</w:t>
            </w:r>
          </w:p>
        </w:tc>
        <w:tc>
          <w:tcPr>
            <w:tcW w:w="8110" w:type="dxa"/>
            <w:tcBorders/>
            <w:vAlign w:val="center"/>
          </w:tcPr>
          <w:p>
            <w:pPr>
              <w:pStyle w:val="TableContents"/>
              <w:bidi w:val="0"/>
              <w:spacing w:before="0" w:after="0"/>
              <w:jc w:val="left"/>
              <w:rPr/>
            </w:pPr>
            <w:hyperlink w:anchor="ITEM1A.">
              <w:r>
                <w:rPr>
                  <w:rStyle w:val="InternetLink"/>
                  <w:color w:val="000000"/>
                </w:rPr>
                <w:t>RISK FACTORS</w:t>
              </w:r>
            </w:hyperlink>
          </w:p>
        </w:tc>
        <w:tc>
          <w:tcPr>
            <w:tcW w:w="485" w:type="dxa"/>
            <w:tcBorders/>
            <w:vAlign w:val="center"/>
          </w:tcPr>
          <w:p>
            <w:pPr>
              <w:pStyle w:val="TableContents"/>
              <w:bidi w:val="0"/>
              <w:spacing w:before="0" w:after="0"/>
              <w:jc w:val="center"/>
              <w:rPr>
                <w:color w:val="000000"/>
              </w:rPr>
            </w:pPr>
            <w:r>
              <w:rPr>
                <w:color w:val="000000"/>
              </w:rPr>
              <w:t>18</w:t>
            </w:r>
          </w:p>
        </w:tc>
      </w:tr>
      <w:tr>
        <w:trPr/>
        <w:tc>
          <w:tcPr>
            <w:tcW w:w="138"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0"/>
              <w:jc w:val="left"/>
              <w:rPr>
                <w:color w:val="000000"/>
              </w:rPr>
            </w:pPr>
            <w:r>
              <w:rPr>
                <w:color w:val="000000"/>
              </w:rPr>
              <w:t>ITEM 1B.</w:t>
            </w:r>
          </w:p>
        </w:tc>
        <w:tc>
          <w:tcPr>
            <w:tcW w:w="8110" w:type="dxa"/>
            <w:tcBorders/>
            <w:shd w:fill="CCEEFF" w:val="clear"/>
            <w:vAlign w:val="center"/>
          </w:tcPr>
          <w:p>
            <w:pPr>
              <w:pStyle w:val="TableContents"/>
              <w:bidi w:val="0"/>
              <w:spacing w:before="0" w:after="0"/>
              <w:jc w:val="left"/>
              <w:rPr/>
            </w:pPr>
            <w:hyperlink w:anchor="ITEM1B">
              <w:r>
                <w:rPr>
                  <w:rStyle w:val="InternetLink"/>
                  <w:color w:val="000000"/>
                </w:rPr>
                <w:t>UNRESOLVED STAFF COMMENTS</w:t>
              </w:r>
            </w:hyperlink>
          </w:p>
        </w:tc>
        <w:tc>
          <w:tcPr>
            <w:tcW w:w="485" w:type="dxa"/>
            <w:tcBorders/>
            <w:shd w:fill="CCEEFF" w:val="clear"/>
            <w:vAlign w:val="center"/>
          </w:tcPr>
          <w:p>
            <w:pPr>
              <w:pStyle w:val="TableContents"/>
              <w:bidi w:val="0"/>
              <w:spacing w:before="0" w:after="0"/>
              <w:jc w:val="center"/>
              <w:rPr>
                <w:color w:val="000000"/>
              </w:rPr>
            </w:pPr>
            <w:r>
              <w:rPr>
                <w:color w:val="000000"/>
              </w:rPr>
              <w:t>45</w:t>
            </w:r>
          </w:p>
        </w:tc>
      </w:tr>
      <w:tr>
        <w:trPr/>
        <w:tc>
          <w:tcPr>
            <w:tcW w:w="138"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left"/>
              <w:rPr/>
            </w:pPr>
            <w:r>
              <w:rPr/>
              <w:t>ITEM 1C.</w:t>
            </w:r>
          </w:p>
        </w:tc>
        <w:tc>
          <w:tcPr>
            <w:tcW w:w="8110" w:type="dxa"/>
            <w:tcBorders/>
            <w:vAlign w:val="center"/>
          </w:tcPr>
          <w:p>
            <w:pPr>
              <w:pStyle w:val="TableContents"/>
              <w:bidi w:val="0"/>
              <w:spacing w:before="0" w:after="0"/>
              <w:jc w:val="left"/>
              <w:rPr/>
            </w:pPr>
            <w:hyperlink w:anchor="ITEM1C.">
              <w:r>
                <w:rPr>
                  <w:rStyle w:val="InternetLink"/>
                  <w:color w:val="000000"/>
                </w:rPr>
                <w:t>CYBERSECURITY</w:t>
              </w:r>
            </w:hyperlink>
          </w:p>
        </w:tc>
        <w:tc>
          <w:tcPr>
            <w:tcW w:w="485" w:type="dxa"/>
            <w:tcBorders/>
            <w:vAlign w:val="center"/>
          </w:tcPr>
          <w:p>
            <w:pPr>
              <w:pStyle w:val="TableContents"/>
              <w:bidi w:val="0"/>
              <w:spacing w:before="0" w:after="0"/>
              <w:jc w:val="center"/>
              <w:rPr>
                <w:color w:val="000000"/>
              </w:rPr>
            </w:pPr>
            <w:r>
              <w:rPr>
                <w:color w:val="000000"/>
              </w:rPr>
              <w:t>46</w:t>
            </w:r>
          </w:p>
        </w:tc>
      </w:tr>
      <w:tr>
        <w:trPr/>
        <w:tc>
          <w:tcPr>
            <w:tcW w:w="138"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0"/>
              <w:jc w:val="left"/>
              <w:rPr>
                <w:color w:val="000000"/>
              </w:rPr>
            </w:pPr>
            <w:r>
              <w:rPr>
                <w:color w:val="000000"/>
              </w:rPr>
              <w:t>ITEM 2.</w:t>
            </w:r>
          </w:p>
        </w:tc>
        <w:tc>
          <w:tcPr>
            <w:tcW w:w="8110" w:type="dxa"/>
            <w:tcBorders/>
            <w:shd w:fill="CCEEFF" w:val="clear"/>
            <w:vAlign w:val="center"/>
          </w:tcPr>
          <w:p>
            <w:pPr>
              <w:pStyle w:val="TableContents"/>
              <w:bidi w:val="0"/>
              <w:spacing w:before="0" w:after="0"/>
              <w:jc w:val="left"/>
              <w:rPr/>
            </w:pPr>
            <w:hyperlink w:anchor="PROPERTIES">
              <w:r>
                <w:rPr>
                  <w:rStyle w:val="InternetLink"/>
                  <w:color w:val="000000"/>
                </w:rPr>
                <w:t>PROPERTIES</w:t>
              </w:r>
            </w:hyperlink>
          </w:p>
        </w:tc>
        <w:tc>
          <w:tcPr>
            <w:tcW w:w="485" w:type="dxa"/>
            <w:tcBorders/>
            <w:shd w:fill="CCEEFF" w:val="clear"/>
            <w:vAlign w:val="center"/>
          </w:tcPr>
          <w:p>
            <w:pPr>
              <w:pStyle w:val="TableContents"/>
              <w:bidi w:val="0"/>
              <w:spacing w:before="0" w:after="0"/>
              <w:jc w:val="center"/>
              <w:rPr>
                <w:color w:val="000000"/>
              </w:rPr>
            </w:pPr>
            <w:r>
              <w:rPr>
                <w:color w:val="000000"/>
              </w:rPr>
              <w:t>46</w:t>
            </w:r>
          </w:p>
        </w:tc>
      </w:tr>
      <w:tr>
        <w:trPr/>
        <w:tc>
          <w:tcPr>
            <w:tcW w:w="138"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0"/>
              <w:jc w:val="left"/>
              <w:rPr>
                <w:color w:val="000000"/>
              </w:rPr>
            </w:pPr>
            <w:r>
              <w:rPr>
                <w:color w:val="000000"/>
              </w:rPr>
              <w:t>ITEM 3.</w:t>
            </w:r>
          </w:p>
        </w:tc>
        <w:tc>
          <w:tcPr>
            <w:tcW w:w="8110" w:type="dxa"/>
            <w:tcBorders/>
            <w:vAlign w:val="center"/>
          </w:tcPr>
          <w:p>
            <w:pPr>
              <w:pStyle w:val="TableContents"/>
              <w:bidi w:val="0"/>
              <w:spacing w:before="0" w:after="0"/>
              <w:jc w:val="left"/>
              <w:rPr/>
            </w:pPr>
            <w:hyperlink w:anchor="LEGALPROCEEDINGS">
              <w:r>
                <w:rPr>
                  <w:rStyle w:val="InternetLink"/>
                  <w:color w:val="000000"/>
                </w:rPr>
                <w:t>LEGAL PROCEEDINGS</w:t>
              </w:r>
            </w:hyperlink>
          </w:p>
        </w:tc>
        <w:tc>
          <w:tcPr>
            <w:tcW w:w="485" w:type="dxa"/>
            <w:tcBorders/>
            <w:vAlign w:val="center"/>
          </w:tcPr>
          <w:p>
            <w:pPr>
              <w:pStyle w:val="TableContents"/>
              <w:bidi w:val="0"/>
              <w:spacing w:before="0" w:after="0"/>
              <w:jc w:val="center"/>
              <w:rPr>
                <w:color w:val="000000"/>
              </w:rPr>
            </w:pPr>
            <w:r>
              <w:rPr>
                <w:color w:val="000000"/>
              </w:rPr>
              <w:t>46</w:t>
            </w:r>
          </w:p>
        </w:tc>
      </w:tr>
      <w:tr>
        <w:trPr/>
        <w:tc>
          <w:tcPr>
            <w:tcW w:w="138"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0"/>
              <w:jc w:val="left"/>
              <w:rPr>
                <w:color w:val="000000"/>
              </w:rPr>
            </w:pPr>
            <w:r>
              <w:rPr>
                <w:color w:val="000000"/>
              </w:rPr>
              <w:t>ITEM 4.</w:t>
            </w:r>
          </w:p>
        </w:tc>
        <w:tc>
          <w:tcPr>
            <w:tcW w:w="8110" w:type="dxa"/>
            <w:tcBorders/>
            <w:shd w:fill="CCEEFF" w:val="clear"/>
            <w:vAlign w:val="center"/>
          </w:tcPr>
          <w:p>
            <w:pPr>
              <w:pStyle w:val="TableContents"/>
              <w:bidi w:val="0"/>
              <w:spacing w:before="0" w:after="0"/>
              <w:jc w:val="left"/>
              <w:rPr/>
            </w:pPr>
            <w:hyperlink w:anchor="MINESAFETY">
              <w:r>
                <w:rPr>
                  <w:rStyle w:val="InternetLink"/>
                  <w:color w:val="000000"/>
                </w:rPr>
                <w:t>MINE SAFETY DISCLOSURES</w:t>
              </w:r>
            </w:hyperlink>
          </w:p>
        </w:tc>
        <w:tc>
          <w:tcPr>
            <w:tcW w:w="485" w:type="dxa"/>
            <w:tcBorders/>
            <w:shd w:fill="CCEEFF" w:val="clear"/>
            <w:vAlign w:val="center"/>
          </w:tcPr>
          <w:p>
            <w:pPr>
              <w:pStyle w:val="TableContents"/>
              <w:bidi w:val="0"/>
              <w:spacing w:before="0" w:after="0"/>
              <w:jc w:val="center"/>
              <w:rPr>
                <w:color w:val="000000"/>
              </w:rPr>
            </w:pPr>
            <w:r>
              <w:rPr>
                <w:color w:val="000000"/>
              </w:rPr>
              <w:t>46</w:t>
            </w:r>
          </w:p>
        </w:tc>
      </w:tr>
      <w:tr>
        <w:trPr/>
        <w:tc>
          <w:tcPr>
            <w:tcW w:w="1610" w:type="dxa"/>
            <w:gridSpan w:val="2"/>
            <w:tcBorders/>
            <w:vAlign w:val="center"/>
          </w:tcPr>
          <w:p>
            <w:pPr>
              <w:pStyle w:val="TableContents"/>
              <w:bidi w:val="0"/>
              <w:spacing w:before="0" w:after="0"/>
              <w:jc w:val="left"/>
              <w:rPr/>
            </w:pPr>
            <w:hyperlink w:anchor="PARTII">
              <w:r>
                <w:rPr>
                  <w:rStyle w:val="InternetLink"/>
                  <w:b/>
                  <w:color w:val="000000"/>
                </w:rPr>
                <w:t>PART II</w:t>
              </w:r>
            </w:hyperlink>
          </w:p>
        </w:tc>
        <w:tc>
          <w:tcPr>
            <w:tcW w:w="811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jc w:val="center"/>
              <w:rPr>
                <w:color w:val="000000"/>
              </w:rPr>
            </w:pPr>
            <w:r>
              <w:rPr>
                <w:color w:val="000000"/>
              </w:rPr>
              <w:t>47</w:t>
            </w:r>
          </w:p>
        </w:tc>
      </w:tr>
      <w:tr>
        <w:trPr/>
        <w:tc>
          <w:tcPr>
            <w:tcW w:w="138"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0"/>
              <w:jc w:val="left"/>
              <w:rPr>
                <w:color w:val="000000"/>
              </w:rPr>
            </w:pPr>
            <w:r>
              <w:rPr>
                <w:color w:val="000000"/>
              </w:rPr>
              <w:t>ITEM 5.</w:t>
            </w:r>
          </w:p>
        </w:tc>
        <w:tc>
          <w:tcPr>
            <w:tcW w:w="8110" w:type="dxa"/>
            <w:tcBorders/>
            <w:shd w:fill="CCEEFF" w:val="clear"/>
            <w:vAlign w:val="center"/>
          </w:tcPr>
          <w:p>
            <w:pPr>
              <w:pStyle w:val="TableContents"/>
              <w:bidi w:val="0"/>
              <w:spacing w:before="0" w:after="0"/>
              <w:jc w:val="left"/>
              <w:rPr/>
            </w:pPr>
            <w:hyperlink w:anchor="MARKETFORREGISTRANTSCOMMO">
              <w:r>
                <w:rPr>
                  <w:rStyle w:val="InternetLink"/>
                  <w:color w:val="000000"/>
                </w:rPr>
                <w:t>MARKET FOR REGISTRANT’S COMMON EQUITY, RELATED STOCKHOLDER MATTERS AND ISSUER PURCHASES OF EQUITY SECURITIES</w:t>
              </w:r>
            </w:hyperlink>
          </w:p>
        </w:tc>
        <w:tc>
          <w:tcPr>
            <w:tcW w:w="485" w:type="dxa"/>
            <w:tcBorders/>
            <w:shd w:fill="CCEEFF" w:val="clear"/>
            <w:vAlign w:val="center"/>
          </w:tcPr>
          <w:p>
            <w:pPr>
              <w:pStyle w:val="TableContents"/>
              <w:bidi w:val="0"/>
              <w:spacing w:before="0" w:after="0"/>
              <w:jc w:val="center"/>
              <w:rPr>
                <w:color w:val="000000"/>
              </w:rPr>
            </w:pPr>
            <w:r>
              <w:rPr>
                <w:color w:val="000000"/>
              </w:rPr>
              <w:t>47</w:t>
            </w:r>
          </w:p>
        </w:tc>
      </w:tr>
      <w:tr>
        <w:trPr/>
        <w:tc>
          <w:tcPr>
            <w:tcW w:w="138"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0"/>
              <w:jc w:val="left"/>
              <w:rPr>
                <w:color w:val="000000"/>
              </w:rPr>
            </w:pPr>
            <w:r>
              <w:rPr>
                <w:color w:val="000000"/>
              </w:rPr>
              <w:t>ITEM 6.</w:t>
            </w:r>
          </w:p>
        </w:tc>
        <w:tc>
          <w:tcPr>
            <w:tcW w:w="8110" w:type="dxa"/>
            <w:tcBorders/>
            <w:vAlign w:val="center"/>
          </w:tcPr>
          <w:p>
            <w:pPr>
              <w:pStyle w:val="TableContents"/>
              <w:bidi w:val="0"/>
              <w:spacing w:before="0" w:after="0"/>
              <w:jc w:val="left"/>
              <w:rPr/>
            </w:pPr>
            <w:hyperlink w:anchor="RESERVED">
              <w:r>
                <w:rPr>
                  <w:rStyle w:val="InternetLink"/>
                  <w:color w:val="000000"/>
                </w:rPr>
                <w:t>RESERVED</w:t>
              </w:r>
            </w:hyperlink>
          </w:p>
        </w:tc>
        <w:tc>
          <w:tcPr>
            <w:tcW w:w="485" w:type="dxa"/>
            <w:tcBorders/>
            <w:vAlign w:val="center"/>
          </w:tcPr>
          <w:p>
            <w:pPr>
              <w:pStyle w:val="TableContents"/>
              <w:bidi w:val="0"/>
              <w:spacing w:before="0" w:after="0"/>
              <w:jc w:val="center"/>
              <w:rPr>
                <w:color w:val="000000"/>
              </w:rPr>
            </w:pPr>
            <w:r>
              <w:rPr>
                <w:color w:val="000000"/>
              </w:rPr>
              <w:t>48</w:t>
            </w:r>
          </w:p>
        </w:tc>
      </w:tr>
      <w:tr>
        <w:trPr/>
        <w:tc>
          <w:tcPr>
            <w:tcW w:w="138"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0"/>
              <w:jc w:val="left"/>
              <w:rPr>
                <w:color w:val="000000"/>
              </w:rPr>
            </w:pPr>
            <w:r>
              <w:rPr>
                <w:color w:val="000000"/>
              </w:rPr>
              <w:t>ITEM 7.</w:t>
            </w:r>
          </w:p>
        </w:tc>
        <w:tc>
          <w:tcPr>
            <w:tcW w:w="8110" w:type="dxa"/>
            <w:tcBorders/>
            <w:shd w:fill="CCEEFF" w:val="clear"/>
            <w:vAlign w:val="center"/>
          </w:tcPr>
          <w:p>
            <w:pPr>
              <w:pStyle w:val="TableContents"/>
              <w:bidi w:val="0"/>
              <w:spacing w:before="0" w:after="0"/>
              <w:jc w:val="left"/>
              <w:rPr/>
            </w:pPr>
            <w:hyperlink w:anchor="MANAGEMENTSDISCUSSION">
              <w:r>
                <w:rPr>
                  <w:rStyle w:val="InternetLink"/>
                  <w:color w:val="000000"/>
                </w:rPr>
                <w:t>MANAGEMENT’S DISCUSSION AND ANALYSIS OF FINANCIAL CONDITION AND RESULTS OF OPERATIONS</w:t>
              </w:r>
            </w:hyperlink>
          </w:p>
        </w:tc>
        <w:tc>
          <w:tcPr>
            <w:tcW w:w="485" w:type="dxa"/>
            <w:tcBorders/>
            <w:shd w:fill="CCEEFF" w:val="clear"/>
            <w:vAlign w:val="center"/>
          </w:tcPr>
          <w:p>
            <w:pPr>
              <w:pStyle w:val="TableContents"/>
              <w:bidi w:val="0"/>
              <w:spacing w:before="0" w:after="0"/>
              <w:jc w:val="center"/>
              <w:rPr>
                <w:color w:val="000000"/>
              </w:rPr>
            </w:pPr>
            <w:r>
              <w:rPr>
                <w:color w:val="000000"/>
              </w:rPr>
              <w:t>49</w:t>
            </w:r>
          </w:p>
        </w:tc>
      </w:tr>
      <w:tr>
        <w:trPr/>
        <w:tc>
          <w:tcPr>
            <w:tcW w:w="138"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0"/>
              <w:jc w:val="left"/>
              <w:rPr>
                <w:color w:val="000000"/>
              </w:rPr>
            </w:pPr>
            <w:r>
              <w:rPr>
                <w:color w:val="000000"/>
              </w:rPr>
              <w:t>ITEM 7A.</w:t>
            </w:r>
          </w:p>
        </w:tc>
        <w:tc>
          <w:tcPr>
            <w:tcW w:w="8110" w:type="dxa"/>
            <w:tcBorders/>
            <w:vAlign w:val="center"/>
          </w:tcPr>
          <w:p>
            <w:pPr>
              <w:pStyle w:val="TableContents"/>
              <w:bidi w:val="0"/>
              <w:spacing w:before="0" w:after="0"/>
              <w:jc w:val="left"/>
              <w:rPr/>
            </w:pPr>
            <w:hyperlink w:anchor="QUANTITATIVEANDQUALITATIV">
              <w:r>
                <w:rPr>
                  <w:rStyle w:val="InternetLink"/>
                  <w:color w:val="000000"/>
                </w:rPr>
                <w:t>QUANTITATIVE AND QUALITATIVE DISCLOSURES ABOUT MARKET RISK</w:t>
              </w:r>
            </w:hyperlink>
          </w:p>
        </w:tc>
        <w:tc>
          <w:tcPr>
            <w:tcW w:w="485" w:type="dxa"/>
            <w:tcBorders/>
            <w:vAlign w:val="center"/>
          </w:tcPr>
          <w:p>
            <w:pPr>
              <w:pStyle w:val="TableContents"/>
              <w:bidi w:val="0"/>
              <w:spacing w:before="0" w:after="0"/>
              <w:jc w:val="center"/>
              <w:rPr>
                <w:color w:val="000000"/>
              </w:rPr>
            </w:pPr>
            <w:r>
              <w:rPr>
                <w:color w:val="000000"/>
              </w:rPr>
              <w:t>64</w:t>
            </w:r>
          </w:p>
        </w:tc>
      </w:tr>
      <w:tr>
        <w:trPr/>
        <w:tc>
          <w:tcPr>
            <w:tcW w:w="138"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0"/>
              <w:jc w:val="left"/>
              <w:rPr>
                <w:color w:val="000000"/>
              </w:rPr>
            </w:pPr>
            <w:r>
              <w:rPr>
                <w:color w:val="000000"/>
              </w:rPr>
              <w:t>ITEM 8.</w:t>
            </w:r>
          </w:p>
        </w:tc>
        <w:tc>
          <w:tcPr>
            <w:tcW w:w="8110" w:type="dxa"/>
            <w:tcBorders/>
            <w:shd w:fill="CCEEFF" w:val="clear"/>
            <w:vAlign w:val="center"/>
          </w:tcPr>
          <w:p>
            <w:pPr>
              <w:pStyle w:val="TableContents"/>
              <w:bidi w:val="0"/>
              <w:spacing w:before="0" w:after="0"/>
              <w:jc w:val="left"/>
              <w:rPr/>
            </w:pPr>
            <w:hyperlink w:anchor="ITEM8.">
              <w:r>
                <w:rPr>
                  <w:rStyle w:val="InternetLink"/>
                  <w:color w:val="000000"/>
                </w:rPr>
                <w:t>FINANCIAL STATEMENTS AND SUPPLEMENTARY DATA</w:t>
              </w:r>
            </w:hyperlink>
          </w:p>
        </w:tc>
        <w:tc>
          <w:tcPr>
            <w:tcW w:w="485" w:type="dxa"/>
            <w:tcBorders/>
            <w:shd w:fill="CCEEFF" w:val="clear"/>
            <w:vAlign w:val="center"/>
          </w:tcPr>
          <w:p>
            <w:pPr>
              <w:pStyle w:val="TableContents"/>
              <w:bidi w:val="0"/>
              <w:spacing w:before="0" w:after="0"/>
              <w:jc w:val="center"/>
              <w:rPr>
                <w:color w:val="000000"/>
              </w:rPr>
            </w:pPr>
            <w:r>
              <w:rPr>
                <w:color w:val="000000"/>
              </w:rPr>
              <w:t>66</w:t>
            </w:r>
          </w:p>
        </w:tc>
      </w:tr>
      <w:tr>
        <w:trPr/>
        <w:tc>
          <w:tcPr>
            <w:tcW w:w="138"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0"/>
              <w:jc w:val="left"/>
              <w:rPr>
                <w:color w:val="000000"/>
              </w:rPr>
            </w:pPr>
            <w:r>
              <w:rPr>
                <w:color w:val="000000"/>
              </w:rPr>
              <w:t>ITEM 9.</w:t>
            </w:r>
          </w:p>
        </w:tc>
        <w:tc>
          <w:tcPr>
            <w:tcW w:w="8110" w:type="dxa"/>
            <w:tcBorders/>
            <w:vAlign w:val="center"/>
          </w:tcPr>
          <w:p>
            <w:pPr>
              <w:pStyle w:val="TableContents"/>
              <w:bidi w:val="0"/>
              <w:spacing w:before="0" w:after="0"/>
              <w:jc w:val="left"/>
              <w:rPr/>
            </w:pPr>
            <w:hyperlink w:anchor="CHANGESINANDDISAGREEMENTS">
              <w:r>
                <w:rPr>
                  <w:rStyle w:val="InternetLink"/>
                  <w:color w:val="000000"/>
                </w:rPr>
                <w:t>CHANGES IN AND DISAGREEMENTS WITH ACCOUNTANTS ON ACCOUNTING AND FINANCIAL DISCLOSURE</w:t>
              </w:r>
            </w:hyperlink>
          </w:p>
        </w:tc>
        <w:tc>
          <w:tcPr>
            <w:tcW w:w="485" w:type="dxa"/>
            <w:tcBorders/>
            <w:vAlign w:val="center"/>
          </w:tcPr>
          <w:p>
            <w:pPr>
              <w:pStyle w:val="TableContents"/>
              <w:bidi w:val="0"/>
              <w:spacing w:before="0" w:after="0"/>
              <w:jc w:val="center"/>
              <w:rPr>
                <w:color w:val="000000"/>
              </w:rPr>
            </w:pPr>
            <w:r>
              <w:rPr>
                <w:color w:val="000000"/>
              </w:rPr>
              <w:t>103</w:t>
            </w:r>
          </w:p>
        </w:tc>
      </w:tr>
      <w:tr>
        <w:trPr/>
        <w:tc>
          <w:tcPr>
            <w:tcW w:w="138"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0"/>
              <w:jc w:val="left"/>
              <w:rPr>
                <w:color w:val="000000"/>
              </w:rPr>
            </w:pPr>
            <w:r>
              <w:rPr>
                <w:color w:val="000000"/>
              </w:rPr>
              <w:t>ITEM 9A.</w:t>
            </w:r>
          </w:p>
        </w:tc>
        <w:tc>
          <w:tcPr>
            <w:tcW w:w="8110" w:type="dxa"/>
            <w:tcBorders/>
            <w:shd w:fill="CCEEFF" w:val="clear"/>
            <w:vAlign w:val="center"/>
          </w:tcPr>
          <w:p>
            <w:pPr>
              <w:pStyle w:val="TableContents"/>
              <w:bidi w:val="0"/>
              <w:spacing w:before="0" w:after="0"/>
              <w:jc w:val="left"/>
              <w:rPr/>
            </w:pPr>
            <w:hyperlink w:anchor="CONTROLSAN">
              <w:r>
                <w:rPr>
                  <w:rStyle w:val="InternetLink"/>
                  <w:color w:val="000000"/>
                </w:rPr>
                <w:t>CONTROLS AND PROCEDURES</w:t>
              </w:r>
            </w:hyperlink>
          </w:p>
        </w:tc>
        <w:tc>
          <w:tcPr>
            <w:tcW w:w="485" w:type="dxa"/>
            <w:tcBorders/>
            <w:shd w:fill="CCEEFF" w:val="clear"/>
            <w:vAlign w:val="center"/>
          </w:tcPr>
          <w:p>
            <w:pPr>
              <w:pStyle w:val="TableContents"/>
              <w:bidi w:val="0"/>
              <w:spacing w:before="0" w:after="0"/>
              <w:jc w:val="center"/>
              <w:rPr>
                <w:color w:val="000000"/>
              </w:rPr>
            </w:pPr>
            <w:r>
              <w:rPr>
                <w:color w:val="000000"/>
              </w:rPr>
              <w:t>103</w:t>
            </w:r>
          </w:p>
        </w:tc>
      </w:tr>
      <w:tr>
        <w:trPr/>
        <w:tc>
          <w:tcPr>
            <w:tcW w:w="138"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0"/>
              <w:jc w:val="left"/>
              <w:rPr>
                <w:color w:val="000000"/>
              </w:rPr>
            </w:pPr>
            <w:r>
              <w:rPr>
                <w:color w:val="000000"/>
              </w:rPr>
              <w:t>ITEM 9B.</w:t>
            </w:r>
          </w:p>
        </w:tc>
        <w:tc>
          <w:tcPr>
            <w:tcW w:w="8110" w:type="dxa"/>
            <w:tcBorders/>
            <w:vAlign w:val="center"/>
          </w:tcPr>
          <w:p>
            <w:pPr>
              <w:pStyle w:val="TableContents"/>
              <w:bidi w:val="0"/>
              <w:spacing w:before="0" w:after="0"/>
              <w:jc w:val="left"/>
              <w:rPr/>
            </w:pPr>
            <w:hyperlink w:anchor="OTHERINFORM">
              <w:r>
                <w:rPr>
                  <w:rStyle w:val="InternetLink"/>
                  <w:color w:val="000000"/>
                </w:rPr>
                <w:t>OTHER INFORMATION</w:t>
              </w:r>
            </w:hyperlink>
          </w:p>
        </w:tc>
        <w:tc>
          <w:tcPr>
            <w:tcW w:w="485" w:type="dxa"/>
            <w:tcBorders/>
            <w:vAlign w:val="center"/>
          </w:tcPr>
          <w:p>
            <w:pPr>
              <w:pStyle w:val="TableContents"/>
              <w:bidi w:val="0"/>
              <w:spacing w:before="0" w:after="0"/>
              <w:jc w:val="center"/>
              <w:rPr>
                <w:color w:val="000000"/>
              </w:rPr>
            </w:pPr>
            <w:r>
              <w:rPr>
                <w:color w:val="000000"/>
              </w:rPr>
              <w:t>103</w:t>
            </w:r>
          </w:p>
        </w:tc>
      </w:tr>
      <w:tr>
        <w:trPr/>
        <w:tc>
          <w:tcPr>
            <w:tcW w:w="138"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0"/>
              <w:jc w:val="left"/>
              <w:rPr>
                <w:color w:val="000000"/>
              </w:rPr>
            </w:pPr>
            <w:r>
              <w:rPr>
                <w:color w:val="000000"/>
              </w:rPr>
              <w:t>ITEM 9C.</w:t>
            </w:r>
          </w:p>
        </w:tc>
        <w:tc>
          <w:tcPr>
            <w:tcW w:w="8110" w:type="dxa"/>
            <w:tcBorders/>
            <w:shd w:fill="CCEEFF" w:val="clear"/>
            <w:vAlign w:val="center"/>
          </w:tcPr>
          <w:p>
            <w:pPr>
              <w:pStyle w:val="TableContents"/>
              <w:bidi w:val="0"/>
              <w:spacing w:before="0" w:after="0"/>
              <w:jc w:val="left"/>
              <w:rPr/>
            </w:pPr>
            <w:hyperlink w:anchor="DISCLOSUREREGARDINGFOREIG">
              <w:r>
                <w:rPr>
                  <w:rStyle w:val="InternetLink"/>
                  <w:color w:val="000000"/>
                </w:rPr>
                <w:t>DISCLOSURE REGARDING FOREIGN JURISDICTIONS THAT PREVENT INSPECTIONS</w:t>
              </w:r>
            </w:hyperlink>
          </w:p>
        </w:tc>
        <w:tc>
          <w:tcPr>
            <w:tcW w:w="485" w:type="dxa"/>
            <w:tcBorders/>
            <w:shd w:fill="CCEEFF" w:val="clear"/>
            <w:vAlign w:val="center"/>
          </w:tcPr>
          <w:p>
            <w:pPr>
              <w:pStyle w:val="TableContents"/>
              <w:bidi w:val="0"/>
              <w:spacing w:before="0" w:after="0"/>
              <w:jc w:val="center"/>
              <w:rPr>
                <w:color w:val="000000"/>
              </w:rPr>
            </w:pPr>
            <w:r>
              <w:rPr>
                <w:color w:val="000000"/>
              </w:rPr>
              <w:t>103</w:t>
            </w:r>
          </w:p>
        </w:tc>
      </w:tr>
      <w:tr>
        <w:trPr/>
        <w:tc>
          <w:tcPr>
            <w:tcW w:w="1610" w:type="dxa"/>
            <w:gridSpan w:val="2"/>
            <w:tcBorders/>
            <w:vAlign w:val="center"/>
          </w:tcPr>
          <w:p>
            <w:pPr>
              <w:pStyle w:val="TableContents"/>
              <w:bidi w:val="0"/>
              <w:spacing w:before="0" w:after="0"/>
              <w:jc w:val="left"/>
              <w:rPr/>
            </w:pPr>
            <w:hyperlink w:anchor="PARTIII">
              <w:r>
                <w:rPr>
                  <w:rStyle w:val="InternetLink"/>
                  <w:b/>
                  <w:color w:val="000000"/>
                </w:rPr>
                <w:t>PART III</w:t>
              </w:r>
            </w:hyperlink>
          </w:p>
        </w:tc>
        <w:tc>
          <w:tcPr>
            <w:tcW w:w="811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jc w:val="center"/>
              <w:rPr>
                <w:color w:val="000000"/>
              </w:rPr>
            </w:pPr>
            <w:r>
              <w:rPr>
                <w:color w:val="000000"/>
              </w:rPr>
              <w:t>104</w:t>
            </w:r>
          </w:p>
        </w:tc>
      </w:tr>
      <w:tr>
        <w:trPr/>
        <w:tc>
          <w:tcPr>
            <w:tcW w:w="138"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0"/>
              <w:jc w:val="left"/>
              <w:rPr>
                <w:color w:val="000000"/>
              </w:rPr>
            </w:pPr>
            <w:r>
              <w:rPr>
                <w:color w:val="000000"/>
              </w:rPr>
              <w:t>ITEM 10.</w:t>
            </w:r>
          </w:p>
        </w:tc>
        <w:tc>
          <w:tcPr>
            <w:tcW w:w="8110" w:type="dxa"/>
            <w:tcBorders/>
            <w:shd w:fill="CCEEFF" w:val="clear"/>
            <w:vAlign w:val="center"/>
          </w:tcPr>
          <w:p>
            <w:pPr>
              <w:pStyle w:val="TableContents"/>
              <w:bidi w:val="0"/>
              <w:spacing w:before="0" w:after="0"/>
              <w:jc w:val="left"/>
              <w:rPr>
                <w:color w:val="000000"/>
              </w:rPr>
            </w:pPr>
            <w:r>
              <w:rPr>
                <w:color w:val="000000"/>
              </w:rPr>
              <w:t>DIRECTORS, EXECUTIVE OFFICERS AND CORPORATE GOVERNANCE</w:t>
            </w:r>
          </w:p>
        </w:tc>
        <w:tc>
          <w:tcPr>
            <w:tcW w:w="485" w:type="dxa"/>
            <w:tcBorders/>
            <w:shd w:fill="CCEEFF" w:val="clear"/>
            <w:vAlign w:val="center"/>
          </w:tcPr>
          <w:p>
            <w:pPr>
              <w:pStyle w:val="TableContents"/>
              <w:bidi w:val="0"/>
              <w:spacing w:before="0" w:after="0"/>
              <w:jc w:val="center"/>
              <w:rPr>
                <w:color w:val="000000"/>
              </w:rPr>
            </w:pPr>
            <w:r>
              <w:rPr>
                <w:color w:val="000000"/>
              </w:rPr>
              <w:t>104</w:t>
            </w:r>
          </w:p>
        </w:tc>
      </w:tr>
      <w:tr>
        <w:trPr/>
        <w:tc>
          <w:tcPr>
            <w:tcW w:w="138"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0"/>
              <w:jc w:val="left"/>
              <w:rPr>
                <w:color w:val="000000"/>
              </w:rPr>
            </w:pPr>
            <w:r>
              <w:rPr>
                <w:color w:val="000000"/>
              </w:rPr>
              <w:t>ITEM 11.</w:t>
            </w:r>
          </w:p>
        </w:tc>
        <w:tc>
          <w:tcPr>
            <w:tcW w:w="8110" w:type="dxa"/>
            <w:tcBorders/>
            <w:vAlign w:val="center"/>
          </w:tcPr>
          <w:p>
            <w:pPr>
              <w:pStyle w:val="TableContents"/>
              <w:bidi w:val="0"/>
              <w:spacing w:before="0" w:after="0"/>
              <w:jc w:val="left"/>
              <w:rPr>
                <w:color w:val="000000"/>
              </w:rPr>
            </w:pPr>
            <w:r>
              <w:rPr>
                <w:color w:val="000000"/>
              </w:rPr>
              <w:t>EXECUTIVE COMPENSATION</w:t>
            </w:r>
          </w:p>
        </w:tc>
        <w:tc>
          <w:tcPr>
            <w:tcW w:w="485" w:type="dxa"/>
            <w:tcBorders/>
            <w:vAlign w:val="center"/>
          </w:tcPr>
          <w:p>
            <w:pPr>
              <w:pStyle w:val="TableContents"/>
              <w:bidi w:val="0"/>
              <w:spacing w:before="0" w:after="0"/>
              <w:jc w:val="center"/>
              <w:rPr>
                <w:color w:val="000000"/>
              </w:rPr>
            </w:pPr>
            <w:r>
              <w:rPr>
                <w:color w:val="000000"/>
              </w:rPr>
              <w:t>104</w:t>
            </w:r>
          </w:p>
        </w:tc>
      </w:tr>
      <w:tr>
        <w:trPr/>
        <w:tc>
          <w:tcPr>
            <w:tcW w:w="138"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0"/>
              <w:jc w:val="left"/>
              <w:rPr>
                <w:color w:val="000000"/>
              </w:rPr>
            </w:pPr>
            <w:r>
              <w:rPr>
                <w:color w:val="000000"/>
              </w:rPr>
              <w:t>ITEM 12.</w:t>
            </w:r>
          </w:p>
        </w:tc>
        <w:tc>
          <w:tcPr>
            <w:tcW w:w="8110" w:type="dxa"/>
            <w:tcBorders/>
            <w:shd w:fill="CCEEFF" w:val="clear"/>
            <w:vAlign w:val="center"/>
          </w:tcPr>
          <w:p>
            <w:pPr>
              <w:pStyle w:val="TableContents"/>
              <w:bidi w:val="0"/>
              <w:spacing w:before="0" w:after="0"/>
              <w:jc w:val="left"/>
              <w:rPr>
                <w:color w:val="000000"/>
              </w:rPr>
            </w:pPr>
            <w:r>
              <w:rPr>
                <w:color w:val="000000"/>
              </w:rPr>
              <w:t>SECURITY OWNERSHIP OF CERTAIN BENEFICIAL OWNERS AND MANAGEMENT AND RELATED STOCKHOLDER MATTERS</w:t>
            </w:r>
          </w:p>
        </w:tc>
        <w:tc>
          <w:tcPr>
            <w:tcW w:w="485" w:type="dxa"/>
            <w:tcBorders/>
            <w:shd w:fill="CCEEFF" w:val="clear"/>
            <w:vAlign w:val="center"/>
          </w:tcPr>
          <w:p>
            <w:pPr>
              <w:pStyle w:val="TableContents"/>
              <w:bidi w:val="0"/>
              <w:spacing w:before="0" w:after="0"/>
              <w:jc w:val="center"/>
              <w:rPr>
                <w:color w:val="000000"/>
              </w:rPr>
            </w:pPr>
            <w:r>
              <w:rPr>
                <w:color w:val="000000"/>
              </w:rPr>
              <w:t>104</w:t>
            </w:r>
          </w:p>
        </w:tc>
      </w:tr>
      <w:tr>
        <w:trPr/>
        <w:tc>
          <w:tcPr>
            <w:tcW w:w="138"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0"/>
              <w:jc w:val="left"/>
              <w:rPr>
                <w:color w:val="000000"/>
              </w:rPr>
            </w:pPr>
            <w:r>
              <w:rPr>
                <w:color w:val="000000"/>
              </w:rPr>
              <w:t>ITEM 13.</w:t>
            </w:r>
          </w:p>
        </w:tc>
        <w:tc>
          <w:tcPr>
            <w:tcW w:w="8110" w:type="dxa"/>
            <w:tcBorders/>
            <w:vAlign w:val="center"/>
          </w:tcPr>
          <w:p>
            <w:pPr>
              <w:pStyle w:val="TableContents"/>
              <w:bidi w:val="0"/>
              <w:spacing w:before="0" w:after="0"/>
              <w:jc w:val="left"/>
              <w:rPr>
                <w:color w:val="000000"/>
              </w:rPr>
            </w:pPr>
            <w:r>
              <w:rPr>
                <w:color w:val="000000"/>
              </w:rPr>
              <w:t>CERTAIN RELATIONSHIPS AND RELATED TRANSACTIONS, AND DIRECTOR INDEPENDENCE</w:t>
            </w:r>
          </w:p>
        </w:tc>
        <w:tc>
          <w:tcPr>
            <w:tcW w:w="485" w:type="dxa"/>
            <w:tcBorders/>
            <w:vAlign w:val="center"/>
          </w:tcPr>
          <w:p>
            <w:pPr>
              <w:pStyle w:val="TableContents"/>
              <w:bidi w:val="0"/>
              <w:spacing w:before="0" w:after="0"/>
              <w:jc w:val="center"/>
              <w:rPr>
                <w:color w:val="000000"/>
              </w:rPr>
            </w:pPr>
            <w:r>
              <w:rPr>
                <w:color w:val="000000"/>
              </w:rPr>
              <w:t>104</w:t>
            </w:r>
          </w:p>
        </w:tc>
      </w:tr>
      <w:tr>
        <w:trPr/>
        <w:tc>
          <w:tcPr>
            <w:tcW w:w="138"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0"/>
              <w:jc w:val="left"/>
              <w:rPr>
                <w:color w:val="000000"/>
              </w:rPr>
            </w:pPr>
            <w:r>
              <w:rPr>
                <w:color w:val="000000"/>
              </w:rPr>
              <w:t>ITEM 14.</w:t>
            </w:r>
          </w:p>
        </w:tc>
        <w:tc>
          <w:tcPr>
            <w:tcW w:w="8110" w:type="dxa"/>
            <w:tcBorders/>
            <w:shd w:fill="CCEEFF" w:val="clear"/>
            <w:vAlign w:val="center"/>
          </w:tcPr>
          <w:p>
            <w:pPr>
              <w:pStyle w:val="TableContents"/>
              <w:bidi w:val="0"/>
              <w:spacing w:before="0" w:after="0"/>
              <w:jc w:val="left"/>
              <w:rPr>
                <w:color w:val="000000"/>
              </w:rPr>
            </w:pPr>
            <w:r>
              <w:rPr>
                <w:color w:val="000000"/>
              </w:rPr>
              <w:t>PRINCIPAL ACCOUNTANT FEES AND SERVICES</w:t>
            </w:r>
          </w:p>
        </w:tc>
        <w:tc>
          <w:tcPr>
            <w:tcW w:w="485" w:type="dxa"/>
            <w:tcBorders/>
            <w:shd w:fill="CCEEFF" w:val="clear"/>
            <w:vAlign w:val="center"/>
          </w:tcPr>
          <w:p>
            <w:pPr>
              <w:pStyle w:val="TableContents"/>
              <w:bidi w:val="0"/>
              <w:spacing w:before="0" w:after="0"/>
              <w:jc w:val="center"/>
              <w:rPr>
                <w:color w:val="000000"/>
              </w:rPr>
            </w:pPr>
            <w:r>
              <w:rPr>
                <w:color w:val="000000"/>
              </w:rPr>
              <w:t>104</w:t>
            </w:r>
          </w:p>
        </w:tc>
      </w:tr>
      <w:tr>
        <w:trPr/>
        <w:tc>
          <w:tcPr>
            <w:tcW w:w="1610" w:type="dxa"/>
            <w:gridSpan w:val="2"/>
            <w:tcBorders/>
            <w:vAlign w:val="center"/>
          </w:tcPr>
          <w:p>
            <w:pPr>
              <w:pStyle w:val="TableContents"/>
              <w:bidi w:val="0"/>
              <w:spacing w:before="0" w:after="0"/>
              <w:jc w:val="left"/>
              <w:rPr/>
            </w:pPr>
            <w:hyperlink w:anchor="PARTIV">
              <w:r>
                <w:rPr>
                  <w:rStyle w:val="InternetLink"/>
                  <w:b/>
                  <w:color w:val="000000"/>
                </w:rPr>
                <w:t>PART IV</w:t>
              </w:r>
            </w:hyperlink>
          </w:p>
        </w:tc>
        <w:tc>
          <w:tcPr>
            <w:tcW w:w="811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jc w:val="center"/>
              <w:rPr>
                <w:color w:val="000000"/>
              </w:rPr>
            </w:pPr>
            <w:r>
              <w:rPr>
                <w:color w:val="000000"/>
              </w:rPr>
              <w:t>104</w:t>
            </w:r>
          </w:p>
        </w:tc>
      </w:tr>
      <w:tr>
        <w:trPr/>
        <w:tc>
          <w:tcPr>
            <w:tcW w:w="138"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0"/>
              <w:jc w:val="left"/>
              <w:rPr>
                <w:color w:val="000000"/>
              </w:rPr>
            </w:pPr>
            <w:r>
              <w:rPr>
                <w:color w:val="000000"/>
              </w:rPr>
              <w:t>ITEM 15.</w:t>
            </w:r>
          </w:p>
        </w:tc>
        <w:tc>
          <w:tcPr>
            <w:tcW w:w="8110" w:type="dxa"/>
            <w:tcBorders/>
            <w:shd w:fill="CCEEFF" w:val="clear"/>
            <w:vAlign w:val="center"/>
          </w:tcPr>
          <w:p>
            <w:pPr>
              <w:pStyle w:val="TableContents"/>
              <w:bidi w:val="0"/>
              <w:spacing w:before="0" w:after="0"/>
              <w:jc w:val="left"/>
              <w:rPr/>
            </w:pPr>
            <w:hyperlink w:anchor="EXHIBITSAND">
              <w:r>
                <w:rPr>
                  <w:rStyle w:val="InternetLink"/>
                  <w:color w:val="000000"/>
                </w:rPr>
                <w:t>EXHIBITS AND FINANCIAL STATEMENT SCHEDULES</w:t>
              </w:r>
            </w:hyperlink>
          </w:p>
        </w:tc>
        <w:tc>
          <w:tcPr>
            <w:tcW w:w="485" w:type="dxa"/>
            <w:tcBorders/>
            <w:shd w:fill="CCEEFF" w:val="clear"/>
            <w:vAlign w:val="center"/>
          </w:tcPr>
          <w:p>
            <w:pPr>
              <w:pStyle w:val="TableContents"/>
              <w:bidi w:val="0"/>
              <w:spacing w:before="0" w:after="0"/>
              <w:jc w:val="center"/>
              <w:rPr>
                <w:color w:val="000000"/>
              </w:rPr>
            </w:pPr>
            <w:r>
              <w:rPr>
                <w:color w:val="000000"/>
              </w:rPr>
              <w:t>104</w:t>
            </w:r>
          </w:p>
        </w:tc>
      </w:tr>
      <w:tr>
        <w:trPr/>
        <w:tc>
          <w:tcPr>
            <w:tcW w:w="138"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0"/>
              <w:jc w:val="left"/>
              <w:rPr>
                <w:color w:val="000000"/>
              </w:rPr>
            </w:pPr>
            <w:r>
              <w:rPr>
                <w:color w:val="000000"/>
              </w:rPr>
              <w:t>ITEM 16.</w:t>
            </w:r>
          </w:p>
        </w:tc>
        <w:tc>
          <w:tcPr>
            <w:tcW w:w="8110" w:type="dxa"/>
            <w:tcBorders/>
            <w:vAlign w:val="center"/>
          </w:tcPr>
          <w:p>
            <w:pPr>
              <w:pStyle w:val="TableContents"/>
              <w:bidi w:val="0"/>
              <w:spacing w:before="0" w:after="0"/>
              <w:jc w:val="left"/>
              <w:rPr/>
            </w:pPr>
            <w:hyperlink w:anchor="FORM10-KSUMMARY">
              <w:r>
                <w:rPr>
                  <w:rStyle w:val="InternetLink"/>
                  <w:color w:val="000000"/>
                </w:rPr>
                <w:t>FORM 10-K SUMMARY</w:t>
              </w:r>
            </w:hyperlink>
          </w:p>
        </w:tc>
        <w:tc>
          <w:tcPr>
            <w:tcW w:w="485" w:type="dxa"/>
            <w:tcBorders/>
            <w:vAlign w:val="center"/>
          </w:tcPr>
          <w:p>
            <w:pPr>
              <w:pStyle w:val="TableContents"/>
              <w:bidi w:val="0"/>
              <w:spacing w:before="0" w:after="0"/>
              <w:jc w:val="center"/>
              <w:rPr>
                <w:color w:val="000000"/>
              </w:rPr>
            </w:pPr>
            <w:r>
              <w:rPr>
                <w:color w:val="000000"/>
              </w:rPr>
              <w:t>106</w:t>
            </w:r>
          </w:p>
        </w:tc>
      </w:tr>
      <w:tr>
        <w:trPr/>
        <w:tc>
          <w:tcPr>
            <w:tcW w:w="1610" w:type="dxa"/>
            <w:gridSpan w:val="2"/>
            <w:tcBorders/>
            <w:shd w:fill="CCEEFF" w:val="clear"/>
            <w:vAlign w:val="center"/>
          </w:tcPr>
          <w:p>
            <w:pPr>
              <w:pStyle w:val="TableContents"/>
              <w:bidi w:val="0"/>
              <w:spacing w:before="0" w:after="0"/>
              <w:jc w:val="left"/>
              <w:rPr/>
            </w:pPr>
            <w:hyperlink w:anchor="SIGNATURES">
              <w:r>
                <w:rPr>
                  <w:rStyle w:val="InternetLink"/>
                  <w:b/>
                  <w:color w:val="000000"/>
                </w:rPr>
                <w:t>SIGNATURES</w:t>
              </w:r>
            </w:hyperlink>
          </w:p>
        </w:tc>
        <w:tc>
          <w:tcPr>
            <w:tcW w:w="811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107</w:t>
            </w:r>
          </w:p>
        </w:tc>
      </w:tr>
    </w:tbl>
    <w:p>
      <w:pPr>
        <w:pStyle w:val="TextBody"/>
        <w:bidi w:val="0"/>
        <w:spacing w:before="0" w:after="0"/>
        <w:jc w:val="left"/>
        <w:rPr/>
      </w:pPr>
      <w:r>
        <w:rPr/>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FORWARD-LOOKING STATEMENTS</w:t>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THIS ANNUAL REPORT ON FORM 10-K, IN PARTICULAR “ITEM 1. BUSINESS” AND “ITEM 7. MANAGEMENT’S DISCUSSION AND ANALYSIS OF FINANCIAL CONDITION AND RESULTS OF OPERATIONS,” CONTAINS FORWARD-LOOKING STATEMENTS WITHIN THE MEANING OF SECTION 27A OF THE SECURITIES ACT OF 1933, AS AMENDED, AND SECTION 21E OF THE SECURITIES EXCHANGE ACT OF 1934, AS AMENDED, THAT REPRESENT OUR CURRENT EXPECTATIONS AND BELIEFS. ALL STATEMENTS OTHER THAN STATEMENTS OF HISTORICAL FACT ARE “FORWARD-LOOKING STATEMENTS” FOR PURPOSES OF FEDERAL AND STATE SECURITIES LAWS AND INCLUDE, BUT ARE NOT LIMITED TO, STATEMENTS OF MANAGEMENT’S EXPECTATIONS REGARDING OUR PERFORMANCE, INITIATIVES, STRATEGIES, PRODUCTS, INGREDIENTS, PRODUCT INTRODUCTIONS AND OFFERINGS, PRODUCT SOURCING, GROWTH, ACQUISITIONS AND THE INTEGRATION AND PERFORMANCE OF ACQUIRED COMPANIES, DIVESTITURES AND PRODUCT PORTFOLIO OPTIMIZATION, GROWTH OF OUR RHYZ BUSINESSES, GLOBAL ECONOMIC CONDITIONS, OPPORTUNITIES AND RISKS; STATEMENTS OF PROJECTIONS REGARDING FUTURE SALES, EXPENSES, OPERATING RESULTS, TAXES AND DUTIES, CAPITAL EXPENDITURES, SOURCES AND USES OF CASH, FOREIGN-CURRENCY FLUCTUATIONS OR DEVALUATIONS, REPATRIATION OF UNDISTRIBUTED EARNINGS, AND OTHER FINANCIAL ITEMS; STATEMENTS OF MANAGEMENT’S EXPECTATIONS, PLANS AND BELIEFS REGARDING GLOBAL ECONOMIC CONDITIONS AND OUR MARKETS (INCLUDING INDIA), SALES FORCE, SALES COMPENSATION PLAN AND CUSTOMER BASE; STATEMENTS REGARDING THE PAYMENT OF FUTURE DIVIDENDS AND STOCK REPURCHASES; STATEMENTS REGARDING THE OUTCOME OF LITIGATION, AUDITS, INVESTIGATIONS OR OTHER LEGAL OR REGULATORY MATTERS; STATEMENTS REGARDING GOVERNMENT POLICIES AND REGULATIONS RELATING TO OUR INDUSTRY, INCLUDING GOVERNMENT POLICIES AND REGULATIONS IN OR RELATED TO THE UNITED STATES AND MAINLAND CHINA; STATEMENTS REGARDING TARIFFS AND TRADE POLICIES; ACCOUNTING ESTIMATES AND ASSUMPTIONS; STATEMENTS OF BELIEF; AND STATEMENTS OF ASSUMPTIONS UNDERLYING ANY OF THE FOREGOING. IN SOME CASES, YOU CAN IDENTIFY THESE STATEMENTS BY FORWARD-LOOKING WORDS SUCH AS “BELIEVE,” “EXPECT,” “PROJECT,” “ANTICIPATE,” “DETERMINE,” “ESTIMATE,” “COMMIT,” “INTEND,” “PLAN,” “GOAL,” “OBJECTIVE,” “TARGETS,” “BECOME,” “LIKELY,” “WILL,” “WOULD,” “COULD,” “MAY,” “MIGHT,” THE NEGATIVE OF THESE WORDS AND OTHER SIMILAR WORDS. WE UNDERTAKE NO OBLIGATION TO PUBLICLY UPDATE OR REVISE ANY FORWARD-LOOKING STATEMENT, WHETHER AS A RESULT OF NEW INFORMATION, FUTURE EVENTS OR OTHERWISE, EXCEPT AS REQUIRED BY LAW. WE CAUTION AND ADVISE READERS THAT THESE STATEMENTS ARE BASED ON ASSUMPTIONS THAT MAY NOT BE REALIZED AND INVOLVE IMPORTANT RISKS AND UNCERTAINTIES THAT COULD CAUSE ACTUAL RESULTS TO DIFFER MATERIALLY FROM THE EXPECTATIONS AND BELIEFS CONTAINED HEREIN. FOR A SUMMARY OF THESE RISKS, SEE ITEM 1A. RISK FACTORS.</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In this Annual Report on Form 10-K, references to “dollars” and “$” are to U.S. dollars.</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Nu Skin, Pharmanex and ageLOC are our trademarks. The italicized product names used in this Annual Report on Form 10-K are product names and also, in certain cases, our trademarks.</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1" w:name="PARTI"/>
      <w:bookmarkEnd w:id="1"/>
      <w:r>
        <w:rPr>
          <w:rFonts w:ascii="Times New Roman" w:hAnsi="Times New Roman"/>
          <w:b/>
          <w:color w:val="000000"/>
          <w:sz w:val="20"/>
          <w:shd w:fill="FFFFFF" w:val="clear"/>
        </w:rPr>
        <w:t>PART I</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 w:name="BUSINESS"/>
      <w:bookmarkStart w:id="3" w:name="BUSINESS"/>
      <w:bookmarkEnd w:id="3"/>
    </w:p>
    <w:tbl>
      <w:tblPr>
        <w:tblW w:w="2140" w:type="dxa"/>
        <w:jc w:val="left"/>
        <w:tblInd w:w="0" w:type="dxa"/>
        <w:tblLayout w:type="fixed"/>
        <w:tblCellMar>
          <w:top w:w="0" w:type="dxa"/>
          <w:left w:w="0" w:type="dxa"/>
          <w:bottom w:w="0" w:type="dxa"/>
          <w:right w:w="0" w:type="dxa"/>
        </w:tblCellMar>
      </w:tblPr>
      <w:tblGrid>
        <w:gridCol w:w="920"/>
        <w:gridCol w:w="1220"/>
      </w:tblGrid>
      <w:tr>
        <w:trPr/>
        <w:tc>
          <w:tcPr>
            <w:tcW w:w="920" w:type="dxa"/>
            <w:tcBorders/>
            <w:vAlign w:val="center"/>
          </w:tcPr>
          <w:p>
            <w:pPr>
              <w:pStyle w:val="TableContents"/>
              <w:bidi w:val="0"/>
              <w:spacing w:before="0" w:after="283"/>
              <w:jc w:val="left"/>
              <w:rPr>
                <w:b/>
                <w:color w:val="000000"/>
              </w:rPr>
            </w:pPr>
            <w:r>
              <w:rPr>
                <w:b/>
                <w:color w:val="000000"/>
              </w:rPr>
              <w:t>ITEM 1.</w:t>
            </w:r>
          </w:p>
        </w:tc>
        <w:tc>
          <w:tcPr>
            <w:tcW w:w="1220" w:type="dxa"/>
            <w:tcBorders/>
            <w:vAlign w:val="center"/>
          </w:tcPr>
          <w:p>
            <w:pPr>
              <w:pStyle w:val="TableContents"/>
              <w:bidi w:val="0"/>
              <w:spacing w:before="0" w:after="0"/>
              <w:jc w:val="left"/>
              <w:rPr>
                <w:b/>
                <w:color w:val="000000"/>
                <w:u w:val="single"/>
              </w:rPr>
            </w:pPr>
            <w:r>
              <w:rPr>
                <w:b/>
                <w:color w:val="000000"/>
                <w:u w:val="single"/>
              </w:rPr>
              <w:t>BUSINESS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Nu Skin Enterprises, Inc. develops and distributes a comprehensive line of premium-quality beauty and wellness solutions in nearly 50 markets worldwide. In 2025, our revenue of $1.5 billion was primarily generated by our two primary product categories: beauty products and wellness products. We operate in the direct selling channel, primarily utilizing person-to-person marketing to promote and sell our products, including through the use of social and digital platforms.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addition to our core Nu Skin business, we also explore new areas of synergistic and adjacent growth through our strategic investment arm known as Rhyz Inc., which we formed in 2018. Our Rhyz businesses primarily consist of consumer, technology and manufacturing companies. In 2025, the Rhyz companies generated $223.6 million, or 15%, of our 2025 reported revenue (excluding sales to our core Nu Skin business). As discussed further in “Rhyz Companies,” below, in January 2025 we sold one of our Rhyz businesses that accounted for $69.6 million of our 2024 reported revenue. Our Rhyz companies enable us to optimize our cost of goods, improve lead times, diversify our revenue mix, and create synergies for our brands.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2025, we generated approximately 26% of our revenue from the United States (consisting of our Nu Skin United States and Rhyz businesses) and the remainder from our international markets. Given the size of our international operations, our results, as reported in U.S. dollars, are often impacted by foreign-currency fluctuations; in 2025, our revenue was negatively impacted 0.8% from foreign-currency fluctuations compared to 2024. Our results also can be impacted by global economic, political, demographic and business trends and conditions.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operations are subject to various laws and regulations globally, particularly with respect to our product categories and our distribution channel. See Item 1A. Risk Factors for a more detailed description of the risks associated with our business.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bookmarkStart w:id="4" w:name="PRODUCTS"/>
      <w:bookmarkEnd w:id="4"/>
      <w:r>
        <w:rPr>
          <w:rFonts w:ascii="Times New Roman" w:hAnsi="Times New Roman"/>
          <w:b/>
          <w:color w:val="000000"/>
          <w:sz w:val="20"/>
          <w:shd w:fill="FFFFFF" w:val="clear"/>
        </w:rPr>
        <w:t>PRODUCTS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offer a branded, award-winning and differentiated product portfolio. We believe our innovative approach to product development, clinical substantiation and distribution provides us with a competitive advantage in beauty and wellness products and direct selling. We believe that our acquired and licensed technologies, manufacturing and innovation facilities, research collaborations and in-house research expertise enable us to introduce innovative, proprietary products. We seek to offer products that are demonstrable and well suited for social sharing. Sustainability is also an important part of our product strategy; we take sustainability into account as we formulate our products, and we have an ongoing initiative to innovate our packaging so it is recycled, recyclable, reusable, reduced or renewable.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During the past several years, we have generated success in our business with innovative beauty devices. Devices are an important part of our strategy. We launched our first connected beauty device, </w:t>
      </w:r>
      <w:r>
        <w:rPr>
          <w:rFonts w:ascii="Times New Roman" w:hAnsi="Times New Roman"/>
          <w:i/>
          <w:color w:val="000000"/>
          <w:sz w:val="20"/>
          <w:shd w:fill="FFFFFF" w:val="clear"/>
        </w:rPr>
        <w:t>ageLOC LumiSpa iO</w:t>
      </w:r>
      <w:r>
        <w:rPr>
          <w:rFonts w:ascii="Times New Roman" w:hAnsi="Times New Roman"/>
          <w:color w:val="000000"/>
          <w:sz w:val="20"/>
          <w:shd w:fill="FFFFFF" w:val="clear"/>
        </w:rPr>
        <w:t xml:space="preserve">, in the second half of 2022 and continuing into 2023. In the second half of 2023 and continuing into 2024, we launched </w:t>
      </w:r>
      <w:r>
        <w:rPr>
          <w:rFonts w:ascii="Times New Roman" w:hAnsi="Times New Roman"/>
          <w:i/>
          <w:color w:val="000000"/>
          <w:sz w:val="20"/>
          <w:shd w:fill="FFFFFF" w:val="clear"/>
        </w:rPr>
        <w:t>ageLOC WellSpa iO</w:t>
      </w:r>
      <w:r>
        <w:rPr>
          <w:rFonts w:ascii="Times New Roman" w:hAnsi="Times New Roman"/>
          <w:color w:val="000000"/>
          <w:sz w:val="20"/>
          <w:shd w:fill="FFFFFF" w:val="clear"/>
        </w:rPr>
        <w:t xml:space="preserve"> (not sold in the United States), a connected device focused on holistic wellness and beauty, as well as a similar, FDA-cleared device, </w:t>
      </w:r>
      <w:r>
        <w:rPr>
          <w:rFonts w:ascii="Times New Roman" w:hAnsi="Times New Roman"/>
          <w:i/>
          <w:color w:val="000000"/>
          <w:sz w:val="20"/>
          <w:shd w:fill="FFFFFF" w:val="clear"/>
        </w:rPr>
        <w:t>Nu Skin RenuSpa iO</w:t>
      </w:r>
      <w:r>
        <w:rPr>
          <w:rFonts w:ascii="Times New Roman" w:hAnsi="Times New Roman"/>
          <w:color w:val="000000"/>
          <w:sz w:val="20"/>
          <w:shd w:fill="FFFFFF" w:val="clear"/>
        </w:rPr>
        <w:t xml:space="preserve">, in the United States. Most recently, in the fourth quarter of 2025, we commenced a limited preview of our next-generation device, </w:t>
      </w:r>
      <w:r>
        <w:rPr>
          <w:rFonts w:ascii="Times New Roman" w:hAnsi="Times New Roman"/>
          <w:i/>
          <w:color w:val="000000"/>
          <w:sz w:val="20"/>
          <w:shd w:fill="FFFFFF" w:val="clear"/>
        </w:rPr>
        <w:t>Prysm iO</w:t>
      </w:r>
      <w:r>
        <w:rPr>
          <w:rFonts w:ascii="Times New Roman" w:hAnsi="Times New Roman"/>
          <w:color w:val="000000"/>
          <w:sz w:val="20"/>
          <w:shd w:fill="FFFFFF" w:val="clear"/>
        </w:rPr>
        <w:t xml:space="preserve">. </w:t>
      </w:r>
      <w:r>
        <w:rPr>
          <w:rFonts w:ascii="Times New Roman" w:hAnsi="Times New Roman"/>
          <w:i/>
          <w:color w:val="000000"/>
          <w:sz w:val="20"/>
          <w:shd w:fill="FFFFFF" w:val="clear"/>
        </w:rPr>
        <w:t>Prysm iO</w:t>
      </w:r>
      <w:r>
        <w:rPr>
          <w:rFonts w:ascii="Times New Roman" w:hAnsi="Times New Roman"/>
          <w:color w:val="000000"/>
          <w:sz w:val="20"/>
          <w:shd w:fill="FFFFFF" w:val="clear"/>
        </w:rPr>
        <w:t xml:space="preserve"> is a data-enabled wellness device designed to assess key nutritional indicators and translate those insights into personalized supplement and product recommendations. This preview was designed to introduce key leaders and affiliates to the device’s capabilities ahead of a broader commercial rollout in 2026. When connected to our mobile application, our connected devices gather data to provide varying levels of insights into consumer behavior, with the goal of enabling us to provide more personalized experiences for our consumers. Please refer to “Distribution Channel” below for additional information about our connected devices and our business strategy that they fit into.</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In addition to our devices, in 2025, we introduced a refreshed </w:t>
      </w:r>
      <w:r>
        <w:rPr>
          <w:rFonts w:ascii="Times New Roman" w:hAnsi="Times New Roman"/>
          <w:i/>
          <w:color w:val="000000"/>
          <w:sz w:val="20"/>
          <w:shd w:fill="FFFFFF" w:val="clear"/>
        </w:rPr>
        <w:t>ageLOC Tru Face</w:t>
      </w:r>
      <w:r>
        <w:rPr>
          <w:rFonts w:ascii="Times New Roman" w:hAnsi="Times New Roman"/>
          <w:color w:val="000000"/>
          <w:sz w:val="20"/>
          <w:shd w:fill="FFFFFF" w:val="clear"/>
        </w:rPr>
        <w:t xml:space="preserve"> product line, enhancing our dermaceutical positioning and strengthening our portfolio of anti-aging skincare solutions.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Product Categories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We have two primary product categories: beauty products and wellness products. We develop and distribute innovative, premium-quality products in these two categories under our legacy Nu Skin and Pharmanex brands, respectively, as well as other brands, including our Nutricentials beauty brand and our Beauty Focus wellness brand. We also develop and distribute products under our ageLOC brand, which features innovative, premium-quality anti-aging products in both the beauty and wellness categories and in many cases is co-branded with our other beauty and wellness brands. Most of our innovative devices are ageLOC beauty products; however, </w:t>
      </w:r>
      <w:r>
        <w:rPr>
          <w:rFonts w:ascii="Times New Roman" w:hAnsi="Times New Roman"/>
          <w:i/>
          <w:color w:val="000000"/>
          <w:sz w:val="20"/>
          <w:shd w:fill="FFFFFF" w:val="clear"/>
        </w:rPr>
        <w:t>Prysm iO</w:t>
      </w:r>
      <w:r>
        <w:rPr>
          <w:rFonts w:ascii="Times New Roman" w:hAnsi="Times New Roman"/>
          <w:color w:val="000000"/>
          <w:sz w:val="20"/>
          <w:shd w:fill="FFFFFF" w:val="clear"/>
        </w:rPr>
        <w:t xml:space="preserve"> is a wellness device, and </w:t>
      </w:r>
      <w:r>
        <w:rPr>
          <w:rFonts w:ascii="Times New Roman" w:hAnsi="Times New Roman"/>
          <w:i/>
          <w:color w:val="000000"/>
          <w:sz w:val="20"/>
          <w:shd w:fill="FFFFFF" w:val="clear"/>
        </w:rPr>
        <w:t>ageLOC WellSpa iO</w:t>
      </w:r>
      <w:r>
        <w:rPr>
          <w:rFonts w:ascii="Times New Roman" w:hAnsi="Times New Roman"/>
          <w:color w:val="000000"/>
          <w:sz w:val="20"/>
          <w:shd w:fill="FFFFFF" w:val="clear"/>
        </w:rPr>
        <w:t xml:space="preserve"> and </w:t>
      </w:r>
      <w:r>
        <w:rPr>
          <w:rFonts w:ascii="Times New Roman" w:hAnsi="Times New Roman"/>
          <w:i/>
          <w:color w:val="000000"/>
          <w:sz w:val="20"/>
          <w:shd w:fill="FFFFFF" w:val="clear"/>
        </w:rPr>
        <w:t>Nu Skin RenuSpa iO</w:t>
      </w:r>
      <w:r>
        <w:rPr>
          <w:rFonts w:ascii="Times New Roman" w:hAnsi="Times New Roman"/>
          <w:color w:val="000000"/>
          <w:sz w:val="20"/>
          <w:shd w:fill="FFFFFF" w:val="clear"/>
        </w:rPr>
        <w:t xml:space="preserve"> span both the beauty and wellness categories.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Presented below are the U.S. dollar amounts and associated revenue percentages from the sale of beauty and wellness products, as well as our Rhyz companies, for the last three years. This table should be read in conjunction with the information presented in Item 7. Management’s Discussion and Analysis of Financial Condition and Results of Operations, which discusses the factors impacting revenue trends and the costs associated with generating the aggregate revenue presented.</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Revenue by Product Category</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(U.S. dollars in millions)</w:t>
      </w:r>
    </w:p>
    <w:p>
      <w:pPr>
        <w:pStyle w:val="TextBody"/>
        <w:bidi w:val="0"/>
        <w:spacing w:before="0" w:after="0"/>
        <w:jc w:val="left"/>
        <w:rPr/>
      </w:pPr>
      <w:r>
        <w:rPr/>
      </w:r>
    </w:p>
    <w:tbl>
      <w:tblPr>
        <w:tblW w:w="7535" w:type="dxa"/>
        <w:jc w:val="left"/>
        <w:tblInd w:w="0" w:type="dxa"/>
        <w:tblLayout w:type="fixed"/>
        <w:tblCellMar>
          <w:top w:w="0" w:type="dxa"/>
          <w:left w:w="0" w:type="dxa"/>
          <w:bottom w:w="0" w:type="dxa"/>
          <w:right w:w="0" w:type="dxa"/>
        </w:tblCellMar>
      </w:tblPr>
      <w:tblGrid>
        <w:gridCol w:w="1850"/>
        <w:gridCol w:w="60"/>
        <w:gridCol w:w="140"/>
        <w:gridCol w:w="740"/>
        <w:gridCol w:w="60"/>
        <w:gridCol w:w="60"/>
        <w:gridCol w:w="60"/>
        <w:gridCol w:w="560"/>
        <w:gridCol w:w="215"/>
        <w:gridCol w:w="60"/>
        <w:gridCol w:w="140"/>
        <w:gridCol w:w="740"/>
        <w:gridCol w:w="60"/>
        <w:gridCol w:w="60"/>
        <w:gridCol w:w="60"/>
        <w:gridCol w:w="560"/>
        <w:gridCol w:w="215"/>
        <w:gridCol w:w="60"/>
        <w:gridCol w:w="140"/>
        <w:gridCol w:w="740"/>
        <w:gridCol w:w="60"/>
        <w:gridCol w:w="60"/>
        <w:gridCol w:w="60"/>
        <w:gridCol w:w="560"/>
        <w:gridCol w:w="215"/>
      </w:tblGrid>
      <w:tr>
        <w:trPr/>
        <w:tc>
          <w:tcPr>
            <w:tcW w:w="18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10" w:type="dxa"/>
            <w:gridSpan w:val="2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w:t>
            </w:r>
          </w:p>
        </w:tc>
        <w:tc>
          <w:tcPr>
            <w:tcW w:w="215" w:type="dxa"/>
            <w:tcBorders/>
            <w:vAlign w:val="bottom"/>
          </w:tcPr>
          <w:p>
            <w:pPr>
              <w:pStyle w:val="TableContents"/>
              <w:bidi w:val="0"/>
              <w:spacing w:before="0" w:after="283"/>
              <w:jc w:val="left"/>
              <w:rPr/>
            </w:pPr>
            <w:r>
              <w:rPr/>
              <w:t> </w:t>
            </w:r>
          </w:p>
        </w:tc>
      </w:tr>
      <w:tr>
        <w:trPr/>
        <w:tc>
          <w:tcPr>
            <w:tcW w:w="1850"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Product Category</w:t>
            </w:r>
          </w:p>
        </w:tc>
        <w:tc>
          <w:tcPr>
            <w:tcW w:w="60" w:type="dxa"/>
            <w:tcBorders/>
            <w:vAlign w:val="bottom"/>
          </w:tcPr>
          <w:p>
            <w:pPr>
              <w:pStyle w:val="TableContents"/>
              <w:bidi w:val="0"/>
              <w:spacing w:before="0" w:after="283"/>
              <w:jc w:val="left"/>
              <w:rPr/>
            </w:pPr>
            <w:r>
              <w:rPr/>
              <w:t> </w:t>
            </w:r>
          </w:p>
        </w:tc>
        <w:tc>
          <w:tcPr>
            <w:tcW w:w="162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215"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lineRule="auto" w:line="240" w:before="0" w:after="0"/>
              <w:ind w:left="144" w:right="0" w:hanging="144"/>
              <w:jc w:val="left"/>
              <w:rPr>
                <w:color w:val="000000"/>
              </w:rPr>
            </w:pPr>
            <w:r>
              <w:rPr>
                <w:color w:val="000000"/>
              </w:rPr>
              <w:t>Beauty(1)</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740" w:type="dxa"/>
            <w:tcBorders/>
            <w:shd w:fill="CCEEFF" w:val="clear"/>
            <w:vAlign w:val="bottom"/>
          </w:tcPr>
          <w:p>
            <w:pPr>
              <w:pStyle w:val="TableContents"/>
              <w:bidi w:val="0"/>
              <w:spacing w:before="0" w:after="0"/>
              <w:jc w:val="right"/>
              <w:rPr>
                <w:color w:val="000000"/>
              </w:rPr>
            </w:pPr>
            <w:r>
              <w:rPr>
                <w:color w:val="000000"/>
              </w:rPr>
              <w:t>568.1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38.3</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740" w:type="dxa"/>
            <w:tcBorders/>
            <w:shd w:fill="CCEEFF" w:val="clear"/>
            <w:vAlign w:val="bottom"/>
          </w:tcPr>
          <w:p>
            <w:pPr>
              <w:pStyle w:val="TableContents"/>
              <w:bidi w:val="0"/>
              <w:spacing w:before="0" w:after="0"/>
              <w:jc w:val="right"/>
              <w:rPr>
                <w:color w:val="000000"/>
              </w:rPr>
            </w:pPr>
            <w:r>
              <w:rPr>
                <w:color w:val="000000"/>
              </w:rPr>
              <w:t>681.8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39.4</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740" w:type="dxa"/>
            <w:tcBorders/>
            <w:shd w:fill="CCEEFF" w:val="clear"/>
            <w:vAlign w:val="bottom"/>
          </w:tcPr>
          <w:p>
            <w:pPr>
              <w:pStyle w:val="TableContents"/>
              <w:bidi w:val="0"/>
              <w:spacing w:before="0" w:after="0"/>
              <w:jc w:val="right"/>
              <w:rPr>
                <w:color w:val="000000"/>
              </w:rPr>
            </w:pPr>
            <w:r>
              <w:rPr>
                <w:color w:val="000000"/>
              </w:rPr>
              <w:t>858.6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43.6</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1850" w:type="dxa"/>
            <w:tcBorders/>
            <w:vAlign w:val="bottom"/>
          </w:tcPr>
          <w:p>
            <w:pPr>
              <w:pStyle w:val="TableContents"/>
              <w:bidi w:val="0"/>
              <w:spacing w:lineRule="auto" w:line="240" w:before="0" w:after="0"/>
              <w:ind w:left="144" w:right="0" w:hanging="144"/>
              <w:jc w:val="left"/>
              <w:rPr>
                <w:color w:val="000000"/>
              </w:rPr>
            </w:pPr>
            <w:r>
              <w:rPr>
                <w:color w:val="000000"/>
              </w:rPr>
              <w:t>Wellness(1)</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color w:val="000000"/>
              </w:rPr>
            </w:pPr>
            <w:r>
              <w:rPr>
                <w:color w:val="000000"/>
              </w:rPr>
              <w:t>689.1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46.4</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color w:val="000000"/>
              </w:rPr>
            </w:pPr>
            <w:r>
              <w:rPr>
                <w:color w:val="000000"/>
              </w:rPr>
              <w:t>757.2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43.7</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color w:val="000000"/>
              </w:rPr>
            </w:pPr>
            <w:r>
              <w:rPr>
                <w:color w:val="000000"/>
              </w:rPr>
              <w:t>886.1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45.0</w:t>
            </w:r>
          </w:p>
        </w:tc>
        <w:tc>
          <w:tcPr>
            <w:tcW w:w="215" w:type="dxa"/>
            <w:tcBorders/>
            <w:vAlign w:val="bottom"/>
          </w:tcPr>
          <w:p>
            <w:pPr>
              <w:pStyle w:val="TableContents"/>
              <w:bidi w:val="0"/>
              <w:spacing w:before="0" w:after="0"/>
              <w:jc w:val="left"/>
              <w:rPr>
                <w:color w:val="000000"/>
              </w:rPr>
            </w:pPr>
            <w:r>
              <w:rPr>
                <w:color w:val="000000"/>
              </w:rPr>
              <w:t>%</w:t>
            </w:r>
          </w:p>
        </w:tc>
      </w:tr>
      <w:tr>
        <w:trPr/>
        <w:tc>
          <w:tcPr>
            <w:tcW w:w="1850" w:type="dxa"/>
            <w:tcBorders/>
            <w:shd w:fill="CCEEFF" w:val="clear"/>
            <w:vAlign w:val="bottom"/>
          </w:tcPr>
          <w:p>
            <w:pPr>
              <w:pStyle w:val="TableContents"/>
              <w:bidi w:val="0"/>
              <w:spacing w:lineRule="auto" w:line="240" w:before="0" w:after="0"/>
              <w:ind w:left="144" w:right="0" w:hanging="144"/>
              <w:jc w:val="left"/>
              <w:rPr>
                <w:color w:val="000000"/>
              </w:rPr>
            </w:pPr>
            <w:r>
              <w:rPr>
                <w:color w:val="000000"/>
              </w:rPr>
              <w:t>Other(2)</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228.0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15.3</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293.1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16.9</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224.4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11.4</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18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4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1,485.2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56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100.0</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4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1,732.1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56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100.0</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4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1,969.1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56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100.0</w:t>
            </w:r>
          </w:p>
        </w:tc>
        <w:tc>
          <w:tcPr>
            <w:tcW w:w="215"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00000"/>
              </w:rPr>
            </w:pPr>
            <w:r>
              <w:rPr>
                <w:color w:val="000000"/>
              </w:rPr>
              <w:t>(1)</w:t>
            </w:r>
          </w:p>
        </w:tc>
        <w:tc>
          <w:tcPr>
            <w:tcW w:w="9960" w:type="dxa"/>
            <w:tcBorders/>
            <w:vAlign w:val="center"/>
          </w:tcPr>
          <w:p>
            <w:pPr>
              <w:pStyle w:val="TableContents"/>
              <w:bidi w:val="0"/>
              <w:spacing w:before="0" w:after="0"/>
              <w:jc w:val="both"/>
              <w:rPr>
                <w:color w:val="000000"/>
              </w:rPr>
            </w:pPr>
            <w:r>
              <w:rPr>
                <w:color w:val="000000"/>
              </w:rPr>
              <w:t xml:space="preserve">Includes sales of beauty and wellness products in our core Nu Skin business. This includes $216 million, $268 million, and $342 million in sales of devices and related consumables for the years ended December 31, 2025, 2024 and 2023, respectively. For purposes of this table, sales of </w:t>
            </w:r>
            <w:r>
              <w:rPr>
                <w:i/>
                <w:color w:val="000000"/>
              </w:rPr>
              <w:t>Prysm iO</w:t>
            </w:r>
            <w:r>
              <w:rPr>
                <w:color w:val="000000"/>
              </w:rPr>
              <w:t xml:space="preserve"> are included in the wellness category and all other devices, including </w:t>
            </w:r>
            <w:r>
              <w:rPr>
                <w:i/>
                <w:color w:val="000000"/>
              </w:rPr>
              <w:t>ageLOC WellSpa iO</w:t>
            </w:r>
            <w:r>
              <w:rPr>
                <w:color w:val="000000"/>
              </w:rPr>
              <w:t xml:space="preserve"> and </w:t>
            </w:r>
            <w:r>
              <w:rPr>
                <w:i/>
                <w:color w:val="000000"/>
              </w:rPr>
              <w:t xml:space="preserve">Nu Skin RenuSpa iO, </w:t>
            </w:r>
            <w:r>
              <w:rPr>
                <w:color w:val="000000"/>
              </w:rPr>
              <w:t>are included in the beauty category.</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color w:val="000000"/>
              </w:rPr>
            </w:pPr>
            <w:r>
              <w:rPr>
                <w:color w:val="000000"/>
              </w:rPr>
              <w:t>(2)</w:t>
            </w:r>
          </w:p>
        </w:tc>
        <w:tc>
          <w:tcPr>
            <w:tcW w:w="9933" w:type="dxa"/>
            <w:tcBorders/>
            <w:vAlign w:val="center"/>
          </w:tcPr>
          <w:p>
            <w:pPr>
              <w:pStyle w:val="TableContents"/>
              <w:bidi w:val="0"/>
              <w:spacing w:before="0" w:after="0"/>
              <w:jc w:val="both"/>
              <w:rPr>
                <w:color w:val="000000"/>
              </w:rPr>
            </w:pPr>
            <w:r>
              <w:rPr>
                <w:color w:val="000000"/>
              </w:rPr>
              <w:t>Other includes the external revenue from our Rhyz companies along with a limited number of other products and services, including household products and technology services.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Beauty Products.</w:t>
      </w:r>
      <w:r>
        <w:rPr>
          <w:rFonts w:ascii="Times New Roman" w:hAnsi="Times New Roman"/>
          <w:color w:val="000000"/>
          <w:sz w:val="20"/>
          <w:shd w:fill="FFFFFF" w:val="clear"/>
        </w:rPr>
        <w:t xml:space="preserve"> Our strategy for our beauty products category is to leverage our distribution channel to strengthen Nu Skin’s position as an innovative leader in the masstige and premium beauty markets. Our products in this category include innovative skin care devices, cosmetics and other personal care products. We are committed to continuously improving and evolving our product formulations to develop and incorporate innovative and proven ingredients. We formulate many of the products in our beauty category with ingredients that are scientifically proven to provide visible results. In 2025, our top-selling product lines by revenue in this category were </w:t>
      </w:r>
      <w:r>
        <w:rPr>
          <w:rFonts w:ascii="Times New Roman" w:hAnsi="Times New Roman"/>
          <w:i/>
          <w:color w:val="000000"/>
          <w:sz w:val="20"/>
          <w:shd w:fill="FFFFFF" w:val="clear"/>
        </w:rPr>
        <w:t>ageLOC TruFace</w:t>
      </w:r>
      <w:r>
        <w:rPr>
          <w:rFonts w:ascii="Times New Roman" w:hAnsi="Times New Roman"/>
          <w:color w:val="000000"/>
          <w:sz w:val="20"/>
          <w:shd w:fill="FFFFFF" w:val="clear"/>
        </w:rPr>
        <w:t xml:space="preserve"> and our </w:t>
      </w:r>
      <w:r>
        <w:rPr>
          <w:rFonts w:ascii="Times New Roman" w:hAnsi="Times New Roman"/>
          <w:i/>
          <w:color w:val="000000"/>
          <w:sz w:val="20"/>
          <w:shd w:fill="FFFFFF" w:val="clear"/>
        </w:rPr>
        <w:t>ageLOC LumiSpa</w:t>
      </w:r>
      <w:r>
        <w:rPr>
          <w:rFonts w:ascii="Times New Roman" w:hAnsi="Times New Roman"/>
          <w:color w:val="000000"/>
          <w:sz w:val="20"/>
          <w:shd w:fill="FFFFFF" w:val="clear"/>
        </w:rPr>
        <w:t xml:space="preserve"> cleansers and devices. Our ageLOC beauty products accounted for 40% of our beauty product category revenue and 15% of our total revenue in 2025.</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 xml:space="preserve">Wellness Products. </w:t>
      </w:r>
      <w:r>
        <w:rPr>
          <w:rFonts w:ascii="Times New Roman" w:hAnsi="Times New Roman"/>
          <w:color w:val="000000"/>
          <w:sz w:val="20"/>
          <w:shd w:fill="FFFFFF" w:val="clear"/>
        </w:rPr>
        <w:t xml:space="preserve">Our strategy for our wellness category is to continue to introduce innovative, substantiated nutritional supplements based on research and development and quality manufacturing. Direct selling has proven to be an effective method of marketing our high-quality wellness products because our sales force can personally educate consumers on the quality and benefits of our products, differentiating them from our competitors’ offerings. In 2025, our top-selling product lines by revenue in this category were </w:t>
      </w:r>
      <w:r>
        <w:rPr>
          <w:rFonts w:ascii="Times New Roman" w:hAnsi="Times New Roman"/>
          <w:i/>
          <w:color w:val="000000"/>
          <w:sz w:val="20"/>
          <w:shd w:fill="FFFFFF" w:val="clear"/>
        </w:rPr>
        <w:t>ageLOC TRME</w:t>
      </w:r>
      <w:r>
        <w:rPr>
          <w:rFonts w:ascii="Times New Roman" w:hAnsi="Times New Roman"/>
          <w:color w:val="000000"/>
          <w:sz w:val="20"/>
          <w:shd w:fill="FFFFFF" w:val="clear"/>
        </w:rPr>
        <w:t xml:space="preserve">, </w:t>
      </w:r>
      <w:r>
        <w:rPr>
          <w:rFonts w:ascii="Times New Roman" w:hAnsi="Times New Roman"/>
          <w:i/>
          <w:color w:val="000000"/>
          <w:sz w:val="20"/>
          <w:shd w:fill="FFFFFF" w:val="clear"/>
        </w:rPr>
        <w:t>LifePak</w:t>
      </w:r>
      <w:r>
        <w:rPr>
          <w:rFonts w:ascii="Times New Roman" w:hAnsi="Times New Roman"/>
          <w:color w:val="000000"/>
          <w:sz w:val="20"/>
          <w:shd w:fill="FFFFFF" w:val="clear"/>
        </w:rPr>
        <w:t xml:space="preserve"> and </w:t>
      </w:r>
      <w:r>
        <w:rPr>
          <w:rFonts w:ascii="Times New Roman" w:hAnsi="Times New Roman"/>
          <w:i/>
          <w:color w:val="000000"/>
          <w:sz w:val="20"/>
          <w:shd w:fill="FFFFFF" w:val="clear"/>
        </w:rPr>
        <w:t>Beauty Focus</w:t>
      </w:r>
      <w:r>
        <w:rPr>
          <w:rFonts w:ascii="Times New Roman" w:hAnsi="Times New Roman"/>
          <w:color w:val="000000"/>
          <w:sz w:val="20"/>
          <w:shd w:fill="FFFFFF" w:val="clear"/>
        </w:rPr>
        <w:t>. Our ageLOC wellness products accounted for 41% of our wellness product category revenue and 19% of our total revenue in 2025.</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Product Development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are committed to developing and marketing innovative products to help drive our business engine, and we tailor product development activities to provide products with compelling selling aspects, such as claims and efficacy endpoints. We have several products in development, including next-generation skin care products, nutritional supplements and devices. In our research and product development, we leverage the three disciplines of science, technology and sourcing to create innovative products that address consumer needs.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research and product development activities include:</w:t>
      </w:r>
    </w:p>
    <w:p>
      <w:pPr>
        <w:pStyle w:val="TextBody"/>
        <w:bidi w:val="0"/>
        <w:spacing w:before="0" w:after="0"/>
        <w:jc w:val="left"/>
        <w:rPr/>
      </w:pPr>
      <w:r>
        <w:rPr/>
      </w:r>
    </w:p>
    <w:tbl>
      <w:tblPr>
        <w:tblW w:w="8238" w:type="dxa"/>
        <w:jc w:val="left"/>
        <w:tblInd w:w="0" w:type="dxa"/>
        <w:tblLayout w:type="fixed"/>
        <w:tblCellMar>
          <w:top w:w="0" w:type="dxa"/>
          <w:left w:w="0" w:type="dxa"/>
          <w:bottom w:w="0" w:type="dxa"/>
          <w:right w:w="0" w:type="dxa"/>
        </w:tblCellMar>
      </w:tblPr>
      <w:tblGrid>
        <w:gridCol w:w="38"/>
        <w:gridCol w:w="170"/>
        <w:gridCol w:w="803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8030" w:type="dxa"/>
            <w:tcBorders/>
            <w:vAlign w:val="center"/>
          </w:tcPr>
          <w:p>
            <w:pPr>
              <w:pStyle w:val="TableContents"/>
              <w:bidi w:val="0"/>
              <w:spacing w:before="0" w:after="0"/>
              <w:jc w:val="both"/>
              <w:rPr>
                <w:color w:val="000000"/>
              </w:rPr>
            </w:pPr>
            <w:r>
              <w:rPr>
                <w:color w:val="000000"/>
              </w:rPr>
              <w:t>Global consumer research to identify needs and insights and refine product concepts;</w:t>
            </w:r>
          </w:p>
        </w:tc>
      </w:tr>
    </w:tbl>
    <w:tbl>
      <w:tblPr>
        <w:tblW w:w="9948" w:type="dxa"/>
        <w:jc w:val="left"/>
        <w:tblInd w:w="0" w:type="dxa"/>
        <w:tblLayout w:type="fixed"/>
        <w:tblCellMar>
          <w:top w:w="0" w:type="dxa"/>
          <w:left w:w="0" w:type="dxa"/>
          <w:bottom w:w="0" w:type="dxa"/>
          <w:right w:w="0" w:type="dxa"/>
        </w:tblCellMar>
      </w:tblPr>
      <w:tblGrid>
        <w:gridCol w:w="38"/>
        <w:gridCol w:w="170"/>
        <w:gridCol w:w="974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740" w:type="dxa"/>
            <w:tcBorders/>
            <w:vAlign w:val="center"/>
          </w:tcPr>
          <w:p>
            <w:pPr>
              <w:pStyle w:val="TableContents"/>
              <w:bidi w:val="0"/>
              <w:spacing w:before="0" w:after="0"/>
              <w:jc w:val="both"/>
              <w:rPr>
                <w:color w:val="000000"/>
              </w:rPr>
            </w:pPr>
            <w:r>
              <w:rPr>
                <w:color w:val="000000"/>
              </w:rPr>
              <w:t>Internal research, product development, clinical validation, regulatory due diligence and quality testing;</w:t>
            </w:r>
          </w:p>
        </w:tc>
      </w:tr>
    </w:tbl>
    <w:tbl>
      <w:tblPr>
        <w:tblW w:w="5673" w:type="dxa"/>
        <w:jc w:val="left"/>
        <w:tblInd w:w="0" w:type="dxa"/>
        <w:tblLayout w:type="fixed"/>
        <w:tblCellMar>
          <w:top w:w="0" w:type="dxa"/>
          <w:left w:w="0" w:type="dxa"/>
          <w:bottom w:w="0" w:type="dxa"/>
          <w:right w:w="0" w:type="dxa"/>
        </w:tblCellMar>
      </w:tblPr>
      <w:tblGrid>
        <w:gridCol w:w="38"/>
        <w:gridCol w:w="170"/>
        <w:gridCol w:w="546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5465" w:type="dxa"/>
            <w:tcBorders/>
            <w:vAlign w:val="center"/>
          </w:tcPr>
          <w:p>
            <w:pPr>
              <w:pStyle w:val="TableContents"/>
              <w:bidi w:val="0"/>
              <w:spacing w:before="0" w:after="0"/>
              <w:jc w:val="both"/>
              <w:rPr>
                <w:color w:val="000000"/>
              </w:rPr>
            </w:pPr>
            <w:r>
              <w:rPr>
                <w:color w:val="000000"/>
              </w:rPr>
              <w:t>Joint research projects, collaborations and clinical studies;</w:t>
            </w:r>
          </w:p>
        </w:tc>
      </w:tr>
    </w:tbl>
    <w:tbl>
      <w:tblPr>
        <w:tblW w:w="8373" w:type="dxa"/>
        <w:jc w:val="left"/>
        <w:tblInd w:w="0" w:type="dxa"/>
        <w:tblLayout w:type="fixed"/>
        <w:tblCellMar>
          <w:top w:w="0" w:type="dxa"/>
          <w:left w:w="0" w:type="dxa"/>
          <w:bottom w:w="0" w:type="dxa"/>
          <w:right w:w="0" w:type="dxa"/>
        </w:tblCellMar>
      </w:tblPr>
      <w:tblGrid>
        <w:gridCol w:w="38"/>
        <w:gridCol w:w="170"/>
        <w:gridCol w:w="816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8165" w:type="dxa"/>
            <w:tcBorders/>
            <w:vAlign w:val="center"/>
          </w:tcPr>
          <w:p>
            <w:pPr>
              <w:pStyle w:val="TableContents"/>
              <w:bidi w:val="0"/>
              <w:spacing w:before="0" w:after="0"/>
              <w:jc w:val="both"/>
              <w:rPr>
                <w:color w:val="000000"/>
              </w:rPr>
            </w:pPr>
            <w:r>
              <w:rPr>
                <w:color w:val="000000"/>
              </w:rPr>
              <w:t>Identification and assessment of technologies for potential licensing arrangements;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Integration of digital technologies, including artificial intelligence, to enhance product development and consumer experiences.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maintain research and product development facilities in the United States and Mainland China. We also contract with third parties for clinical studies and collaborate on basic research projects with researchers from universities and other research institutions in the United States, Europe and Asia, whose staffs include scientists with basic research expertise in, among others, natural product chemistry, biochemistry, dermatology, nutrition, pharmacology and clinical studies.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also work to identify and assess innovative technologies developed by third parties for potential licensing, supply or acquisition arrangements. Because of the nature of our distribution channel, which allows us to provide a high level of product information on a person-to-person basis, we often have third parties who are interested in licensing innovative technologies to us to incorporate into our products and commercialize through our distribution channel. Licensing arrangements allow us to leverage the research activities of third parties that have provided demonstrated technologies, clinical support and/or proprietary innovation, without all of the upfront costs and uncertainty associated with internal development. We have also invested in acquisitions to supplement our research capabilities and to acquire technologies.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Intellectual Property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trademarks are registered in the United States and in markets where we operate, and we consider trademark protection to be very important to our business. Our major trademarks include Nu Skin®, our fountain logos, Pharmanex®, ageLOC®, our ageLOC logos, LifePak®, Galvanic Spa® (registered outside of the United States), TRME®, Epoch®, LumiSpa®, Nutricentials®, WellSpa iO® (registered outside of the United States), ageLOC Boost® (registered outside of the United States), MYND360™ (registration pending in the United States) and Prysm iO™ (registration pending in the United States). In addition, a number of our products, including our facial spas, ageLOC WellSpa iO, Nu Skin RenuSpa iO, ageLOC Body Spa, LumiSpa, ageLOC Boost, TRME Pharmanex BioPhotonic Scanner and Prysm iO are based on proprietary technologies and designs, some of which utilize patented and patent-pending technologies and/or technologies licensed from third parties. We also rely on patent and trade secret protection to protect our proprietary technology and other proprietary information for some of our ageLOC products and other products.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Sourcing and Production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markets other than Mainland China, in 2025, we sourced most of our beauty and wellness products from trusted third-party suppliers and manufacturers, and approximately 21% from our manufacturing subsidiaries. Our manufacturing entities also provide a cost of goods sold benefit and help us to maintain a more consistent supply source. In Mainland China, we operate manufacturing facilities where we produce the majority of our beauty and wellness products sold in Mainland China. We also produce some products at these facilities that are exported to other markets.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2025, two of our manufacturing subsidiaries and one of our third-party suppliers accounted for more than 10% of our product purchases. We procure some of our products and ingredients from single vendors that may own or control the product formulations, ingredients, or other intellectual property rights associated with the products or ingredients. While we generally maintain good relationships with our suppliers, in the event we become unable to source any products or ingredients from our current suppliers, we believe that we would be able to locate alternative vendors, use substitute ingredients, or develop and manufacture alternative products and source them from other suppliers, as applicable. Please refer to Item 1A. Risk Factors for a discussion of risks and uncertainties associated with our supplier relationships and with the sourcing of raw materials and ingredients.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manufacturing subsidiaries are owned by our Rhyz strategic investment arm. We plan to continue making strategic acquisitions going forward, as we believe these acquired companies allow us to diversify and vertically integrate our business. We also leverage their expertise to enhance our innovation, sustainability, speed to market and supply chain capabilities. In addition to the products and services provided to our core Nu Skin business, our Rhyz companies continue to operate outside of our core Nu Skin business, generating $223.6 million in revenue from sales to external customers in 2025.</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bookmarkStart w:id="5" w:name="DISTRIBUTIONCHANNEL"/>
      <w:bookmarkEnd w:id="5"/>
      <w:r>
        <w:rPr>
          <w:rFonts w:ascii="Times New Roman" w:hAnsi="Times New Roman"/>
          <w:b/>
          <w:color w:val="000000"/>
          <w:sz w:val="20"/>
          <w:shd w:fill="FFFFFF" w:val="clear"/>
        </w:rPr>
        <w:t>DISTRIBUTION CHANNEL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Nu Skin business operates in the direct selling channel, primarily utilizing person-to-person marketing to promote and sell our products. While direct selling has traditionally relied on face-to-face, word-of-mouth marketing, during the past several years it has been impacted by the convergence of social commerce, influencer and affiliate marketing, the gig economy, and the proliferation of direct-to-consumer beauty and wellness brands. These macroeconomic shifts have also disrupted traditional advertising and retail business practices, as well as e-commerce generally, in favor of socially-enabled and direct-to-consumer models.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endeavor to adapt our business to these trends by helping our sales force to become more socially enabled and empowered to grow their businesses online. We have developed, and continue to develop and enhance, digital tools with improved e-commerce functionality to help our sales force build their businesses. Our products also play an important role as we transform to a more digital and socially enabled business. In particular, we have developed connected devices, beginning with beauty devices and more recently expanding into wellness, for greater personalization and understanding of consumer trends and behaviors, with the ultimate aim of an improved product experience for consumers.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believe our direct selling distribution channel is an effective vehicle to distribute our products because:</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pPr>
            <w:r>
              <w:rPr/>
              <w:t xml:space="preserve">our </w:t>
            </w:r>
            <w:r>
              <w:rPr>
                <w:color w:val="000000"/>
              </w:rPr>
              <w:t>sales</w:t>
            </w:r>
            <w:r>
              <w:rPr/>
              <w:t xml:space="preserve"> force has rapid reach to potential customers through their social networks and the social networks of those to whom they are connected;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pPr>
            <w:r>
              <w:rPr/>
              <w:t xml:space="preserve">our </w:t>
            </w:r>
            <w:r>
              <w:rPr>
                <w:color w:val="000000"/>
              </w:rPr>
              <w:t>sales force can personally educate and share company content with consumers about our products, which we believe is more effective for differentiating our products than using traditional mass-media advertising;</w:t>
            </w:r>
          </w:p>
        </w:tc>
      </w:tr>
    </w:tbl>
    <w:tbl>
      <w:tblPr>
        <w:tblW w:w="10113" w:type="dxa"/>
        <w:jc w:val="left"/>
        <w:tblInd w:w="0" w:type="dxa"/>
        <w:tblLayout w:type="fixed"/>
        <w:tblCellMar>
          <w:top w:w="0" w:type="dxa"/>
          <w:left w:w="0" w:type="dxa"/>
          <w:bottom w:w="0" w:type="dxa"/>
          <w:right w:w="0" w:type="dxa"/>
        </w:tblCellMar>
      </w:tblPr>
      <w:tblGrid>
        <w:gridCol w:w="38"/>
        <w:gridCol w:w="170"/>
        <w:gridCol w:w="990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05" w:type="dxa"/>
            <w:tcBorders/>
            <w:vAlign w:val="center"/>
          </w:tcPr>
          <w:p>
            <w:pPr>
              <w:pStyle w:val="TableContents"/>
              <w:bidi w:val="0"/>
              <w:spacing w:before="0" w:after="0"/>
              <w:jc w:val="both"/>
              <w:rPr>
                <w:color w:val="000000"/>
              </w:rPr>
            </w:pPr>
            <w:r>
              <w:rPr>
                <w:color w:val="000000"/>
              </w:rPr>
              <w:t>our distribution channel allows for personalized product demonstrations and trial by potential consumers;</w:t>
            </w:r>
          </w:p>
        </w:tc>
      </w:tr>
    </w:tbl>
    <w:tbl>
      <w:tblPr>
        <w:tblW w:w="9528" w:type="dxa"/>
        <w:jc w:val="left"/>
        <w:tblInd w:w="0" w:type="dxa"/>
        <w:tblLayout w:type="fixed"/>
        <w:tblCellMar>
          <w:top w:w="0" w:type="dxa"/>
          <w:left w:w="0" w:type="dxa"/>
          <w:bottom w:w="0" w:type="dxa"/>
          <w:right w:w="0" w:type="dxa"/>
        </w:tblCellMar>
      </w:tblPr>
      <w:tblGrid>
        <w:gridCol w:w="38"/>
        <w:gridCol w:w="170"/>
        <w:gridCol w:w="932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320" w:type="dxa"/>
            <w:tcBorders/>
            <w:vAlign w:val="center"/>
          </w:tcPr>
          <w:p>
            <w:pPr>
              <w:pStyle w:val="TableContents"/>
              <w:bidi w:val="0"/>
              <w:spacing w:before="0" w:after="0"/>
              <w:jc w:val="both"/>
              <w:rPr>
                <w:color w:val="000000"/>
              </w:rPr>
            </w:pPr>
            <w:r>
              <w:rPr>
                <w:color w:val="000000"/>
              </w:rPr>
              <w:t>our distribution channel allows our sales force to provide personal testimonials of product efficacy;</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pPr>
            <w:r>
              <w:rPr>
                <w:color w:val="000000"/>
              </w:rPr>
              <w:t>as compared</w:t>
            </w:r>
            <w:r>
              <w:rPr/>
              <w:t xml:space="preserve"> to other distribution methods, our sales force has the opportunity to provide consumers higher levels of personalized service based on consumers’ needs, including through providing personalized product experiences, such as in-home spa-like demonstrations and experiences, as well as personalized purchasing offers, discounts and regimens;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pPr>
            <w:r>
              <w:rPr>
                <w:color w:val="000000"/>
              </w:rPr>
              <w:t>as compared to other distribution methods, our sales force knows their customers and can foster loyalty through data-driven customer-relationship management and our subscription program</w:t>
            </w:r>
            <w:r>
              <w:rPr/>
              <w:t>;</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prospecting for customers via social networks (both offline and online) allows affiliates and the company to attract a potentially wider audience of customers who would not typically seek out similar products in a standard retail or e-commerce marketplace;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flexible and targeted compensation structures allow affiliates and the company to quickly enhance focus on specific products based on geographic, demographic, and seasonal needs and opportunities, as well as specific segments of customers, affiliate marketers and business builders.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While our person-to-person marketing philosophy remains consistent globally, various aspects of our business may differ from market to market, including product mix and pricing, customer type mix, mix of affiliate business building approaches, the manner and tools used to engage potential customers, social media and third-party platforms, compensation and rewards structure, the manner and tools used to engage potential affiliates (including programs and incentives), potential influencer partnership structures, access to distribution outlets or product stores, the manner of getting products to consumers, product claims, branding and product formulations. In addition, in Mainland China we have implemented a business model that, unlike the business model we use in our other markets, utilizes retail stores, sales employees, independent direct sellers and independent marketers to market and sell our products.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Given that members of our sales force are independent contractors in most markets, we do not control or direct their business decisions or promotional efforts. We do, however, require that our sales force abide by policies and procedures that require them to act in an ethical and consumer-protective manner and in compliance with applicable laws and regulations. As a member of direct selling associations globally, we promote and abide by the industry’s codes of ethics and consumer-protective standards to support and protect those who sell and purchase our products through the direct selling channel.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all of our markets besides Mainland China, we refer to members of our independent sales force as “Brand Affiliates” because their primary role is to promote our brand and sell products through their personal and social networks.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Consumer Group and Sales Network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Nu Skin business’s distribution channel is composed of two primary groups: our consumer group—individuals who buy our products primarily for personal or family consumption and share products with friends and family; and our sales network—individuals who personally buy, use and resell products, and who also attract new consumers, and recruit, train and develop new sellers. We strive to develop and grow both our consumer group and our sales network. Our strategy for growing our consumer group is to offer high-quality, personalized, innovative products that provide demonstrable benefits. Our strategy for growing our sales network is to provide a business opportunity for those persons who demonstrate the desire and ability to develop both a consumer group and a team of sellers, including through sales compensation, incentives and recognition.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To monitor the growth trends in our consumer group, we track the number of persons who purchased directly from the company during the previous three months (“Customers”). Our Customer numbers include members of our sales force who made such a purchase, including Paid Affiliates and those who qualify as Sales Leaders (each as defined below), but they do not include consumers who purchase directly from members of our sales force. We believe a significant majority of Customers purchase our products primarily for personal or family consumption but are not actively pursuing the opportunity we offer to generate supplemental income by actively and consistently marketing and reselling products.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To monitor the growth in our sales network, we track the number of Paid Affiliates and Sales Leaders, which are defined as follows: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w:t>
            </w:r>
            <w:r>
              <w:rPr>
                <w:color w:val="000000"/>
              </w:rPr>
              <w:t>Paid Affiliates” are any Brand Affiliates, as well as members of our sales force in Mainland China, who earned sales compensation during the previous three months. As we continue to focus on customer acquisition, our Paid Affiliates, who primarily share products, are a bridge to attracting new customers and nurturing relationships and community. Paid Affiliates power our social commerce model and are an important indicator of consumer purchasing activity in our business.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w:t>
            </w:r>
            <w:r>
              <w:rPr>
                <w:color w:val="000000"/>
              </w:rPr>
              <w:t>Sales Leaders” are the three-month average of our monthly Brand Affiliates, as well as sales employees and independent marketers in Mainland China, who achieved certain qualification requirements as of the end of each month of the quarter.</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chart sets forth information concerning our Customers, Paid Affiliates and Sales Leaders for the last three years.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Total Number of Customers, Paid Affiliates and Sales Leaders by Region</w:t>
      </w:r>
    </w:p>
    <w:p>
      <w:pPr>
        <w:pStyle w:val="TextBody"/>
        <w:bidi w:val="0"/>
        <w:spacing w:before="0" w:after="0"/>
        <w:jc w:val="left"/>
        <w:rPr/>
      </w:pPr>
      <w:r>
        <w:rPr/>
      </w:r>
    </w:p>
    <w:tbl>
      <w:tblPr>
        <w:tblW w:w="5075" w:type="dxa"/>
        <w:jc w:val="left"/>
        <w:tblInd w:w="0" w:type="dxa"/>
        <w:tblLayout w:type="fixed"/>
        <w:tblCellMar>
          <w:top w:w="0" w:type="dxa"/>
          <w:left w:w="0" w:type="dxa"/>
          <w:bottom w:w="0" w:type="dxa"/>
          <w:right w:w="0" w:type="dxa"/>
        </w:tblCellMar>
      </w:tblPr>
      <w:tblGrid>
        <w:gridCol w:w="2135"/>
        <w:gridCol w:w="60"/>
        <w:gridCol w:w="60"/>
        <w:gridCol w:w="800"/>
        <w:gridCol w:w="60"/>
        <w:gridCol w:w="60"/>
        <w:gridCol w:w="60"/>
        <w:gridCol w:w="800"/>
        <w:gridCol w:w="60"/>
        <w:gridCol w:w="60"/>
        <w:gridCol w:w="60"/>
        <w:gridCol w:w="800"/>
        <w:gridCol w:w="60"/>
      </w:tblGrid>
      <w:tr>
        <w:trPr/>
        <w:tc>
          <w:tcPr>
            <w:tcW w:w="2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20" w:type="dxa"/>
            <w:gridSpan w:val="10"/>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December 31,</w:t>
            </w:r>
          </w:p>
        </w:tc>
        <w:tc>
          <w:tcPr>
            <w:tcW w:w="60" w:type="dxa"/>
            <w:tcBorders/>
            <w:vAlign w:val="bottom"/>
          </w:tcPr>
          <w:p>
            <w:pPr>
              <w:pStyle w:val="TableContents"/>
              <w:bidi w:val="0"/>
              <w:spacing w:before="0" w:after="283"/>
              <w:jc w:val="left"/>
              <w:rPr/>
            </w:pPr>
            <w:r>
              <w:rPr/>
              <w:t> </w:t>
            </w:r>
          </w:p>
        </w:tc>
      </w:tr>
      <w:tr>
        <w:trPr/>
        <w:tc>
          <w:tcPr>
            <w:tcW w:w="2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60" w:type="dxa"/>
            <w:tcBorders/>
            <w:vAlign w:val="bottom"/>
          </w:tcPr>
          <w:p>
            <w:pPr>
              <w:pStyle w:val="TableContents"/>
              <w:bidi w:val="0"/>
              <w:spacing w:before="0" w:after="283"/>
              <w:jc w:val="left"/>
              <w:rPr/>
            </w:pPr>
            <w:r>
              <w:rPr/>
              <w:t> </w:t>
            </w:r>
          </w:p>
        </w:tc>
      </w:tr>
      <w:tr>
        <w:trPr/>
        <w:tc>
          <w:tcPr>
            <w:tcW w:w="2135" w:type="dxa"/>
            <w:tcBorders/>
            <w:vAlign w:val="bottom"/>
          </w:tcPr>
          <w:p>
            <w:pPr>
              <w:pStyle w:val="TableContents"/>
              <w:bidi w:val="0"/>
              <w:spacing w:before="0" w:after="0"/>
              <w:ind w:left="144" w:right="0" w:hanging="144"/>
              <w:jc w:val="left"/>
              <w:rPr>
                <w:b/>
              </w:rPr>
            </w:pPr>
            <w:r>
              <w:rPr>
                <w:b/>
              </w:rPr>
              <w:t>Customers</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2135" w:type="dxa"/>
            <w:tcBorders/>
            <w:shd w:fill="CCEEFF" w:val="clear"/>
            <w:vAlign w:val="bottom"/>
          </w:tcPr>
          <w:p>
            <w:pPr>
              <w:pStyle w:val="TableContents"/>
              <w:bidi w:val="0"/>
              <w:spacing w:before="0" w:after="0"/>
              <w:ind w:left="324" w:right="0" w:hanging="144"/>
              <w:jc w:val="left"/>
              <w:rPr/>
            </w:pPr>
            <w:r>
              <w:rPr/>
              <w:t>Americas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225,527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227,556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231,183</w:t>
            </w:r>
          </w:p>
        </w:tc>
        <w:tc>
          <w:tcPr>
            <w:tcW w:w="60" w:type="dxa"/>
            <w:tcBorders/>
            <w:shd w:fill="CCEEFF" w:val="clear"/>
            <w:vAlign w:val="bottom"/>
          </w:tcPr>
          <w:p>
            <w:pPr>
              <w:pStyle w:val="TableContents"/>
              <w:bidi w:val="0"/>
              <w:spacing w:before="0" w:after="283"/>
              <w:jc w:val="left"/>
              <w:rPr/>
            </w:pPr>
            <w:r>
              <w:rPr/>
              <w:t> </w:t>
            </w:r>
          </w:p>
        </w:tc>
      </w:tr>
      <w:tr>
        <w:trPr/>
        <w:tc>
          <w:tcPr>
            <w:tcW w:w="2135" w:type="dxa"/>
            <w:tcBorders/>
            <w:vAlign w:val="bottom"/>
          </w:tcPr>
          <w:p>
            <w:pPr>
              <w:pStyle w:val="TableContents"/>
              <w:bidi w:val="0"/>
              <w:spacing w:before="0" w:after="0"/>
              <w:ind w:left="324" w:right="0" w:hanging="144"/>
              <w:jc w:val="left"/>
              <w:rPr/>
            </w:pPr>
            <w:r>
              <w:rPr/>
              <w:t>Southeast Asia/Pacific</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74,300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82,956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106,471</w:t>
            </w:r>
          </w:p>
        </w:tc>
        <w:tc>
          <w:tcPr>
            <w:tcW w:w="60" w:type="dxa"/>
            <w:tcBorders/>
            <w:vAlign w:val="bottom"/>
          </w:tcPr>
          <w:p>
            <w:pPr>
              <w:pStyle w:val="TableContents"/>
              <w:bidi w:val="0"/>
              <w:spacing w:before="0" w:after="283"/>
              <w:jc w:val="left"/>
              <w:rPr/>
            </w:pPr>
            <w:r>
              <w:rPr/>
              <w:t> </w:t>
            </w:r>
          </w:p>
        </w:tc>
      </w:tr>
      <w:tr>
        <w:trPr/>
        <w:tc>
          <w:tcPr>
            <w:tcW w:w="2135" w:type="dxa"/>
            <w:tcBorders/>
            <w:shd w:fill="CCEEFF" w:val="clear"/>
            <w:vAlign w:val="bottom"/>
          </w:tcPr>
          <w:p>
            <w:pPr>
              <w:pStyle w:val="TableContents"/>
              <w:bidi w:val="0"/>
              <w:spacing w:before="0" w:after="0"/>
              <w:ind w:left="324" w:right="0" w:hanging="144"/>
              <w:jc w:val="left"/>
              <w:rPr/>
            </w:pPr>
            <w:r>
              <w:rPr/>
              <w:t>Mainland China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118,523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150,731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207,276</w:t>
            </w:r>
          </w:p>
        </w:tc>
        <w:tc>
          <w:tcPr>
            <w:tcW w:w="60" w:type="dxa"/>
            <w:tcBorders/>
            <w:shd w:fill="CCEEFF" w:val="clear"/>
            <w:vAlign w:val="bottom"/>
          </w:tcPr>
          <w:p>
            <w:pPr>
              <w:pStyle w:val="TableContents"/>
              <w:bidi w:val="0"/>
              <w:spacing w:before="0" w:after="283"/>
              <w:jc w:val="left"/>
              <w:rPr/>
            </w:pPr>
            <w:r>
              <w:rPr/>
              <w:t> </w:t>
            </w:r>
          </w:p>
        </w:tc>
      </w:tr>
      <w:tr>
        <w:trPr/>
        <w:tc>
          <w:tcPr>
            <w:tcW w:w="2135" w:type="dxa"/>
            <w:tcBorders/>
            <w:vAlign w:val="bottom"/>
          </w:tcPr>
          <w:p>
            <w:pPr>
              <w:pStyle w:val="TableContents"/>
              <w:bidi w:val="0"/>
              <w:spacing w:before="0" w:after="0"/>
              <w:ind w:left="324" w:right="0" w:hanging="144"/>
              <w:jc w:val="left"/>
              <w:rPr/>
            </w:pPr>
            <w:r>
              <w:rPr/>
              <w:t>Japan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104,439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110,069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113,670</w:t>
            </w:r>
          </w:p>
        </w:tc>
        <w:tc>
          <w:tcPr>
            <w:tcW w:w="60" w:type="dxa"/>
            <w:tcBorders/>
            <w:vAlign w:val="bottom"/>
          </w:tcPr>
          <w:p>
            <w:pPr>
              <w:pStyle w:val="TableContents"/>
              <w:bidi w:val="0"/>
              <w:spacing w:before="0" w:after="283"/>
              <w:jc w:val="left"/>
              <w:rPr/>
            </w:pPr>
            <w:r>
              <w:rPr/>
              <w:t> </w:t>
            </w:r>
          </w:p>
        </w:tc>
      </w:tr>
      <w:tr>
        <w:trPr/>
        <w:tc>
          <w:tcPr>
            <w:tcW w:w="2135" w:type="dxa"/>
            <w:tcBorders/>
            <w:shd w:fill="CCEEFF" w:val="clear"/>
            <w:vAlign w:val="bottom"/>
          </w:tcPr>
          <w:p>
            <w:pPr>
              <w:pStyle w:val="TableContents"/>
              <w:bidi w:val="0"/>
              <w:spacing w:before="0" w:after="0"/>
              <w:ind w:left="324" w:right="0" w:hanging="144"/>
              <w:jc w:val="left"/>
              <w:rPr/>
            </w:pPr>
            <w:r>
              <w:rPr/>
              <w:t>Europe &amp; Africa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127,910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133,306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163,178</w:t>
            </w:r>
          </w:p>
        </w:tc>
        <w:tc>
          <w:tcPr>
            <w:tcW w:w="60" w:type="dxa"/>
            <w:tcBorders/>
            <w:shd w:fill="CCEEFF" w:val="clear"/>
            <w:vAlign w:val="bottom"/>
          </w:tcPr>
          <w:p>
            <w:pPr>
              <w:pStyle w:val="TableContents"/>
              <w:bidi w:val="0"/>
              <w:spacing w:before="0" w:after="283"/>
              <w:jc w:val="left"/>
              <w:rPr/>
            </w:pPr>
            <w:r>
              <w:rPr/>
              <w:t> </w:t>
            </w:r>
          </w:p>
        </w:tc>
      </w:tr>
      <w:tr>
        <w:trPr/>
        <w:tc>
          <w:tcPr>
            <w:tcW w:w="2135" w:type="dxa"/>
            <w:tcBorders/>
            <w:vAlign w:val="bottom"/>
          </w:tcPr>
          <w:p>
            <w:pPr>
              <w:pStyle w:val="TableContents"/>
              <w:bidi w:val="0"/>
              <w:spacing w:before="0" w:after="0"/>
              <w:ind w:left="324" w:right="0" w:hanging="144"/>
              <w:jc w:val="left"/>
              <w:rPr/>
            </w:pPr>
            <w:r>
              <w:rPr/>
              <w:t>South Korea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58,880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81,301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103,151</w:t>
            </w:r>
          </w:p>
        </w:tc>
        <w:tc>
          <w:tcPr>
            <w:tcW w:w="60" w:type="dxa"/>
            <w:tcBorders/>
            <w:vAlign w:val="bottom"/>
          </w:tcPr>
          <w:p>
            <w:pPr>
              <w:pStyle w:val="TableContents"/>
              <w:bidi w:val="0"/>
              <w:spacing w:before="0" w:after="283"/>
              <w:jc w:val="left"/>
              <w:rPr/>
            </w:pPr>
            <w:r>
              <w:rPr/>
              <w:t> </w:t>
            </w:r>
          </w:p>
        </w:tc>
      </w:tr>
      <w:tr>
        <w:trPr/>
        <w:tc>
          <w:tcPr>
            <w:tcW w:w="2135" w:type="dxa"/>
            <w:tcBorders/>
            <w:shd w:fill="CCEEFF" w:val="clear"/>
            <w:vAlign w:val="bottom"/>
          </w:tcPr>
          <w:p>
            <w:pPr>
              <w:pStyle w:val="TableContents"/>
              <w:bidi w:val="0"/>
              <w:spacing w:before="0" w:after="0"/>
              <w:ind w:left="324" w:right="0" w:hanging="144"/>
              <w:jc w:val="left"/>
              <w:rPr/>
            </w:pPr>
            <w:r>
              <w:rPr/>
              <w:t>Hong Kong/Taiwan</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pPr>
            <w:r>
              <w:rPr/>
              <w:t>39,217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pPr>
            <w:r>
              <w:rPr/>
              <w:t>46,053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pPr>
            <w:r>
              <w:rPr/>
              <w:t>52,110</w:t>
            </w:r>
          </w:p>
        </w:tc>
        <w:tc>
          <w:tcPr>
            <w:tcW w:w="60" w:type="dxa"/>
            <w:tcBorders/>
            <w:shd w:fill="CCEEFF" w:val="clear"/>
            <w:vAlign w:val="bottom"/>
          </w:tcPr>
          <w:p>
            <w:pPr>
              <w:pStyle w:val="TableContents"/>
              <w:bidi w:val="0"/>
              <w:spacing w:before="0" w:after="283"/>
              <w:jc w:val="left"/>
              <w:rPr/>
            </w:pPr>
            <w:r>
              <w:rPr/>
              <w:t> </w:t>
            </w:r>
          </w:p>
        </w:tc>
      </w:tr>
      <w:tr>
        <w:trPr/>
        <w:tc>
          <w:tcPr>
            <w:tcW w:w="2135" w:type="dxa"/>
            <w:tcBorders/>
            <w:vAlign w:val="bottom"/>
          </w:tcPr>
          <w:p>
            <w:pPr>
              <w:pStyle w:val="TableContents"/>
              <w:bidi w:val="0"/>
              <w:spacing w:before="0" w:after="0"/>
              <w:ind w:left="144" w:right="0" w:hanging="144"/>
              <w:jc w:val="left"/>
              <w:rPr>
                <w:b/>
              </w:rPr>
            </w:pPr>
            <w:r>
              <w:rPr>
                <w:b/>
              </w:rPr>
              <w:t>Total Customers</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0"/>
              <w:jc w:val="right"/>
              <w:rPr/>
            </w:pPr>
            <w:r>
              <w:rPr/>
              <w:t>748,796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0"/>
              <w:jc w:val="right"/>
              <w:rPr/>
            </w:pPr>
            <w:r>
              <w:rPr/>
              <w:t>831,972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0"/>
              <w:jc w:val="right"/>
              <w:rPr/>
            </w:pPr>
            <w:r>
              <w:rPr/>
              <w:t>977,039</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5345" w:type="dxa"/>
        <w:jc w:val="left"/>
        <w:tblInd w:w="0" w:type="dxa"/>
        <w:tblLayout w:type="fixed"/>
        <w:tblCellMar>
          <w:top w:w="0" w:type="dxa"/>
          <w:left w:w="0" w:type="dxa"/>
          <w:bottom w:w="0" w:type="dxa"/>
          <w:right w:w="0" w:type="dxa"/>
        </w:tblCellMar>
      </w:tblPr>
      <w:tblGrid>
        <w:gridCol w:w="2405"/>
        <w:gridCol w:w="60"/>
        <w:gridCol w:w="60"/>
        <w:gridCol w:w="800"/>
        <w:gridCol w:w="60"/>
        <w:gridCol w:w="60"/>
        <w:gridCol w:w="60"/>
        <w:gridCol w:w="800"/>
        <w:gridCol w:w="60"/>
        <w:gridCol w:w="60"/>
        <w:gridCol w:w="60"/>
        <w:gridCol w:w="800"/>
        <w:gridCol w:w="60"/>
      </w:tblGrid>
      <w:tr>
        <w:trPr/>
        <w:tc>
          <w:tcPr>
            <w:tcW w:w="2405" w:type="dxa"/>
            <w:tcBorders/>
            <w:vAlign w:val="bottom"/>
          </w:tcPr>
          <w:p>
            <w:pPr>
              <w:pStyle w:val="TableContents"/>
              <w:bidi w:val="0"/>
              <w:spacing w:before="0" w:after="0"/>
              <w:jc w:val="left"/>
              <w:rPr>
                <w:b/>
              </w:rPr>
            </w:pPr>
            <w:r>
              <w:rPr>
                <w:b/>
              </w:rPr>
              <w:t>Paid Affiliates</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2405" w:type="dxa"/>
            <w:tcBorders/>
            <w:shd w:fill="CCEEFF" w:val="clear"/>
            <w:vAlign w:val="bottom"/>
          </w:tcPr>
          <w:p>
            <w:pPr>
              <w:pStyle w:val="TableContents"/>
              <w:bidi w:val="0"/>
              <w:spacing w:before="0" w:after="0"/>
              <w:ind w:left="324" w:right="0" w:hanging="144"/>
              <w:jc w:val="left"/>
              <w:rPr/>
            </w:pPr>
            <w:r>
              <w:rPr/>
              <w:t>Americas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28,900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28,361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31,910</w:t>
            </w:r>
          </w:p>
        </w:tc>
        <w:tc>
          <w:tcPr>
            <w:tcW w:w="60" w:type="dxa"/>
            <w:tcBorders/>
            <w:shd w:fill="CCEEFF" w:val="clear"/>
            <w:vAlign w:val="bottom"/>
          </w:tcPr>
          <w:p>
            <w:pPr>
              <w:pStyle w:val="TableContents"/>
              <w:bidi w:val="0"/>
              <w:spacing w:before="0" w:after="283"/>
              <w:jc w:val="left"/>
              <w:rPr/>
            </w:pPr>
            <w:r>
              <w:rPr/>
              <w:t> </w:t>
            </w:r>
          </w:p>
        </w:tc>
      </w:tr>
      <w:tr>
        <w:trPr/>
        <w:tc>
          <w:tcPr>
            <w:tcW w:w="2405" w:type="dxa"/>
            <w:tcBorders/>
            <w:vAlign w:val="bottom"/>
          </w:tcPr>
          <w:p>
            <w:pPr>
              <w:pStyle w:val="TableContents"/>
              <w:bidi w:val="0"/>
              <w:spacing w:lineRule="auto" w:line="240" w:before="0" w:after="0"/>
              <w:ind w:left="324" w:right="0" w:hanging="144"/>
              <w:jc w:val="left"/>
              <w:rPr/>
            </w:pPr>
            <w:r>
              <w:rPr/>
              <w:t>Southeast Asia/Pacific</w:t>
            </w:r>
            <w:r>
              <w:rPr>
                <w:b/>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20,260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26,310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34,404</w:t>
            </w:r>
          </w:p>
        </w:tc>
        <w:tc>
          <w:tcPr>
            <w:tcW w:w="60" w:type="dxa"/>
            <w:tcBorders/>
            <w:vAlign w:val="bottom"/>
          </w:tcPr>
          <w:p>
            <w:pPr>
              <w:pStyle w:val="TableContents"/>
              <w:bidi w:val="0"/>
              <w:spacing w:before="0" w:after="283"/>
              <w:jc w:val="left"/>
              <w:rPr/>
            </w:pPr>
            <w:r>
              <w:rPr/>
              <w:t> </w:t>
            </w:r>
          </w:p>
        </w:tc>
      </w:tr>
      <w:tr>
        <w:trPr/>
        <w:tc>
          <w:tcPr>
            <w:tcW w:w="2405" w:type="dxa"/>
            <w:tcBorders/>
            <w:shd w:fill="CCEEFF" w:val="clear"/>
            <w:vAlign w:val="bottom"/>
          </w:tcPr>
          <w:p>
            <w:pPr>
              <w:pStyle w:val="TableContents"/>
              <w:bidi w:val="0"/>
              <w:spacing w:before="0" w:after="0"/>
              <w:ind w:left="324" w:right="0" w:hanging="144"/>
              <w:jc w:val="left"/>
              <w:rPr/>
            </w:pPr>
            <w:r>
              <w:rPr/>
              <w:t>Mainland China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18,922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22,125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25,889</w:t>
            </w:r>
          </w:p>
        </w:tc>
        <w:tc>
          <w:tcPr>
            <w:tcW w:w="60" w:type="dxa"/>
            <w:tcBorders/>
            <w:shd w:fill="CCEEFF" w:val="clear"/>
            <w:vAlign w:val="bottom"/>
          </w:tcPr>
          <w:p>
            <w:pPr>
              <w:pStyle w:val="TableContents"/>
              <w:bidi w:val="0"/>
              <w:spacing w:before="0" w:after="283"/>
              <w:jc w:val="left"/>
              <w:rPr/>
            </w:pPr>
            <w:r>
              <w:rPr/>
              <w:t> </w:t>
            </w:r>
          </w:p>
        </w:tc>
      </w:tr>
      <w:tr>
        <w:trPr/>
        <w:tc>
          <w:tcPr>
            <w:tcW w:w="2405" w:type="dxa"/>
            <w:tcBorders/>
            <w:vAlign w:val="bottom"/>
          </w:tcPr>
          <w:p>
            <w:pPr>
              <w:pStyle w:val="TableContents"/>
              <w:bidi w:val="0"/>
              <w:spacing w:before="0" w:after="0"/>
              <w:ind w:left="324" w:right="0" w:hanging="144"/>
              <w:jc w:val="left"/>
              <w:rPr/>
            </w:pPr>
            <w:r>
              <w:rPr/>
              <w:t>Japan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20,126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22,318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22,417</w:t>
            </w:r>
          </w:p>
        </w:tc>
        <w:tc>
          <w:tcPr>
            <w:tcW w:w="60" w:type="dxa"/>
            <w:tcBorders/>
            <w:vAlign w:val="bottom"/>
          </w:tcPr>
          <w:p>
            <w:pPr>
              <w:pStyle w:val="TableContents"/>
              <w:bidi w:val="0"/>
              <w:spacing w:before="0" w:after="283"/>
              <w:jc w:val="left"/>
              <w:rPr/>
            </w:pPr>
            <w:r>
              <w:rPr/>
              <w:t> </w:t>
            </w:r>
          </w:p>
        </w:tc>
      </w:tr>
      <w:tr>
        <w:trPr/>
        <w:tc>
          <w:tcPr>
            <w:tcW w:w="2405" w:type="dxa"/>
            <w:tcBorders/>
            <w:shd w:fill="CCEEFF" w:val="clear"/>
            <w:vAlign w:val="bottom"/>
          </w:tcPr>
          <w:p>
            <w:pPr>
              <w:pStyle w:val="TableContents"/>
              <w:bidi w:val="0"/>
              <w:spacing w:before="0" w:after="0"/>
              <w:ind w:left="324" w:right="0" w:hanging="144"/>
              <w:jc w:val="left"/>
              <w:rPr/>
            </w:pPr>
            <w:r>
              <w:rPr/>
              <w:t>Europe &amp; Africa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14,918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16,860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18,888</w:t>
            </w:r>
          </w:p>
        </w:tc>
        <w:tc>
          <w:tcPr>
            <w:tcW w:w="60" w:type="dxa"/>
            <w:tcBorders/>
            <w:shd w:fill="CCEEFF" w:val="clear"/>
            <w:vAlign w:val="bottom"/>
          </w:tcPr>
          <w:p>
            <w:pPr>
              <w:pStyle w:val="TableContents"/>
              <w:bidi w:val="0"/>
              <w:spacing w:before="0" w:after="283"/>
              <w:jc w:val="left"/>
              <w:rPr/>
            </w:pPr>
            <w:r>
              <w:rPr/>
              <w:t> </w:t>
            </w:r>
          </w:p>
        </w:tc>
      </w:tr>
      <w:tr>
        <w:trPr/>
        <w:tc>
          <w:tcPr>
            <w:tcW w:w="2405" w:type="dxa"/>
            <w:tcBorders/>
            <w:vAlign w:val="bottom"/>
          </w:tcPr>
          <w:p>
            <w:pPr>
              <w:pStyle w:val="TableContents"/>
              <w:bidi w:val="0"/>
              <w:spacing w:lineRule="auto" w:line="240" w:before="0" w:after="0"/>
              <w:ind w:left="324" w:right="0" w:hanging="144"/>
              <w:jc w:val="left"/>
              <w:rPr/>
            </w:pPr>
            <w:r>
              <w:rPr/>
              <w:t>South Korea</w:t>
            </w:r>
            <w:r>
              <w:rPr>
                <w:b/>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16,341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17,939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22,166</w:t>
            </w:r>
          </w:p>
        </w:tc>
        <w:tc>
          <w:tcPr>
            <w:tcW w:w="60" w:type="dxa"/>
            <w:tcBorders/>
            <w:vAlign w:val="bottom"/>
          </w:tcPr>
          <w:p>
            <w:pPr>
              <w:pStyle w:val="TableContents"/>
              <w:bidi w:val="0"/>
              <w:spacing w:before="0" w:after="283"/>
              <w:jc w:val="left"/>
              <w:rPr/>
            </w:pPr>
            <w:r>
              <w:rPr/>
              <w:t> </w:t>
            </w:r>
          </w:p>
        </w:tc>
      </w:tr>
      <w:tr>
        <w:trPr/>
        <w:tc>
          <w:tcPr>
            <w:tcW w:w="2405" w:type="dxa"/>
            <w:tcBorders/>
            <w:shd w:fill="CCEEFF" w:val="clear"/>
            <w:vAlign w:val="bottom"/>
          </w:tcPr>
          <w:p>
            <w:pPr>
              <w:pStyle w:val="TableContents"/>
              <w:bidi w:val="0"/>
              <w:spacing w:before="0" w:after="0"/>
              <w:ind w:left="324" w:right="0" w:hanging="144"/>
              <w:jc w:val="left"/>
              <w:rPr/>
            </w:pPr>
            <w:r>
              <w:rPr/>
              <w:t>Hong Kong/Taiwan</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pPr>
            <w:r>
              <w:rPr/>
              <w:t>9,844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pPr>
            <w:r>
              <w:rPr/>
              <w:t>10,961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pPr>
            <w:r>
              <w:rPr/>
              <w:t>11,212</w:t>
            </w:r>
          </w:p>
        </w:tc>
        <w:tc>
          <w:tcPr>
            <w:tcW w:w="60" w:type="dxa"/>
            <w:tcBorders/>
            <w:shd w:fill="CCEEFF" w:val="clear"/>
            <w:vAlign w:val="bottom"/>
          </w:tcPr>
          <w:p>
            <w:pPr>
              <w:pStyle w:val="TableContents"/>
              <w:bidi w:val="0"/>
              <w:spacing w:before="0" w:after="283"/>
              <w:jc w:val="left"/>
              <w:rPr/>
            </w:pPr>
            <w:r>
              <w:rPr/>
              <w:t> </w:t>
            </w:r>
          </w:p>
        </w:tc>
      </w:tr>
      <w:tr>
        <w:trPr/>
        <w:tc>
          <w:tcPr>
            <w:tcW w:w="2405" w:type="dxa"/>
            <w:tcBorders/>
            <w:vAlign w:val="bottom"/>
          </w:tcPr>
          <w:p>
            <w:pPr>
              <w:pStyle w:val="TableContents"/>
              <w:bidi w:val="0"/>
              <w:spacing w:before="0" w:after="0"/>
              <w:ind w:left="144" w:right="0" w:hanging="144"/>
              <w:jc w:val="left"/>
              <w:rPr>
                <w:b/>
              </w:rPr>
            </w:pPr>
            <w:r>
              <w:rPr>
                <w:b/>
              </w:rPr>
              <w:t>Total Paid Affiliates</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0"/>
              <w:jc w:val="right"/>
              <w:rPr/>
            </w:pPr>
            <w:r>
              <w:rPr/>
              <w:t>129,311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0"/>
              <w:jc w:val="right"/>
              <w:rPr/>
            </w:pPr>
            <w:r>
              <w:rPr/>
              <w:t>144,874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0"/>
              <w:jc w:val="right"/>
              <w:rPr/>
            </w:pPr>
            <w:r>
              <w:rPr/>
              <w:t>166,886</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4745" w:type="dxa"/>
        <w:jc w:val="left"/>
        <w:tblInd w:w="0" w:type="dxa"/>
        <w:tblLayout w:type="fixed"/>
        <w:tblCellMar>
          <w:top w:w="0" w:type="dxa"/>
          <w:left w:w="0" w:type="dxa"/>
          <w:bottom w:w="0" w:type="dxa"/>
          <w:right w:w="0" w:type="dxa"/>
        </w:tblCellMar>
      </w:tblPr>
      <w:tblGrid>
        <w:gridCol w:w="2150"/>
        <w:gridCol w:w="60"/>
        <w:gridCol w:w="60"/>
        <w:gridCol w:w="680"/>
        <w:gridCol w:w="60"/>
        <w:gridCol w:w="60"/>
        <w:gridCol w:w="60"/>
        <w:gridCol w:w="680"/>
        <w:gridCol w:w="60"/>
        <w:gridCol w:w="60"/>
        <w:gridCol w:w="60"/>
        <w:gridCol w:w="680"/>
        <w:gridCol w:w="75"/>
      </w:tblGrid>
      <w:tr>
        <w:trPr/>
        <w:tc>
          <w:tcPr>
            <w:tcW w:w="2150" w:type="dxa"/>
            <w:tcBorders/>
            <w:vAlign w:val="bottom"/>
          </w:tcPr>
          <w:p>
            <w:pPr>
              <w:pStyle w:val="TableContents"/>
              <w:bidi w:val="0"/>
              <w:spacing w:before="0" w:after="0"/>
              <w:jc w:val="both"/>
              <w:rPr>
                <w:b/>
              </w:rPr>
            </w:pPr>
            <w:r>
              <w:rPr>
                <w:b/>
              </w:rPr>
              <w:t>Sales Leaders</w:t>
            </w:r>
          </w:p>
        </w:tc>
        <w:tc>
          <w:tcPr>
            <w:tcW w:w="60" w:type="dxa"/>
            <w:tcBorders/>
            <w:vAlign w:val="bottom"/>
          </w:tcPr>
          <w:p>
            <w:pPr>
              <w:pStyle w:val="TableContents"/>
              <w:bidi w:val="0"/>
              <w:spacing w:before="0" w:after="283"/>
              <w:jc w:val="left"/>
              <w:rPr/>
            </w:pPr>
            <w:r>
              <w:rPr/>
              <w:t> </w:t>
            </w:r>
          </w:p>
        </w:tc>
        <w:tc>
          <w:tcPr>
            <w:tcW w:w="7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150" w:type="dxa"/>
            <w:tcBorders/>
            <w:shd w:fill="CCEEFF" w:val="clear"/>
            <w:vAlign w:val="bottom"/>
          </w:tcPr>
          <w:p>
            <w:pPr>
              <w:pStyle w:val="TableContents"/>
              <w:bidi w:val="0"/>
              <w:spacing w:before="0" w:after="0"/>
              <w:ind w:left="324" w:right="0" w:hanging="144"/>
              <w:jc w:val="left"/>
              <w:rPr/>
            </w:pPr>
            <w:r>
              <w:rPr/>
              <w:t>Americas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6,016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6,778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7,126</w:t>
            </w:r>
          </w:p>
        </w:tc>
        <w:tc>
          <w:tcPr>
            <w:tcW w:w="75" w:type="dxa"/>
            <w:tcBorders/>
            <w:shd w:fill="CCEEFF" w:val="clear"/>
            <w:vAlign w:val="bottom"/>
          </w:tcPr>
          <w:p>
            <w:pPr>
              <w:pStyle w:val="TableContents"/>
              <w:bidi w:val="0"/>
              <w:spacing w:before="0" w:after="283"/>
              <w:jc w:val="left"/>
              <w:rPr/>
            </w:pPr>
            <w:r>
              <w:rPr/>
              <w:t> </w:t>
            </w:r>
          </w:p>
        </w:tc>
      </w:tr>
      <w:tr>
        <w:trPr/>
        <w:tc>
          <w:tcPr>
            <w:tcW w:w="2150" w:type="dxa"/>
            <w:tcBorders/>
            <w:vAlign w:val="bottom"/>
          </w:tcPr>
          <w:p>
            <w:pPr>
              <w:pStyle w:val="TableContents"/>
              <w:bidi w:val="0"/>
              <w:spacing w:before="0" w:after="0"/>
              <w:ind w:left="324" w:right="0" w:hanging="144"/>
              <w:jc w:val="left"/>
              <w:rPr/>
            </w:pPr>
            <w:r>
              <w:rPr/>
              <w:t>Southeast Asia/Pacific</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4,272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5,288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6,418</w:t>
            </w:r>
          </w:p>
        </w:tc>
        <w:tc>
          <w:tcPr>
            <w:tcW w:w="75" w:type="dxa"/>
            <w:tcBorders/>
            <w:vAlign w:val="bottom"/>
          </w:tcPr>
          <w:p>
            <w:pPr>
              <w:pStyle w:val="TableContents"/>
              <w:bidi w:val="0"/>
              <w:spacing w:before="0" w:after="283"/>
              <w:jc w:val="left"/>
              <w:rPr/>
            </w:pPr>
            <w:r>
              <w:rPr/>
              <w:t> </w:t>
            </w:r>
          </w:p>
        </w:tc>
      </w:tr>
      <w:tr>
        <w:trPr/>
        <w:tc>
          <w:tcPr>
            <w:tcW w:w="2150" w:type="dxa"/>
            <w:tcBorders/>
            <w:shd w:fill="CCEEFF" w:val="clear"/>
            <w:vAlign w:val="bottom"/>
          </w:tcPr>
          <w:p>
            <w:pPr>
              <w:pStyle w:val="TableContents"/>
              <w:bidi w:val="0"/>
              <w:spacing w:before="0" w:after="0"/>
              <w:ind w:left="324" w:right="0" w:hanging="144"/>
              <w:jc w:val="left"/>
              <w:rPr/>
            </w:pPr>
            <w:r>
              <w:rPr/>
              <w:t>Mainland China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6,065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8,969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11,296</w:t>
            </w:r>
          </w:p>
        </w:tc>
        <w:tc>
          <w:tcPr>
            <w:tcW w:w="75" w:type="dxa"/>
            <w:tcBorders/>
            <w:shd w:fill="CCEEFF" w:val="clear"/>
            <w:vAlign w:val="bottom"/>
          </w:tcPr>
          <w:p>
            <w:pPr>
              <w:pStyle w:val="TableContents"/>
              <w:bidi w:val="0"/>
              <w:spacing w:before="0" w:after="283"/>
              <w:jc w:val="left"/>
              <w:rPr/>
            </w:pPr>
            <w:r>
              <w:rPr/>
              <w:t> </w:t>
            </w:r>
          </w:p>
        </w:tc>
      </w:tr>
      <w:tr>
        <w:trPr/>
        <w:tc>
          <w:tcPr>
            <w:tcW w:w="2150" w:type="dxa"/>
            <w:tcBorders/>
            <w:vAlign w:val="bottom"/>
          </w:tcPr>
          <w:p>
            <w:pPr>
              <w:pStyle w:val="TableContents"/>
              <w:bidi w:val="0"/>
              <w:spacing w:before="0" w:after="0"/>
              <w:ind w:left="324" w:right="0" w:hanging="144"/>
              <w:jc w:val="left"/>
              <w:rPr/>
            </w:pPr>
            <w:r>
              <w:rPr/>
              <w:t>Japan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6,259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6,780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7,086</w:t>
            </w:r>
          </w:p>
        </w:tc>
        <w:tc>
          <w:tcPr>
            <w:tcW w:w="75" w:type="dxa"/>
            <w:tcBorders/>
            <w:vAlign w:val="bottom"/>
          </w:tcPr>
          <w:p>
            <w:pPr>
              <w:pStyle w:val="TableContents"/>
              <w:bidi w:val="0"/>
              <w:spacing w:before="0" w:after="283"/>
              <w:jc w:val="left"/>
              <w:rPr/>
            </w:pPr>
            <w:r>
              <w:rPr/>
              <w:t> </w:t>
            </w:r>
          </w:p>
        </w:tc>
      </w:tr>
      <w:tr>
        <w:trPr/>
        <w:tc>
          <w:tcPr>
            <w:tcW w:w="2150" w:type="dxa"/>
            <w:tcBorders/>
            <w:shd w:fill="CCEEFF" w:val="clear"/>
            <w:vAlign w:val="bottom"/>
          </w:tcPr>
          <w:p>
            <w:pPr>
              <w:pStyle w:val="TableContents"/>
              <w:bidi w:val="0"/>
              <w:spacing w:before="0" w:after="0"/>
              <w:ind w:left="324" w:right="0" w:hanging="144"/>
              <w:jc w:val="left"/>
              <w:rPr/>
            </w:pPr>
            <w:r>
              <w:rPr/>
              <w:t>Europe &amp; Africa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2,722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3,343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3,968</w:t>
            </w:r>
          </w:p>
        </w:tc>
        <w:tc>
          <w:tcPr>
            <w:tcW w:w="75" w:type="dxa"/>
            <w:tcBorders/>
            <w:shd w:fill="CCEEFF" w:val="clear"/>
            <w:vAlign w:val="bottom"/>
          </w:tcPr>
          <w:p>
            <w:pPr>
              <w:pStyle w:val="TableContents"/>
              <w:bidi w:val="0"/>
              <w:spacing w:before="0" w:after="283"/>
              <w:jc w:val="left"/>
              <w:rPr/>
            </w:pPr>
            <w:r>
              <w:rPr/>
              <w:t> </w:t>
            </w:r>
          </w:p>
        </w:tc>
      </w:tr>
      <w:tr>
        <w:trPr/>
        <w:tc>
          <w:tcPr>
            <w:tcW w:w="2150" w:type="dxa"/>
            <w:tcBorders/>
            <w:vAlign w:val="bottom"/>
          </w:tcPr>
          <w:p>
            <w:pPr>
              <w:pStyle w:val="TableContents"/>
              <w:bidi w:val="0"/>
              <w:spacing w:before="0" w:after="0"/>
              <w:ind w:left="324" w:right="0" w:hanging="144"/>
              <w:jc w:val="left"/>
              <w:rPr/>
            </w:pPr>
            <w:r>
              <w:rPr/>
              <w:t>South Korea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2,547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3,343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5,249</w:t>
            </w:r>
          </w:p>
        </w:tc>
        <w:tc>
          <w:tcPr>
            <w:tcW w:w="75" w:type="dxa"/>
            <w:tcBorders/>
            <w:vAlign w:val="bottom"/>
          </w:tcPr>
          <w:p>
            <w:pPr>
              <w:pStyle w:val="TableContents"/>
              <w:bidi w:val="0"/>
              <w:spacing w:before="0" w:after="283"/>
              <w:jc w:val="left"/>
              <w:rPr/>
            </w:pPr>
            <w:r>
              <w:rPr/>
              <w:t> </w:t>
            </w:r>
          </w:p>
        </w:tc>
      </w:tr>
      <w:tr>
        <w:trPr/>
        <w:tc>
          <w:tcPr>
            <w:tcW w:w="2150" w:type="dxa"/>
            <w:tcBorders/>
            <w:shd w:fill="CCEEFF" w:val="clear"/>
            <w:vAlign w:val="bottom"/>
          </w:tcPr>
          <w:p>
            <w:pPr>
              <w:pStyle w:val="TableContents"/>
              <w:bidi w:val="0"/>
              <w:spacing w:before="0" w:after="0"/>
              <w:ind w:left="324" w:right="0" w:hanging="144"/>
              <w:jc w:val="left"/>
              <w:rPr/>
            </w:pPr>
            <w:r>
              <w:rPr/>
              <w:t>Hong Kong/Taiwan</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pPr>
            <w:r>
              <w:rPr/>
              <w:t>2,164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pPr>
            <w:r>
              <w:rPr/>
              <w:t>2,411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pPr>
            <w:r>
              <w:rPr/>
              <w:t>2,916</w:t>
            </w:r>
          </w:p>
        </w:tc>
        <w:tc>
          <w:tcPr>
            <w:tcW w:w="75" w:type="dxa"/>
            <w:tcBorders/>
            <w:shd w:fill="CCEEFF" w:val="clear"/>
            <w:vAlign w:val="bottom"/>
          </w:tcPr>
          <w:p>
            <w:pPr>
              <w:pStyle w:val="TableContents"/>
              <w:bidi w:val="0"/>
              <w:spacing w:before="0" w:after="283"/>
              <w:jc w:val="left"/>
              <w:rPr/>
            </w:pPr>
            <w:r>
              <w:rPr/>
              <w:t> </w:t>
            </w:r>
          </w:p>
        </w:tc>
      </w:tr>
      <w:tr>
        <w:trPr/>
        <w:tc>
          <w:tcPr>
            <w:tcW w:w="2150" w:type="dxa"/>
            <w:tcBorders/>
            <w:vAlign w:val="bottom"/>
          </w:tcPr>
          <w:p>
            <w:pPr>
              <w:pStyle w:val="TableContents"/>
              <w:bidi w:val="0"/>
              <w:spacing w:before="0" w:after="0"/>
              <w:ind w:left="144" w:right="0" w:hanging="144"/>
              <w:jc w:val="left"/>
              <w:rPr>
                <w:b/>
              </w:rPr>
            </w:pPr>
            <w:r>
              <w:rPr>
                <w:b/>
              </w:rPr>
              <w:t>Total Sales Leaders</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0"/>
              <w:jc w:val="right"/>
              <w:rPr/>
            </w:pPr>
            <w:r>
              <w:rPr/>
              <w:t>30,045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0"/>
              <w:jc w:val="right"/>
              <w:rPr/>
            </w:pPr>
            <w:r>
              <w:rPr/>
              <w:t>36,912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0"/>
              <w:jc w:val="right"/>
              <w:rPr/>
            </w:pPr>
            <w:r>
              <w:rPr/>
              <w:t>44,059</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(1)</w:t>
            </w:r>
          </w:p>
        </w:tc>
        <w:tc>
          <w:tcPr>
            <w:tcW w:w="9959" w:type="dxa"/>
            <w:tcBorders/>
            <w:vAlign w:val="center"/>
          </w:tcPr>
          <w:p>
            <w:pPr>
              <w:pStyle w:val="TableContents"/>
              <w:bidi w:val="0"/>
              <w:spacing w:before="0" w:after="0"/>
              <w:jc w:val="both"/>
              <w:rPr/>
            </w:pPr>
            <w:r>
              <w:rPr/>
              <w:t>The December 31, 2025 and 2024 numbers are affected by a change in eligibility requirements for receiving certain awards within our compensation structure, to more narrowly focus on those affiliates who are actively building a consumer base. See Item 7. Management’s Discussion and Analysis of Financial Condition and Results of Operations—“Southeast Asia/Pacific,” and “South Korea,” for more information.</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Global Direct Selling Channel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Outside of Mainland China, individuals can elect to participate in our business as follows: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w:t>
            </w:r>
            <w:r>
              <w:rPr>
                <w:color w:val="000000"/>
              </w:rPr>
              <w:t>Brand Affiliate-Direct Consumers”—Individuals who purchase products directly from a Brand Affiliate at a price established by the Brand Affiliate.</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pPr>
            <w:r>
              <w:rPr>
                <w:color w:val="000000"/>
              </w:rPr>
              <w:t>“</w:t>
            </w:r>
            <w:r>
              <w:rPr>
                <w:color w:val="000000"/>
              </w:rPr>
              <w:t>Company-Direct Consumers”—</w:t>
            </w:r>
            <w:r>
              <w:rPr/>
              <w:t>Individuals who purchase products directly from the company. These consumers are typically referred by a Brand Affiliate and may purchase at retail price or at a discount. These individuals do not have the right to build a Nu Skin business by reselling products or by recruiting others.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w:t>
            </w:r>
            <w:r>
              <w:rPr>
                <w:color w:val="000000"/>
              </w:rPr>
              <w:t>Basic Brand Affiliates”—Brand Affiliates who purchase products for personal or family use or for resale to other consumers. These individuals are eligible to receive certain compensation under our global sales compensation plan by selling product, and/or when an affiliate they recruited sells product to a consumer, but they are not eligible for other compensation unless they elect to qualify as a Sales Leader. We consider these individuals to be part of our consumer group, as we believe a significant majority of these Brand Affiliates are purchasing products for personal use and not actively building a sales network or consumer base.</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w:t>
            </w:r>
            <w:r>
              <w:rPr>
                <w:color w:val="000000"/>
              </w:rPr>
              <w:t>Sales Leaders and Qualifiers”—Brand Affiliates who have qualified or are trying to qualify as a Sales Leader. These Brand Affiliates have elected to pursue the business opportunity as a Sales Leader and are actively attracting consumers and building a sales network under our global sales compensation plan. These Sales Leaders and Qualifiers constitute our sales network.</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To become a Brand Affiliate, an individual signs a Brand Affiliate agreement and receives access to a business portfolio, which is free in most markets. In some markets, we charge a small fee for the business portfolio. The business portfolio generally consists of documentation concerning the business, including copies of the sales compensation plan, Brand Affiliate policies and procedures, product catalog and other documentation, but it does not include products. There are no requirements to purchase products to become a Brand Affiliate, and no commissions are paid on any purchase of a business portfolio.</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offer a generous product return policy, which also includes returns of business support materials. In most markets, we offer a return policy that allows our Brand Affiliates to return unopened and unused items for up to 30 days for a full refund, or 12 months subject to a 10% restocking fee. Brand Affiliates are not required to terminate their accounts to return product. Actual returns have historically been less than 5% of annual revenue. We believe our generous return policy minimizes the financial risks associated with being a Brand Affiliate.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to our product return policy, we strive to be as protective of our customers as possible. We seek to ensure that those who use our products or participate in our business opportunity are treated fairly and are not misled by inappropriate product or earnings claims.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There are two fundamental ways in which our Brand Affiliates can earn money:</w:t>
      </w:r>
    </w:p>
    <w:p>
      <w:pPr>
        <w:pStyle w:val="TextBody"/>
        <w:bidi w:val="0"/>
        <w:spacing w:before="0" w:after="0"/>
        <w:jc w:val="left"/>
        <w:rPr/>
      </w:pPr>
      <w:r>
        <w:rPr/>
      </w:r>
    </w:p>
    <w:tbl>
      <w:tblPr>
        <w:tblW w:w="7758" w:type="dxa"/>
        <w:jc w:val="left"/>
        <w:tblInd w:w="0" w:type="dxa"/>
        <w:tblLayout w:type="fixed"/>
        <w:tblCellMar>
          <w:top w:w="0" w:type="dxa"/>
          <w:left w:w="0" w:type="dxa"/>
          <w:bottom w:w="0" w:type="dxa"/>
          <w:right w:w="0" w:type="dxa"/>
        </w:tblCellMar>
      </w:tblPr>
      <w:tblGrid>
        <w:gridCol w:w="38"/>
        <w:gridCol w:w="170"/>
        <w:gridCol w:w="755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7550" w:type="dxa"/>
            <w:tcBorders/>
            <w:vAlign w:val="center"/>
          </w:tcPr>
          <w:p>
            <w:pPr>
              <w:pStyle w:val="TableContents"/>
              <w:bidi w:val="0"/>
              <w:spacing w:before="0" w:after="0"/>
              <w:jc w:val="both"/>
              <w:rPr>
                <w:color w:val="000000"/>
              </w:rPr>
            </w:pPr>
            <w:r>
              <w:rPr>
                <w:color w:val="000000"/>
              </w:rPr>
              <w:t>through retail markups on resales of products purchased from the company; and</w:t>
            </w:r>
          </w:p>
        </w:tc>
      </w:tr>
    </w:tbl>
    <w:tbl>
      <w:tblPr>
        <w:tblW w:w="9753" w:type="dxa"/>
        <w:jc w:val="left"/>
        <w:tblInd w:w="0" w:type="dxa"/>
        <w:tblLayout w:type="fixed"/>
        <w:tblCellMar>
          <w:top w:w="0" w:type="dxa"/>
          <w:left w:w="0" w:type="dxa"/>
          <w:bottom w:w="0" w:type="dxa"/>
          <w:right w:w="0" w:type="dxa"/>
        </w:tblCellMar>
      </w:tblPr>
      <w:tblGrid>
        <w:gridCol w:w="38"/>
        <w:gridCol w:w="170"/>
        <w:gridCol w:w="954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545" w:type="dxa"/>
            <w:tcBorders/>
            <w:vAlign w:val="center"/>
          </w:tcPr>
          <w:p>
            <w:pPr>
              <w:pStyle w:val="TableContents"/>
              <w:bidi w:val="0"/>
              <w:spacing w:before="0" w:after="0"/>
              <w:jc w:val="both"/>
              <w:rPr>
                <w:color w:val="000000"/>
              </w:rPr>
            </w:pPr>
            <w:r>
              <w:rPr>
                <w:color w:val="000000"/>
              </w:rPr>
              <w:t>through sales compensation earned on the sale of products under our global sales compensation plan.</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believe that our global sales compensation plan is among the most generous in the direct selling industry and is one of our competitive advantages. Our Brand Affiliates can receive sales compensation for product sales from the company to their own consumer groups.  Likewise, our Sales Leaders can receive sales compensation under our global sales compensation plan for product sales from the company to their own consumer groups, as well as for product sales from the company to other Sales Leaders and their consumer groups. This type of sales compensation is often referred to as “multi-level” compensation. Our sales force is not required to recruit or sponsor other Brand Affiliates, and we do not pay any sales compensation for recruiting or sponsoring. While all of our Brand Affiliates can sponsor other Brand Affiliates at any time, our Sales Leaders and those in qualification to become Sales Leaders are those who generally are the most active in sponsoring other Brand Affiliates. Pursuant to our global sales compensation plan, we pay consolidated sales compensation in a Sales Leader’s home market, in local currency, for product sales in the Sales Leader’s own consumer group and for product sales made in the Sales Leader’s team of Sales Leaders across all geographic markets.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Mainland China Business Model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Because of restrictions on direct selling and multi-level commissions in Mainland China, we have implemented a business model for that market that is different from the business model we use in our other markets. We have structured our business model in Mainland China based on several factors: the guidance we have received from government officials, our interpretation of applicable regulations, our understanding of the practices of other international direct selling companies operating in Mainland China, and our understanding as to how regulators are interpreting and enforcing the regulations. The regulatory environment in Mainland China continues to be challenging and restrictive. From time to time, we evaluate potential changes to the structure of our sales compensation in Mainland China to address the evolving commercial environment and, as the need arises, the evolving regulatory environment. Any such changes could have a negative impact on our sales in that market.</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Mainland China, we utilize sales employees to sell products through our retail stores, website and digital platforms; independent direct sellers, who can sell away from our stores where we have a direct selling license and a service center and can also sell through our website and digital platforms; and independent marketers, who are licensed business owners authorized to sell our products at their own approved premises or through our stores, website and digital platforms. (As used in the foregoing sentence, our digital platforms include not only those owned or run by our company but also platforms operated by third parties on which we have registered flagship stores.) We rely on our sales employees, independent direct sellers and independent marketers to attract new consumers, promote repeat purchases, and educate our sales force about our products, culture and policies through training meetings.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sales employees, independent direct sellers and independent marketers in Mainland China do not participate in our global sales compensation plan but are instead compensated according to a separate compensation model established for Mainland China, which is separate and different from our global compensation plan. Independent direct sellers and sales employees who have not achieved certain qualification requirements receive monthly bonuses based on their monthly product sales. Sales employees who achieve qualification requirements and independent marketers earn (1) monthly bonuses based on their monthly product sales and other bonuses based on various performance metrics; and (2) a salary (for sales employees, consisting of position pay and performance pay) or a service fee (for independent marketers). The salary or service fee and position/title are reviewed and adjusted quarterly based on their performance relative to other sales leaders, taking into account such factors as the sales productivity of the Sales Leader him/herself and of the sales force that such Sales Leader trains, collaborates with, supports and services. We utilize our global system to track and assess the sales productivity of each Sales Leader him/herself and the sales force that such Sales Leader trains, collaborates with, supports and services in setting his/her salary or service fee and in connection with the evaluation of their position/title. We generally compensate our Mainland China Sales Leaders at a level that is competitive with other direct selling companies in the market and comparable to the compensation of our Sales Leaders globally.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Operating in Mainland China entails certain risks and uncertainties to our business, as discussed further in Item 1. Business—“Regulation” and Item 1A. Risk Factors. We endeavor to mitigate these risks and uncertainties through various measures, including by seeking to understand and obey laws and regulations, training our employees and sales force, engaging in dialogue with government officials to better understand their goals and explain our plans, and cooperating in inquiries and other matters of interest to regulators. However, these efforts do not eliminate the significant risks associated with operating in Mainland China.</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global sales compensation plan and our Mainland China business model, including our related know-how, processes and systems, play a significant role in helping us to attract and incentivize our sales force. We have strategically developed and refined our global sales compensation plan and our Mainland China business model to distinguish the business opportunity that we offer from those of other companies and to seek to provide us with a competitive advantage.</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Sales Incentives, Meetings, Recognition and Training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An important part of our distribution channel is motivating our Sales Leaders and recognizing their achievements. We hold regular meetings and events globally to recognize Sales Leaders who have achieved various levels of success in our business. These meetings, which may be held either virtually or in-person, also allow the company and key Sales Leaders to provide training to other Sales Leaders. We utilize a variety of sales incentives such as incentive trips to motivate Sales Leaders. In addition to rewarding performance, incentive trips provide Sales Leaders and the company opportunities to share best practices, set goals, generate alignment of Sales Leaders around key initiatives, and provide a high level of motivation and team building.</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Product Launch Process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Prior to making a product generally available for purchase in a market, we often do one or more introductory offerings of the product, such as a preview of the product to our Sales Leaders or other product introduction or promotion. We refer to the entire process, beginning with the introductory offering through general availability of the product, as a product launch or our product launch process. The timing of the launch of a particular product often varies from market to market depending on such factors as customer demand, affiliate brand focus, product registration or other local legal requirements, and product availability in our supply chain.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Sales Leader previews and other product introductions and promotions sometimes generate significant activity and a high level of purchasing, which can result in a higher-than-normal increase in revenue, Customers, Paid Affiliates and Sales Leaders during the quarter and skew year-over-year and sequential comparisons. We believe our product launch process attracts new Customers, Paid Affiliates and Sales Leaders to our business, increases consumer trial, and provides us with important marketing and forecasting information about our products. Please refer to Item 1A. Risk Factors for more information on risks related to our product launch process.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bookmarkStart w:id="6" w:name="GEOGRAPHICREGIONS"/>
      <w:bookmarkEnd w:id="6"/>
      <w:r>
        <w:rPr>
          <w:rFonts w:ascii="Times New Roman" w:hAnsi="Times New Roman"/>
          <w:b/>
          <w:color w:val="000000"/>
          <w:sz w:val="20"/>
          <w:shd w:fill="FFFFFF" w:val="clear"/>
        </w:rPr>
        <w:t>GEOGRAPHIC REGIONS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bookmarkStart w:id="7" w:name="z_Hlk505986860"/>
      <w:bookmarkEnd w:id="7"/>
      <w:r>
        <w:rPr>
          <w:rFonts w:ascii="Times New Roman;Times;serif" w:hAnsi="Times New Roman;Times;serif"/>
          <w:color w:val="000000"/>
          <w:sz w:val="20"/>
          <w:shd w:fill="FFFFFF" w:val="clear"/>
        </w:rPr>
        <w:t>We currently sell and distribute our Nu Skin business’s products in nearly 50 markets. We have divided these markets into seven segments: Mainland China; South Korea; Southeast Asia/Pacific, which includes Indonesia, Malaysia, the Philippines, Singapore, Thailand, Vietnam, Australia, New Zealand and other markets; Americas, which includes Canada, Latin America and the United States; Japan; Hong Kong/Taiwan, which also includes Macau; and Europe &amp; Africa, which includes markets in Europe as well as South Africa. During the fourth quarter of 2025, we began pre-market activities in India, setting the operational foundation and infrastructure ahead of a full market opening anticipated in the back half of 2026. Our financial results and key performance indicators for this market, which are included in our Southeast Asia/Pacific segment in this report, were insignificant for 2025. Our Rhyz strategic investment arm also includes two additional segments: Manufacturing and Rhyz Other. The following table sets forth the revenue for each of the segments and the Other category for the last three years.</w:t>
      </w:r>
    </w:p>
    <w:p>
      <w:pPr>
        <w:pStyle w:val="TextBody"/>
        <w:bidi w:val="0"/>
        <w:spacing w:before="0" w:after="0"/>
        <w:jc w:val="left"/>
        <w:rPr/>
      </w:pPr>
      <w:r>
        <w:rPr/>
      </w:r>
    </w:p>
    <w:tbl>
      <w:tblPr>
        <w:tblW w:w="7540" w:type="dxa"/>
        <w:jc w:val="left"/>
        <w:tblInd w:w="0" w:type="dxa"/>
        <w:tblLayout w:type="fixed"/>
        <w:tblCellMar>
          <w:top w:w="0" w:type="dxa"/>
          <w:left w:w="0" w:type="dxa"/>
          <w:bottom w:w="0" w:type="dxa"/>
          <w:right w:w="0" w:type="dxa"/>
        </w:tblCellMar>
      </w:tblPr>
      <w:tblGrid>
        <w:gridCol w:w="2360"/>
        <w:gridCol w:w="60"/>
        <w:gridCol w:w="140"/>
        <w:gridCol w:w="740"/>
        <w:gridCol w:w="60"/>
        <w:gridCol w:w="60"/>
        <w:gridCol w:w="60"/>
        <w:gridCol w:w="380"/>
        <w:gridCol w:w="215"/>
        <w:gridCol w:w="60"/>
        <w:gridCol w:w="140"/>
        <w:gridCol w:w="740"/>
        <w:gridCol w:w="60"/>
        <w:gridCol w:w="60"/>
        <w:gridCol w:w="60"/>
        <w:gridCol w:w="380"/>
        <w:gridCol w:w="215"/>
        <w:gridCol w:w="60"/>
        <w:gridCol w:w="140"/>
        <w:gridCol w:w="740"/>
        <w:gridCol w:w="95"/>
        <w:gridCol w:w="60"/>
        <w:gridCol w:w="60"/>
        <w:gridCol w:w="380"/>
        <w:gridCol w:w="215"/>
      </w:tblGrid>
      <w:tr>
        <w:trPr/>
        <w:tc>
          <w:tcPr>
            <w:tcW w:w="23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05" w:type="dxa"/>
            <w:gridSpan w:val="2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w:t>
            </w:r>
          </w:p>
        </w:tc>
        <w:tc>
          <w:tcPr>
            <w:tcW w:w="215" w:type="dxa"/>
            <w:tcBorders/>
            <w:vAlign w:val="bottom"/>
          </w:tcPr>
          <w:p>
            <w:pPr>
              <w:pStyle w:val="TableContents"/>
              <w:bidi w:val="0"/>
              <w:spacing w:before="0" w:after="283"/>
              <w:jc w:val="left"/>
              <w:rPr/>
            </w:pPr>
            <w:r>
              <w:rPr/>
              <w:t> </w:t>
            </w:r>
          </w:p>
        </w:tc>
      </w:tr>
      <w:tr>
        <w:trPr/>
        <w:tc>
          <w:tcPr>
            <w:tcW w:w="2360" w:type="dxa"/>
            <w:tcBorders>
              <w:bottom w:val="single" w:sz="12" w:space="0" w:color="000000"/>
            </w:tcBorders>
            <w:tcMar>
              <w:bottom w:w="28" w:type="dxa"/>
            </w:tcMar>
            <w:vAlign w:val="bottom"/>
          </w:tcPr>
          <w:p>
            <w:pPr>
              <w:pStyle w:val="TableContents"/>
              <w:bidi w:val="0"/>
              <w:spacing w:before="0" w:after="0"/>
              <w:jc w:val="center"/>
              <w:rPr>
                <w:i/>
                <w:color w:val="000000"/>
              </w:rPr>
            </w:pPr>
            <w:r>
              <w:rPr>
                <w:i/>
                <w:color w:val="000000"/>
              </w:rPr>
              <w:t>(U.S. dollars in millions)</w:t>
            </w:r>
          </w:p>
        </w:tc>
        <w:tc>
          <w:tcPr>
            <w:tcW w:w="60" w:type="dxa"/>
            <w:tcBorders/>
            <w:vAlign w:val="bottom"/>
          </w:tcPr>
          <w:p>
            <w:pPr>
              <w:pStyle w:val="TableContents"/>
              <w:bidi w:val="0"/>
              <w:spacing w:before="0" w:after="283"/>
              <w:jc w:val="left"/>
              <w:rPr/>
            </w:pPr>
            <w:r>
              <w:rPr/>
              <w:t> </w:t>
            </w:r>
          </w:p>
        </w:tc>
        <w:tc>
          <w:tcPr>
            <w:tcW w:w="144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215" w:type="dxa"/>
            <w:tcBorders/>
            <w:vAlign w:val="bottom"/>
          </w:tcPr>
          <w:p>
            <w:pPr>
              <w:pStyle w:val="TableContents"/>
              <w:bidi w:val="0"/>
              <w:spacing w:before="0" w:after="283"/>
              <w:jc w:val="left"/>
              <w:rPr/>
            </w:pPr>
            <w:r>
              <w:rPr/>
              <w:t> </w:t>
            </w:r>
          </w:p>
        </w:tc>
      </w:tr>
      <w:tr>
        <w:trPr/>
        <w:tc>
          <w:tcPr>
            <w:tcW w:w="2360" w:type="dxa"/>
            <w:tcBorders/>
            <w:vAlign w:val="bottom"/>
          </w:tcPr>
          <w:p>
            <w:pPr>
              <w:pStyle w:val="TableContents"/>
              <w:bidi w:val="0"/>
              <w:spacing w:before="0" w:after="0"/>
              <w:jc w:val="left"/>
              <w:rPr>
                <w:i/>
                <w:color w:val="000000"/>
              </w:rPr>
            </w:pPr>
            <w:r>
              <w:rPr>
                <w:i/>
                <w:color w:val="000000"/>
              </w:rPr>
              <w:t>Nu Skin</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r>
      <w:tr>
        <w:trPr/>
        <w:tc>
          <w:tcPr>
            <w:tcW w:w="2360" w:type="dxa"/>
            <w:tcBorders/>
            <w:shd w:fill="CCEEFF" w:val="clear"/>
            <w:vAlign w:val="bottom"/>
          </w:tcPr>
          <w:p>
            <w:pPr>
              <w:pStyle w:val="TableContents"/>
              <w:bidi w:val="0"/>
              <w:spacing w:before="0" w:after="0"/>
              <w:ind w:left="180" w:right="0" w:hanging="0"/>
              <w:jc w:val="left"/>
              <w:rPr>
                <w:color w:val="000000"/>
              </w:rPr>
            </w:pPr>
            <w:r>
              <w:rPr>
                <w:color w:val="000000"/>
              </w:rPr>
              <w:t>Americas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740" w:type="dxa"/>
            <w:tcBorders/>
            <w:shd w:fill="CCEEFF" w:val="clear"/>
            <w:vAlign w:val="bottom"/>
          </w:tcPr>
          <w:p>
            <w:pPr>
              <w:pStyle w:val="TableContents"/>
              <w:bidi w:val="0"/>
              <w:spacing w:before="0" w:after="0"/>
              <w:jc w:val="right"/>
              <w:rPr>
                <w:color w:val="000000"/>
              </w:rPr>
            </w:pPr>
            <w:r>
              <w:rPr>
                <w:color w:val="000000"/>
              </w:rPr>
              <w:t>283.0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0"/>
              <w:jc w:val="right"/>
              <w:rPr>
                <w:color w:val="000000"/>
              </w:rPr>
            </w:pPr>
            <w:r>
              <w:rPr>
                <w:color w:val="000000"/>
              </w:rPr>
              <w:t>19</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740" w:type="dxa"/>
            <w:tcBorders/>
            <w:shd w:fill="CCEEFF" w:val="clear"/>
            <w:vAlign w:val="bottom"/>
          </w:tcPr>
          <w:p>
            <w:pPr>
              <w:pStyle w:val="TableContents"/>
              <w:bidi w:val="0"/>
              <w:spacing w:before="0" w:after="0"/>
              <w:jc w:val="right"/>
              <w:rPr>
                <w:color w:val="000000"/>
              </w:rPr>
            </w:pPr>
            <w:r>
              <w:rPr>
                <w:color w:val="000000"/>
              </w:rPr>
              <w:t>322.5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0"/>
              <w:jc w:val="right"/>
              <w:rPr>
                <w:color w:val="000000"/>
              </w:rPr>
            </w:pPr>
            <w:r>
              <w:rPr>
                <w:color w:val="000000"/>
              </w:rPr>
              <w:t>19</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740" w:type="dxa"/>
            <w:tcBorders/>
            <w:shd w:fill="CCEEFF" w:val="clear"/>
            <w:vAlign w:val="bottom"/>
          </w:tcPr>
          <w:p>
            <w:pPr>
              <w:pStyle w:val="TableContents"/>
              <w:bidi w:val="0"/>
              <w:spacing w:before="0" w:after="0"/>
              <w:jc w:val="right"/>
              <w:rPr>
                <w:color w:val="000000"/>
              </w:rPr>
            </w:pPr>
            <w:r>
              <w:rPr>
                <w:color w:val="000000"/>
              </w:rPr>
              <w:t>398.2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0"/>
              <w:jc w:val="right"/>
              <w:rPr>
                <w:color w:val="000000"/>
              </w:rPr>
            </w:pPr>
            <w:r>
              <w:rPr>
                <w:color w:val="000000"/>
              </w:rPr>
              <w:t>20</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2360" w:type="dxa"/>
            <w:tcBorders/>
            <w:vAlign w:val="bottom"/>
          </w:tcPr>
          <w:p>
            <w:pPr>
              <w:pStyle w:val="TableContents"/>
              <w:bidi w:val="0"/>
              <w:spacing w:before="0" w:after="0"/>
              <w:ind w:left="180" w:right="0" w:hanging="0"/>
              <w:jc w:val="left"/>
              <w:rPr>
                <w:color w:val="000000"/>
              </w:rPr>
            </w:pPr>
            <w:r>
              <w:rPr>
                <w:color w:val="000000"/>
              </w:rPr>
              <w:t>Southeast Asia/Pacific</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color w:val="000000"/>
              </w:rPr>
            </w:pPr>
            <w:r>
              <w:rPr>
                <w:color w:val="000000"/>
              </w:rPr>
              <w:t>209.8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0"/>
              <w:jc w:val="right"/>
              <w:rPr>
                <w:color w:val="000000"/>
              </w:rPr>
            </w:pPr>
            <w:r>
              <w:rPr>
                <w:color w:val="000000"/>
              </w:rPr>
              <w:t>14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color w:val="000000"/>
              </w:rPr>
            </w:pPr>
            <w:r>
              <w:rPr>
                <w:color w:val="000000"/>
              </w:rPr>
              <w:t>244.8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0"/>
              <w:jc w:val="right"/>
              <w:rPr>
                <w:color w:val="000000"/>
              </w:rPr>
            </w:pPr>
            <w:r>
              <w:rPr>
                <w:color w:val="000000"/>
              </w:rPr>
              <w:t>14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color w:val="000000"/>
              </w:rPr>
            </w:pPr>
            <w:r>
              <w:rPr>
                <w:color w:val="000000"/>
              </w:rPr>
              <w:t>267.2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0"/>
              <w:jc w:val="right"/>
              <w:rPr>
                <w:color w:val="000000"/>
              </w:rPr>
            </w:pPr>
            <w:r>
              <w:rPr>
                <w:color w:val="000000"/>
              </w:rPr>
              <w:t>14</w:t>
            </w:r>
          </w:p>
        </w:tc>
        <w:tc>
          <w:tcPr>
            <w:tcW w:w="215" w:type="dxa"/>
            <w:tcBorders/>
            <w:vAlign w:val="bottom"/>
          </w:tcPr>
          <w:p>
            <w:pPr>
              <w:pStyle w:val="TableContents"/>
              <w:bidi w:val="0"/>
              <w:spacing w:before="0" w:after="283"/>
              <w:jc w:val="left"/>
              <w:rPr/>
            </w:pPr>
            <w:r>
              <w:rPr/>
              <w:t> </w:t>
            </w:r>
          </w:p>
        </w:tc>
      </w:tr>
      <w:tr>
        <w:trPr/>
        <w:tc>
          <w:tcPr>
            <w:tcW w:w="2360" w:type="dxa"/>
            <w:tcBorders/>
            <w:shd w:fill="CCEEFF" w:val="clear"/>
            <w:vAlign w:val="bottom"/>
          </w:tcPr>
          <w:p>
            <w:pPr>
              <w:pStyle w:val="TableContents"/>
              <w:bidi w:val="0"/>
              <w:spacing w:before="0" w:after="0"/>
              <w:ind w:left="180" w:right="0" w:hanging="0"/>
              <w:jc w:val="left"/>
              <w:rPr>
                <w:color w:val="000000"/>
              </w:rPr>
            </w:pPr>
            <w:r>
              <w:rPr>
                <w:color w:val="000000"/>
              </w:rPr>
              <w:t>Mainland China</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color w:val="000000"/>
              </w:rPr>
            </w:pPr>
            <w:r>
              <w:rPr>
                <w:color w:val="000000"/>
              </w:rPr>
              <w:t>195.6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0"/>
              <w:jc w:val="right"/>
              <w:rPr>
                <w:color w:val="000000"/>
              </w:rPr>
            </w:pPr>
            <w:r>
              <w:rPr>
                <w:color w:val="000000"/>
              </w:rPr>
              <w:t>13</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color w:val="000000"/>
              </w:rPr>
            </w:pPr>
            <w:r>
              <w:rPr>
                <w:color w:val="000000"/>
              </w:rPr>
              <w:t>235.2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0"/>
              <w:jc w:val="right"/>
              <w:rPr>
                <w:color w:val="000000"/>
              </w:rPr>
            </w:pPr>
            <w:r>
              <w:rPr>
                <w:color w:val="000000"/>
              </w:rPr>
              <w:t>14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color w:val="000000"/>
              </w:rPr>
            </w:pPr>
            <w:r>
              <w:rPr>
                <w:color w:val="000000"/>
              </w:rPr>
              <w:t>298.1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0"/>
              <w:jc w:val="right"/>
              <w:rPr>
                <w:color w:val="000000"/>
              </w:rPr>
            </w:pPr>
            <w:r>
              <w:rPr>
                <w:color w:val="000000"/>
              </w:rPr>
              <w:t>15</w:t>
            </w:r>
          </w:p>
        </w:tc>
        <w:tc>
          <w:tcPr>
            <w:tcW w:w="215" w:type="dxa"/>
            <w:tcBorders/>
            <w:shd w:fill="CCEEFF" w:val="clear"/>
            <w:vAlign w:val="bottom"/>
          </w:tcPr>
          <w:p>
            <w:pPr>
              <w:pStyle w:val="TableContents"/>
              <w:bidi w:val="0"/>
              <w:spacing w:before="0" w:after="283"/>
              <w:jc w:val="left"/>
              <w:rPr/>
            </w:pPr>
            <w:r>
              <w:rPr/>
              <w:t> </w:t>
            </w:r>
          </w:p>
        </w:tc>
      </w:tr>
      <w:tr>
        <w:trPr/>
        <w:tc>
          <w:tcPr>
            <w:tcW w:w="2360" w:type="dxa"/>
            <w:tcBorders/>
            <w:vAlign w:val="bottom"/>
          </w:tcPr>
          <w:p>
            <w:pPr>
              <w:pStyle w:val="TableContents"/>
              <w:bidi w:val="0"/>
              <w:spacing w:before="0" w:after="0"/>
              <w:ind w:left="180" w:right="0" w:hanging="0"/>
              <w:jc w:val="left"/>
              <w:rPr>
                <w:color w:val="000000"/>
              </w:rPr>
            </w:pPr>
            <w:r>
              <w:rPr>
                <w:color w:val="000000"/>
              </w:rPr>
              <w:t>Japan</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color w:val="000000"/>
              </w:rPr>
            </w:pPr>
            <w:r>
              <w:rPr>
                <w:color w:val="000000"/>
              </w:rPr>
              <w:t>174.4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0"/>
              <w:jc w:val="right"/>
              <w:rPr>
                <w:color w:val="000000"/>
              </w:rPr>
            </w:pPr>
            <w:r>
              <w:rPr>
                <w:color w:val="000000"/>
              </w:rPr>
              <w:t>12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color w:val="000000"/>
              </w:rPr>
            </w:pPr>
            <w:r>
              <w:rPr>
                <w:color w:val="000000"/>
              </w:rPr>
              <w:t>181.6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0"/>
              <w:jc w:val="right"/>
              <w:rPr>
                <w:color w:val="000000"/>
              </w:rPr>
            </w:pPr>
            <w:r>
              <w:rPr>
                <w:color w:val="000000"/>
              </w:rPr>
              <w:t>10</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color w:val="000000"/>
              </w:rPr>
            </w:pPr>
            <w:r>
              <w:rPr>
                <w:color w:val="000000"/>
              </w:rPr>
              <w:t>207.8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0"/>
              <w:jc w:val="right"/>
              <w:rPr>
                <w:color w:val="000000"/>
              </w:rPr>
            </w:pPr>
            <w:r>
              <w:rPr>
                <w:color w:val="000000"/>
              </w:rPr>
              <w:t>10</w:t>
            </w:r>
          </w:p>
        </w:tc>
        <w:tc>
          <w:tcPr>
            <w:tcW w:w="215" w:type="dxa"/>
            <w:tcBorders/>
            <w:vAlign w:val="bottom"/>
          </w:tcPr>
          <w:p>
            <w:pPr>
              <w:pStyle w:val="TableContents"/>
              <w:bidi w:val="0"/>
              <w:spacing w:before="0" w:after="283"/>
              <w:jc w:val="left"/>
              <w:rPr/>
            </w:pPr>
            <w:r>
              <w:rPr/>
              <w:t> </w:t>
            </w:r>
          </w:p>
        </w:tc>
      </w:tr>
      <w:tr>
        <w:trPr/>
        <w:tc>
          <w:tcPr>
            <w:tcW w:w="2360" w:type="dxa"/>
            <w:tcBorders/>
            <w:shd w:fill="CCEEFF" w:val="clear"/>
            <w:vAlign w:val="bottom"/>
          </w:tcPr>
          <w:p>
            <w:pPr>
              <w:pStyle w:val="TableContents"/>
              <w:bidi w:val="0"/>
              <w:spacing w:before="0" w:after="0"/>
              <w:ind w:left="180" w:right="0" w:hanging="0"/>
              <w:jc w:val="left"/>
              <w:rPr>
                <w:color w:val="000000"/>
              </w:rPr>
            </w:pPr>
            <w:r>
              <w:rPr>
                <w:color w:val="000000"/>
              </w:rPr>
              <w:t>Europe &amp; Africa</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color w:val="000000"/>
              </w:rPr>
            </w:pPr>
            <w:r>
              <w:rPr>
                <w:color w:val="000000"/>
              </w:rPr>
              <w:t>150.2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0"/>
              <w:jc w:val="right"/>
              <w:rPr>
                <w:color w:val="000000"/>
              </w:rPr>
            </w:pPr>
            <w:r>
              <w:rPr>
                <w:color w:val="000000"/>
              </w:rPr>
              <w:t>10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color w:val="000000"/>
              </w:rPr>
            </w:pPr>
            <w:r>
              <w:rPr>
                <w:color w:val="000000"/>
              </w:rPr>
              <w:t>164.2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0"/>
              <w:jc w:val="right"/>
              <w:rPr>
                <w:color w:val="000000"/>
              </w:rPr>
            </w:pPr>
            <w:r>
              <w:rPr>
                <w:color w:val="000000"/>
              </w:rPr>
              <w:t>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color w:val="000000"/>
              </w:rPr>
            </w:pPr>
            <w:r>
              <w:rPr>
                <w:color w:val="000000"/>
              </w:rPr>
              <w:t>192.4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0"/>
              <w:jc w:val="right"/>
              <w:rPr>
                <w:color w:val="000000"/>
              </w:rPr>
            </w:pPr>
            <w:r>
              <w:rPr>
                <w:color w:val="000000"/>
              </w:rPr>
              <w:t>10</w:t>
            </w:r>
          </w:p>
        </w:tc>
        <w:tc>
          <w:tcPr>
            <w:tcW w:w="215" w:type="dxa"/>
            <w:tcBorders/>
            <w:shd w:fill="CCEEFF" w:val="clear"/>
            <w:vAlign w:val="bottom"/>
          </w:tcPr>
          <w:p>
            <w:pPr>
              <w:pStyle w:val="TableContents"/>
              <w:bidi w:val="0"/>
              <w:spacing w:before="0" w:after="283"/>
              <w:jc w:val="left"/>
              <w:rPr/>
            </w:pPr>
            <w:r>
              <w:rPr/>
              <w:t> </w:t>
            </w:r>
          </w:p>
        </w:tc>
      </w:tr>
      <w:tr>
        <w:trPr/>
        <w:tc>
          <w:tcPr>
            <w:tcW w:w="2360" w:type="dxa"/>
            <w:tcBorders/>
            <w:vAlign w:val="bottom"/>
          </w:tcPr>
          <w:p>
            <w:pPr>
              <w:pStyle w:val="TableContents"/>
              <w:bidi w:val="0"/>
              <w:spacing w:before="0" w:after="0"/>
              <w:ind w:left="180" w:right="0" w:hanging="0"/>
              <w:jc w:val="left"/>
              <w:rPr>
                <w:color w:val="000000"/>
              </w:rPr>
            </w:pPr>
            <w:r>
              <w:rPr>
                <w:color w:val="000000"/>
              </w:rPr>
              <w:t>South Korea</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color w:val="000000"/>
              </w:rPr>
            </w:pPr>
            <w:r>
              <w:rPr>
                <w:color w:val="000000"/>
              </w:rPr>
              <w:t>130.2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0"/>
              <w:jc w:val="right"/>
              <w:rPr>
                <w:color w:val="000000"/>
              </w:rPr>
            </w:pPr>
            <w:r>
              <w:rPr>
                <w:color w:val="000000"/>
              </w:rPr>
              <w:t>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color w:val="000000"/>
              </w:rPr>
            </w:pPr>
            <w:r>
              <w:rPr>
                <w:color w:val="000000"/>
              </w:rPr>
              <w:t>163.7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0"/>
              <w:jc w:val="right"/>
              <w:rPr>
                <w:color w:val="000000"/>
              </w:rPr>
            </w:pPr>
            <w:r>
              <w:rPr>
                <w:color w:val="000000"/>
              </w:rPr>
              <w:t>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color w:val="000000"/>
              </w:rPr>
            </w:pPr>
            <w:r>
              <w:rPr>
                <w:color w:val="000000"/>
              </w:rPr>
              <w:t>236.1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0"/>
              <w:jc w:val="right"/>
              <w:rPr>
                <w:color w:val="000000"/>
              </w:rPr>
            </w:pPr>
            <w:r>
              <w:rPr>
                <w:color w:val="000000"/>
              </w:rPr>
              <w:t>12</w:t>
            </w:r>
          </w:p>
        </w:tc>
        <w:tc>
          <w:tcPr>
            <w:tcW w:w="215" w:type="dxa"/>
            <w:tcBorders/>
            <w:vAlign w:val="bottom"/>
          </w:tcPr>
          <w:p>
            <w:pPr>
              <w:pStyle w:val="TableContents"/>
              <w:bidi w:val="0"/>
              <w:spacing w:before="0" w:after="283"/>
              <w:jc w:val="left"/>
              <w:rPr/>
            </w:pPr>
            <w:r>
              <w:rPr/>
              <w:t> </w:t>
            </w:r>
          </w:p>
        </w:tc>
      </w:tr>
      <w:tr>
        <w:trPr/>
        <w:tc>
          <w:tcPr>
            <w:tcW w:w="2360" w:type="dxa"/>
            <w:tcBorders/>
            <w:shd w:fill="CCEEFF" w:val="clear"/>
            <w:vAlign w:val="bottom"/>
          </w:tcPr>
          <w:p>
            <w:pPr>
              <w:pStyle w:val="TableContents"/>
              <w:bidi w:val="0"/>
              <w:spacing w:before="0" w:after="0"/>
              <w:ind w:left="180" w:right="0" w:hanging="0"/>
              <w:jc w:val="left"/>
              <w:rPr>
                <w:color w:val="000000"/>
              </w:rPr>
            </w:pPr>
            <w:r>
              <w:rPr>
                <w:color w:val="000000"/>
              </w:rPr>
              <w:t>Hong Kong/Taiwan</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color w:val="000000"/>
              </w:rPr>
            </w:pPr>
            <w:r>
              <w:rPr>
                <w:color w:val="000000"/>
              </w:rPr>
              <w:t>117.4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0"/>
              <w:jc w:val="right"/>
              <w:rPr>
                <w:color w:val="000000"/>
              </w:rPr>
            </w:pPr>
            <w:r>
              <w:rPr>
                <w:color w:val="000000"/>
              </w:rPr>
              <w:t>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color w:val="000000"/>
              </w:rPr>
            </w:pPr>
            <w:r>
              <w:rPr>
                <w:color w:val="000000"/>
              </w:rPr>
              <w:t>130.6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0"/>
              <w:jc w:val="right"/>
              <w:rPr>
                <w:color w:val="000000"/>
              </w:rPr>
            </w:pPr>
            <w:r>
              <w:rPr>
                <w:color w:val="000000"/>
              </w:rPr>
              <w:t>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color w:val="000000"/>
              </w:rPr>
            </w:pPr>
            <w:r>
              <w:rPr>
                <w:color w:val="000000"/>
              </w:rPr>
              <w:t>153.6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0"/>
              <w:jc w:val="right"/>
              <w:rPr>
                <w:color w:val="000000"/>
              </w:rPr>
            </w:pPr>
            <w:r>
              <w:rPr>
                <w:color w:val="000000"/>
              </w:rPr>
              <w:t>8</w:t>
            </w:r>
          </w:p>
        </w:tc>
        <w:tc>
          <w:tcPr>
            <w:tcW w:w="215" w:type="dxa"/>
            <w:tcBorders/>
            <w:shd w:fill="CCEEFF" w:val="clear"/>
            <w:vAlign w:val="bottom"/>
          </w:tcPr>
          <w:p>
            <w:pPr>
              <w:pStyle w:val="TableContents"/>
              <w:bidi w:val="0"/>
              <w:spacing w:before="0" w:after="283"/>
              <w:jc w:val="left"/>
              <w:rPr/>
            </w:pPr>
            <w:r>
              <w:rPr/>
              <w:t> </w:t>
            </w:r>
          </w:p>
        </w:tc>
      </w:tr>
      <w:tr>
        <w:trPr/>
        <w:tc>
          <w:tcPr>
            <w:tcW w:w="2360" w:type="dxa"/>
            <w:tcBorders/>
            <w:vAlign w:val="bottom"/>
          </w:tcPr>
          <w:p>
            <w:pPr>
              <w:pStyle w:val="TableContents"/>
              <w:bidi w:val="0"/>
              <w:spacing w:before="0" w:after="0"/>
              <w:ind w:left="180" w:right="0" w:hanging="0"/>
              <w:jc w:val="left"/>
              <w:rPr>
                <w:color w:val="000000"/>
              </w:rPr>
            </w:pPr>
            <w:r>
              <w:rPr>
                <w:color w:val="000000"/>
              </w:rPr>
              <w:t>Other</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4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3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4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3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4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(0.9</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3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215" w:type="dxa"/>
            <w:tcBorders/>
            <w:vAlign w:val="bottom"/>
          </w:tcPr>
          <w:p>
            <w:pPr>
              <w:pStyle w:val="TableContents"/>
              <w:bidi w:val="0"/>
              <w:spacing w:before="0" w:after="283"/>
              <w:jc w:val="left"/>
              <w:rPr/>
            </w:pPr>
            <w:r>
              <w:rPr/>
              <w:t> </w:t>
            </w:r>
          </w:p>
        </w:tc>
      </w:tr>
      <w:tr>
        <w:trPr/>
        <w:tc>
          <w:tcPr>
            <w:tcW w:w="2360" w:type="dxa"/>
            <w:tcBorders/>
            <w:shd w:fill="CCEEFF" w:val="clear"/>
            <w:vAlign w:val="bottom"/>
          </w:tcPr>
          <w:p>
            <w:pPr>
              <w:pStyle w:val="TableContents"/>
              <w:bidi w:val="0"/>
              <w:spacing w:before="0" w:after="0"/>
              <w:jc w:val="left"/>
              <w:rPr>
                <w:i/>
                <w:color w:val="000000"/>
              </w:rPr>
            </w:pPr>
            <w:r>
              <w:rPr>
                <w:i/>
                <w:color w:val="000000"/>
              </w:rPr>
              <w:t>Total Nu Skin</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color w:val="000000"/>
              </w:rPr>
            </w:pPr>
            <w:r>
              <w:rPr>
                <w:color w:val="000000"/>
              </w:rPr>
              <w:t>1,261.6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0"/>
              <w:jc w:val="right"/>
              <w:rPr>
                <w:color w:val="000000"/>
              </w:rPr>
            </w:pPr>
            <w:r>
              <w:rPr>
                <w:color w:val="000000"/>
              </w:rPr>
              <w:t>85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color w:val="000000"/>
              </w:rPr>
            </w:pPr>
            <w:r>
              <w:rPr>
                <w:color w:val="000000"/>
              </w:rPr>
              <w:t>1,445.5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0"/>
              <w:jc w:val="right"/>
              <w:rPr>
                <w:color w:val="000000"/>
              </w:rPr>
            </w:pPr>
            <w:r>
              <w:rPr>
                <w:color w:val="000000"/>
              </w:rPr>
              <w:t>83</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color w:val="000000"/>
              </w:rPr>
            </w:pPr>
            <w:r>
              <w:rPr>
                <w:color w:val="000000"/>
              </w:rPr>
              <w:t>1,752.5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0"/>
              <w:jc w:val="right"/>
              <w:rPr>
                <w:color w:val="000000"/>
              </w:rPr>
            </w:pPr>
            <w:r>
              <w:rPr>
                <w:color w:val="000000"/>
              </w:rPr>
              <w:t>89</w:t>
            </w:r>
          </w:p>
        </w:tc>
        <w:tc>
          <w:tcPr>
            <w:tcW w:w="215" w:type="dxa"/>
            <w:tcBorders/>
            <w:shd w:fill="CCEEFF" w:val="clear"/>
            <w:vAlign w:val="bottom"/>
          </w:tcPr>
          <w:p>
            <w:pPr>
              <w:pStyle w:val="TableContents"/>
              <w:bidi w:val="0"/>
              <w:spacing w:before="0" w:after="283"/>
              <w:jc w:val="left"/>
              <w:rPr/>
            </w:pPr>
            <w:r>
              <w:rPr/>
              <w:t> </w:t>
            </w:r>
          </w:p>
        </w:tc>
      </w:tr>
      <w:tr>
        <w:trPr/>
        <w:tc>
          <w:tcPr>
            <w:tcW w:w="2360" w:type="dxa"/>
            <w:tcBorders/>
            <w:vAlign w:val="bottom"/>
          </w:tcPr>
          <w:p>
            <w:pPr>
              <w:pStyle w:val="TableContents"/>
              <w:bidi w:val="0"/>
              <w:spacing w:before="0" w:after="0"/>
              <w:jc w:val="left"/>
              <w:rPr>
                <w:i/>
                <w:color w:val="000000"/>
              </w:rPr>
            </w:pPr>
            <w:r>
              <w:rPr>
                <w:i/>
                <w:color w:val="000000"/>
              </w:rPr>
              <w:t>Rhyz</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r>
      <w:tr>
        <w:trPr/>
        <w:tc>
          <w:tcPr>
            <w:tcW w:w="2360" w:type="dxa"/>
            <w:tcBorders/>
            <w:shd w:fill="CCEEFF" w:val="clear"/>
            <w:vAlign w:val="bottom"/>
          </w:tcPr>
          <w:p>
            <w:pPr>
              <w:pStyle w:val="TableContents"/>
              <w:bidi w:val="0"/>
              <w:spacing w:before="0" w:after="0"/>
              <w:ind w:left="180" w:right="0" w:hanging="0"/>
              <w:jc w:val="left"/>
              <w:rPr>
                <w:color w:val="000000"/>
              </w:rPr>
            </w:pPr>
            <w:r>
              <w:rPr>
                <w:color w:val="000000"/>
              </w:rPr>
              <w:t>Manufacturing</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color w:val="000000"/>
              </w:rPr>
            </w:pPr>
            <w:r>
              <w:rPr>
                <w:color w:val="000000"/>
              </w:rPr>
              <w:t>205.8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0"/>
              <w:jc w:val="right"/>
              <w:rPr>
                <w:color w:val="000000"/>
              </w:rPr>
            </w:pPr>
            <w:r>
              <w:rPr>
                <w:color w:val="000000"/>
              </w:rPr>
              <w:t>14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color w:val="000000"/>
              </w:rPr>
            </w:pPr>
            <w:r>
              <w:rPr>
                <w:color w:val="000000"/>
              </w:rPr>
              <w:t>201.4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0"/>
              <w:jc w:val="right"/>
              <w:rPr>
                <w:color w:val="000000"/>
              </w:rPr>
            </w:pPr>
            <w:r>
              <w:rPr>
                <w:color w:val="000000"/>
              </w:rPr>
              <w:t>12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color w:val="000000"/>
              </w:rPr>
            </w:pPr>
            <w:r>
              <w:rPr>
                <w:color w:val="000000"/>
              </w:rPr>
              <w:t>181.4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0"/>
              <w:jc w:val="right"/>
              <w:rPr>
                <w:color w:val="000000"/>
              </w:rPr>
            </w:pPr>
            <w:r>
              <w:rPr>
                <w:color w:val="000000"/>
              </w:rPr>
              <w:t>9</w:t>
            </w:r>
          </w:p>
        </w:tc>
        <w:tc>
          <w:tcPr>
            <w:tcW w:w="215" w:type="dxa"/>
            <w:tcBorders/>
            <w:shd w:fill="CCEEFF" w:val="clear"/>
            <w:vAlign w:val="bottom"/>
          </w:tcPr>
          <w:p>
            <w:pPr>
              <w:pStyle w:val="TableContents"/>
              <w:bidi w:val="0"/>
              <w:spacing w:before="0" w:after="283"/>
              <w:jc w:val="left"/>
              <w:rPr/>
            </w:pPr>
            <w:r>
              <w:rPr/>
              <w:t> </w:t>
            </w:r>
          </w:p>
        </w:tc>
      </w:tr>
      <w:tr>
        <w:trPr/>
        <w:tc>
          <w:tcPr>
            <w:tcW w:w="2360" w:type="dxa"/>
            <w:tcBorders/>
            <w:vAlign w:val="bottom"/>
          </w:tcPr>
          <w:p>
            <w:pPr>
              <w:pStyle w:val="TableContents"/>
              <w:bidi w:val="0"/>
              <w:spacing w:before="0" w:after="0"/>
              <w:ind w:left="180" w:right="0" w:hanging="0"/>
              <w:jc w:val="left"/>
              <w:rPr>
                <w:color w:val="000000"/>
              </w:rPr>
            </w:pPr>
            <w:r>
              <w:rPr>
                <w:color w:val="000000"/>
              </w:rPr>
              <w:t>Rhyz Other</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4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3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4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3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4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35.2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3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w:t>
            </w:r>
          </w:p>
        </w:tc>
        <w:tc>
          <w:tcPr>
            <w:tcW w:w="215" w:type="dxa"/>
            <w:tcBorders/>
            <w:vAlign w:val="bottom"/>
          </w:tcPr>
          <w:p>
            <w:pPr>
              <w:pStyle w:val="TableContents"/>
              <w:bidi w:val="0"/>
              <w:spacing w:before="0" w:after="283"/>
              <w:jc w:val="left"/>
              <w:rPr/>
            </w:pPr>
            <w:r>
              <w:rPr/>
              <w:t> </w:t>
            </w:r>
          </w:p>
        </w:tc>
      </w:tr>
      <w:tr>
        <w:trPr/>
        <w:tc>
          <w:tcPr>
            <w:tcW w:w="2360" w:type="dxa"/>
            <w:tcBorders/>
            <w:shd w:fill="CCEEFF" w:val="clear"/>
            <w:vAlign w:val="bottom"/>
          </w:tcPr>
          <w:p>
            <w:pPr>
              <w:pStyle w:val="TableContents"/>
              <w:bidi w:val="0"/>
              <w:spacing w:before="0" w:after="0"/>
              <w:jc w:val="left"/>
              <w:rPr>
                <w:i/>
                <w:color w:val="000000"/>
              </w:rPr>
            </w:pPr>
            <w:r>
              <w:rPr>
                <w:i/>
                <w:color w:val="000000"/>
              </w:rPr>
              <w:t>Total Rhyz</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223.6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286.6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216.6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w:t>
            </w:r>
          </w:p>
        </w:tc>
        <w:tc>
          <w:tcPr>
            <w:tcW w:w="215" w:type="dxa"/>
            <w:tcBorders/>
            <w:shd w:fill="CCEEFF" w:val="clear"/>
            <w:vAlign w:val="bottom"/>
          </w:tcPr>
          <w:p>
            <w:pPr>
              <w:pStyle w:val="TableContents"/>
              <w:bidi w:val="0"/>
              <w:spacing w:before="0" w:after="283"/>
              <w:jc w:val="left"/>
              <w:rPr/>
            </w:pPr>
            <w:r>
              <w:rPr/>
              <w:t> </w:t>
            </w:r>
          </w:p>
        </w:tc>
      </w:tr>
      <w:tr>
        <w:trPr/>
        <w:tc>
          <w:tcPr>
            <w:tcW w:w="2360" w:type="dxa"/>
            <w:tcBorders/>
            <w:vAlign w:val="bottom"/>
          </w:tcPr>
          <w:p>
            <w:pPr>
              <w:pStyle w:val="TableContents"/>
              <w:bidi w:val="0"/>
              <w:spacing w:before="0" w:after="0"/>
              <w:ind w:left="180" w:right="0" w:hanging="0"/>
              <w:jc w:val="left"/>
              <w:rPr>
                <w:color w:val="000000"/>
              </w:rPr>
            </w:pPr>
            <w:r>
              <w:rPr>
                <w:color w:val="000000"/>
              </w:rPr>
              <w:t>Total</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4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1,485.2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38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100</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4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1,732.1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38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100</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4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1,969.1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38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100</w:t>
            </w:r>
          </w:p>
        </w:tc>
        <w:tc>
          <w:tcPr>
            <w:tcW w:w="215"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Additional comparative revenue and related financial information is presented in Note 16 to the consolidated financial statements contained in this report.</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bookmarkStart w:id="8" w:name="REGULATION"/>
      <w:bookmarkEnd w:id="8"/>
      <w:r>
        <w:rPr>
          <w:rFonts w:ascii="Times New Roman" w:hAnsi="Times New Roman"/>
          <w:b/>
          <w:color w:val="000000"/>
          <w:sz w:val="20"/>
          <w:shd w:fill="FFFFFF" w:val="clear"/>
        </w:rPr>
        <w:t>REGULATION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business is subject to various laws and regulations globally, particularly with respect to our direct selling business models and our product categories. In addition, as a United States entity operating through subsidiaries in foreign jurisdictions, we are subject to foreign exchange control, transfer pricing and customs laws that regulate the flow of funds between us and our subsidiaries and for product purchases, management services and contractual obligations, such as the payment of sales commissions. As is the case with most companies in our industry, we receive inquiries from time to time from government regulatory authorities regarding the nature of our business and other issues, such as compliance with local direct selling, transfer pricing, customs, taxation, foreign exchange control, securities and other laws.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Direct Selling Regulations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Direct selling is regulated by various national, state and local government agencies in the United States and foreign markets. These laws and regulations are generally intended to prevent fraudulent or deceptive schemes, including “pyramid” schemes, which compensate participants primarily for recruiting additional participants without significant emphasis on product sales to consumers. The laws and regulations in our current markets generally:</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impose requirements related to order cancellations, product returns, inventory buy-backs and cooling-off periods for our sales force and consumers;</w:t>
            </w:r>
          </w:p>
        </w:tc>
      </w:tr>
    </w:tbl>
    <w:tbl>
      <w:tblPr>
        <w:tblW w:w="6558" w:type="dxa"/>
        <w:jc w:val="left"/>
        <w:tblInd w:w="0" w:type="dxa"/>
        <w:tblLayout w:type="fixed"/>
        <w:tblCellMar>
          <w:top w:w="0" w:type="dxa"/>
          <w:left w:w="0" w:type="dxa"/>
          <w:bottom w:w="0" w:type="dxa"/>
          <w:right w:w="0" w:type="dxa"/>
        </w:tblCellMar>
      </w:tblPr>
      <w:tblGrid>
        <w:gridCol w:w="38"/>
        <w:gridCol w:w="170"/>
        <w:gridCol w:w="635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6350" w:type="dxa"/>
            <w:tcBorders/>
            <w:vAlign w:val="center"/>
          </w:tcPr>
          <w:p>
            <w:pPr>
              <w:pStyle w:val="TableContents"/>
              <w:bidi w:val="0"/>
              <w:spacing w:before="0" w:after="0"/>
              <w:jc w:val="both"/>
              <w:rPr>
                <w:color w:val="000000"/>
              </w:rPr>
            </w:pPr>
            <w:r>
              <w:rPr>
                <w:color w:val="000000"/>
              </w:rPr>
              <w:t>require us, or our sales force, to register with government agencies;</w:t>
            </w:r>
          </w:p>
        </w:tc>
      </w:tr>
    </w:tbl>
    <w:tbl>
      <w:tblPr>
        <w:tblW w:w="7098" w:type="dxa"/>
        <w:jc w:val="left"/>
        <w:tblInd w:w="0" w:type="dxa"/>
        <w:tblLayout w:type="fixed"/>
        <w:tblCellMar>
          <w:top w:w="0" w:type="dxa"/>
          <w:left w:w="0" w:type="dxa"/>
          <w:bottom w:w="0" w:type="dxa"/>
          <w:right w:w="0" w:type="dxa"/>
        </w:tblCellMar>
      </w:tblPr>
      <w:tblGrid>
        <w:gridCol w:w="38"/>
        <w:gridCol w:w="170"/>
        <w:gridCol w:w="689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6890" w:type="dxa"/>
            <w:tcBorders/>
            <w:vAlign w:val="center"/>
          </w:tcPr>
          <w:p>
            <w:pPr>
              <w:pStyle w:val="TableContents"/>
              <w:bidi w:val="0"/>
              <w:spacing w:before="0" w:after="0"/>
              <w:jc w:val="both"/>
              <w:rPr>
                <w:color w:val="000000"/>
              </w:rPr>
            </w:pPr>
            <w:r>
              <w:rPr>
                <w:color w:val="000000"/>
              </w:rPr>
              <w:t>impose limits on the amount and type of sales compensation we can pay;</w:t>
            </w:r>
          </w:p>
        </w:tc>
      </w:tr>
    </w:tbl>
    <w:tbl>
      <w:tblPr>
        <w:tblW w:w="3573" w:type="dxa"/>
        <w:jc w:val="left"/>
        <w:tblInd w:w="0" w:type="dxa"/>
        <w:tblLayout w:type="fixed"/>
        <w:tblCellMar>
          <w:top w:w="0" w:type="dxa"/>
          <w:left w:w="0" w:type="dxa"/>
          <w:bottom w:w="0" w:type="dxa"/>
          <w:right w:w="0" w:type="dxa"/>
        </w:tblCellMar>
      </w:tblPr>
      <w:tblGrid>
        <w:gridCol w:w="38"/>
        <w:gridCol w:w="170"/>
        <w:gridCol w:w="336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3365" w:type="dxa"/>
            <w:tcBorders/>
            <w:vAlign w:val="center"/>
          </w:tcPr>
          <w:p>
            <w:pPr>
              <w:pStyle w:val="TableContents"/>
              <w:bidi w:val="0"/>
              <w:spacing w:before="0" w:after="0"/>
              <w:jc w:val="both"/>
              <w:rPr>
                <w:color w:val="000000"/>
              </w:rPr>
            </w:pPr>
            <w:r>
              <w:rPr>
                <w:color w:val="000000"/>
              </w:rPr>
              <w:t>impose reporting requirements; and</w:t>
            </w:r>
          </w:p>
        </w:tc>
      </w:tr>
    </w:tbl>
    <w:tbl>
      <w:tblPr>
        <w:tblW w:w="8943" w:type="dxa"/>
        <w:jc w:val="left"/>
        <w:tblInd w:w="0" w:type="dxa"/>
        <w:tblLayout w:type="fixed"/>
        <w:tblCellMar>
          <w:top w:w="0" w:type="dxa"/>
          <w:left w:w="0" w:type="dxa"/>
          <w:bottom w:w="0" w:type="dxa"/>
          <w:right w:w="0" w:type="dxa"/>
        </w:tblCellMar>
      </w:tblPr>
      <w:tblGrid>
        <w:gridCol w:w="38"/>
        <w:gridCol w:w="170"/>
        <w:gridCol w:w="873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8735" w:type="dxa"/>
            <w:tcBorders/>
            <w:vAlign w:val="center"/>
          </w:tcPr>
          <w:p>
            <w:pPr>
              <w:pStyle w:val="TableContents"/>
              <w:bidi w:val="0"/>
              <w:spacing w:before="0" w:after="0"/>
              <w:jc w:val="both"/>
              <w:rPr>
                <w:color w:val="000000"/>
              </w:rPr>
            </w:pPr>
            <w:r>
              <w:rPr>
                <w:color w:val="000000"/>
              </w:rPr>
              <w:t>require that our sales force is compensated for sales of products and not for recruiting others.</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laws and regulations governing direct selling may be modified or reinterpreted from time to time, which may cause us to modify our sales compensation and business models. In almost all of our markets, regulations are subject to discretionary interpretation by regulators and judicial authorities. There is often ambiguity and uncertainty with respect to the state of direct selling and anti-pyramiding laws and regulations. In the United States, for example, federal law provides law enforcement agencies, such as the Federal Trade Commission (“FTC”), broad latitude in policing unfair or deceptive trade practices, but does not provide a bright-line test for identifying a pyramid scheme. A number of states have passed legislation that more clearly distinguishes between illegal pyramid schemes and legitimate multi-level marketing business models. During the past several years, settlements and other judicial orders between the FTC and other direct selling companies and guidance from the FTC have addressed inappropriate earnings and lifestyle claims, problematic compensation structures and the importance of focusing on consumers. In addition, in 2025, the FTC issued a Notice of Proposed Rulemaking (“NPR”) and an Advanced Notice of Proposed Rulemaking (“ANPR”) regarding potential rules governing earnings claims for multi-level marketers. The NPR proposes to prohibit multi-level marketers from making deceptive earnings claims, and it would require them to have written substantiation to back up any earnings claims and make that substantiation available to consumers upon request. The ANPR indicates that the FTC is considering additional restrictions on earnings claims and recruiting by multi-level marketers. For more information about these matters, other regulatory actions, and their potential impact on our business, see Item 1A. Risk Factors—“Challenges to the form of our network marketing system or to our business practices have harmed and could continue to harm our business” and “Direct selling laws and regulations vary globally, are subject to interpretation or change, and may prohibit or severely restrict direct selling and cause our revenue and profitability to decline.”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regulatory environment in Mainland China is particularly complex and continues to evolve. Mainland China’s direct selling and anti-pyramiding regulations contain various restrictions, including a prohibition on the payment of multi-level compensation. The regulations are subject to discretionary interpretation by state, provincial and local regulators as well as local customs and practices. Regulators continue to act cautiously as they monitor the development of direct selling in Mainland China. To expand our direct selling model into additional provinces in Mainland China, we currently must obtain a series of approvals from the local Department of Commerce in such provinces, the Shanghai Municipal Commission of Commerce (our supervisory authority), as well as the Ministry of Commerce, PRC (“MOFCOM”), which is the national governmental authority overseeing direct selling. In the course of obtaining these approvals, the respective authorities under MOFCOM must also consult and seek opinions on our business operations from the Ministry of Public Security and the Administration for Market Regulation at both provincial and state levels. Government authorities have not been issuing new licenses for direct selling since 2019.</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operations in Mainland China are subject to significant government and media scrutiny and investigations. At times, investigations and other regulatory actions have limited our ability to conduct business in Mainland China. For example, the government’s scrutiny of activities within the health products and direct selling industries has been at higher levels since 2019, when the government conducted a 100-day campaign to review and inspect the health products and direct selling industries following negative media coverage about healthcare-related product claims made by another direct selling company in Mainland China. Since this time, we have been receiving and addressing an increased number of government reviews, inspections, and inquiries and consumer complaints in Mainland China; our ability to hold certain business meetings has been limited; and negative media coverage has spread to include additional companies, including ours. Another example occurred in 2014. In response to media and government scrutiny of our Mainland China business in 2014, we voluntarily took a number of actions in Mainland China, including temporarily suspending our business meetings, temporarily suspending acceptance of applications for any new sales representatives, and extending our product refund and return policies. These voluntary measures and the adverse publicity had a significant negative impact on our business. We face a risk that future investigations and other regulatory actions may result in fines, revocation of licenses or other significant sanctions.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Several markets, including Mainland China, South Korea, Indonesia and Vietnam, impose limits on the amount of sales compensation we can pay to our sales force. For example, under regulations in Mainland China, direct selling companies may pay independent direct sellers in Mainland China up to a maximum 30% of the revenue they generate through their own sales of products to consumers. Additionally, in South Korea, local regulations limit sales compensation to 35% of the total price of goods or services supplied in South Korea. We have implemented various measures to comply with these limits.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some markets, regulations applicable to the activities of our Sales Leaders may affect our business because we are, or regulators may assert that we are, responsible for our Sales Leaders’ conduct. In these markets, regulators may request or require that we take steps to ensure that our Sales Leaders comply with local regulations. For example, in Japan, we have taken steps to comply with strict requirements regarding how Brand Affiliates approach prospective customers. From time to time, we receive information from consumer centers in certain prefectures about the number of general inquiries and complaints about us and our Brand Affiliates, and we also sometimes receive warnings to reduce such complaints. Based on this information, we continually evaluate and enhance our Brand Affiliate compliance, education and training efforts in Japan.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sales force is required to comply with work authorization and other local legal requirements prior to working in a market. Some markets, including Mainland China, Vietnam and India also prohibit or restrict participation of overseas personnel or foreigners in direct selling activities. We cannot ensure that actions of our sales force will not violate local laws or regulations.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Please refer to Item 1A. Risk Factors for more information on regulatory and other risks associated with our business.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Product Regulations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beauty and wellness products and related promotional and marketing activities are subject to extensive government regulation by numerous federal, state, and local government agencies and authorities, including the United States Food and Drug Administration (the “FDA”), the Federal Trade Commission (the “FTC”), the Consumer Product Safety Commission, the Department of Agriculture, United States and State Attorneys General, and state regulatory agencies in the United States, as well as the State Administration for Market Regulation in Mainland China, the Food and Drug Administration in Taiwan, the Ministry of Food and Drug Safety in South Korea, the Ministry of Health, Labour and Welfare in Japan, and similar government agencies in all other markets in which we operate. In the United States, the FDA regulates the formulation, manufacture and labeling of over-the-counter (“OTC”) drugs, cosmetics, dietary supplements, foods and medical devices such as those that we distribute.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Regulation of Beauty Products in the United States.</w:t>
      </w:r>
      <w:r>
        <w:rPr>
          <w:rFonts w:ascii="Times New Roman" w:hAnsi="Times New Roman"/>
          <w:color w:val="000000"/>
          <w:sz w:val="20"/>
          <w:shd w:fill="FFFFFF" w:val="clear"/>
        </w:rPr>
        <w:t xml:space="preserve"> Our beauty products are subject to various laws and regulations that regulate cosmetic and personal care products and set forth regulations that, among other things, determine whether a product can be marketed as a “cosmetic” or requires further submissions as an OTC drug. In the United States, the regulation of cosmetic content and labeling is under the primary jurisdiction of the FDA. Cosmetics are not subject to pre-market approval by the FDA, but their ingredients and labeling content are regulated by the FDA. Those who sell cosmetics have the burden to ensure their products are safe for use as directed and not adulterated or misbranded. The labeling of cosmetic products is subject to the requirements of the Federal Food, Drug, and Cosmetic Act (“FDCA”), the Fair Packaging and Labeling Act and other FDA regulations. In 2024, the FDA began implementing portions of the Modernization of Cosmetics Regulation Act of 2022 (“MoCRA”). This implementation creates a greater burden for cosmetic facility registration and audits, mandates product notifications for cosmetics, allergen labeling declarations, and mandates the reporting of serious adverse events to the FDA. Rollout of MoCRA is expected to continue for the coming years. Failure to correctly interpret and comply with the new requirements could lead to government actions against us and an associated impairment to our business.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FDCA defines cosmetics by their intended use, as “articles intended to be rubbed, poured, sprinkled, or sprayed on, introduced into, or otherwise applied to the human body . . . for cleansing, beautifying, promoting attractiveness, or altering the appearance . . . .” Among the products included in this definition are skin moisturizers, perfumes, lipsticks, fingernail polishes, eye and facial makeup preparations, shampoos, permanent waves, hair colors, toothpastes and deodorants, as well as material intended for use as a component of a cosmetic product. A product may be considered a drug or a medical device if it is intended for use in the diagnosis, cure, mitigation, treatment, or prevention of disease, or is intended to affect the structure or any function of the body (“structure/function claims”). A product’s intended use can be inferred from marketing or product claims, and regulators may consider the marketing claims of our sales force. Structure/function claims are generally prohibited for cosmetic products as are disease prevention and treatment claims. The FDA prohibits certain ingredients from being included in cosmetic products. It is possible that cosmetic product ingredients now commonly in use may be restricted or prohibited in the future as more is learned about such ingredients.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recent years, the FDA has issued warning letters to many cosmetic companies alleging improper structure/function claims regarding their cosmetic products, including, for example, product claims regarding gene activity, cellular rejuvenation, and rebuilding collagen. Cosmetic companies confront difficulty in determining whether a claim would be considered by the FDA to be an improper structure/function claim. Given this difficulty, and our research and product development focus on the sources of aging and the influence of certain ingredients on gene expression, there is a risk that we could receive a warning letter, be required to modify our product claims, or take other actions to satisfy the FDA if the FDA determines any of our marketing materials contain improper structure/function claims for our cosmetic products. In addition, plaintiffs’ lawyers have filed class action lawsuits against some of our competitors after our competitors received these FDA warning letters. There can be no assurance that we will not be subject to government actions or lawsuits, which could harm our business.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Certain products, such as sunscreens and acne treatments, are classified as OTC drugs (and cosmetics, depending on claims) and have specific ingredient, labeling and manufacturing requirements. OTC drug products may be marketed if they conform to the requirements of an FDA-established OTC drug monograph that is applicable to that drug. Drug products not conforming to monograph requirements require an approved New Drug Application (“NDA”) before marketing may begin. Under these provisions, if the agency were to find that a product or ingredient of one of our OTC drug products is not generally recognized as safe and effective or is not included in a final monograph that is applicable to one of our OTC drug products, we may be required to reformulate or cease marketing that product until it is the subject of an approved NDA or until the time, if ever, that the monograph is amended to include such product. The labeling of these products is subject to the requirements of the FDCA and the Fair Packaging and Labeling Act and other FDA regulations.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 xml:space="preserve">Regulation of Beauty Products in Other Markets. </w:t>
      </w:r>
      <w:r>
        <w:rPr>
          <w:rFonts w:ascii="Times New Roman;Times;serif" w:hAnsi="Times New Roman;Times;serif"/>
          <w:color w:val="000000"/>
          <w:sz w:val="20"/>
          <w:shd w:fill="FFFFFF" w:val="clear"/>
        </w:rPr>
        <w:t>The other markets in which we operate have similar regulations. In Mainland China, beauty products, other than devices, are placed into one of two categories, “special-purpose cosmetics” and “general cosmetics.” Products in both categories require adequate substantiation of efficacy, which must be made available to authorities prior to marketing a product and which can be reviewed and enforced upon at any time thereafter. The product registration process for some categories of beauty products in Mainland China takes three to six months to complete under the latest regulations governing cosmetics. Certain cosmetics are categorized as “special cosmetics” and carry a more unpredictable process and approval timing frequently in excess of two years. In Japan, the Ministry of Health, Labour and Welfare regulates the sale and distribution of cosmetics and requires us to have an import business license and to register each beauty product imported into Japan. In Taiwan, all “medicated” cosmetic products require registration. In South Korea, only cosmetics that either underwent examination by or have been reported to the Ministry of Food and Drug Safety as functional cosmetics can be claimed and advertised as “functional” cosmetics. The sale of cosmetic products is regulated in the European Union (the “EU”) under the EU Cosmetics Regulation, which requires a uniform application for foreign companies placing finished beauty products on the European market. Similar regulations in any of our markets may limit our ability to import products or utilize key ingredients or technologies globally and may delay product launches while the registration and approval process is pending. Changing regulations may require us to stop selling, discontinue, or reformulate and re-register products in order to sell those products.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 xml:space="preserve">Regulation of Wellness Products in the United States. </w:t>
      </w:r>
      <w:r>
        <w:rPr>
          <w:rFonts w:ascii="Times New Roman" w:hAnsi="Times New Roman"/>
          <w:color w:val="000000"/>
          <w:sz w:val="20"/>
          <w:shd w:fill="FFFFFF" w:val="clear"/>
        </w:rPr>
        <w:t>Our wellness products are also subject to applicable regulations of government agencies in the markets in which we operate. In the United States, we generally market our wellness products as conventional foods or dietary supplements. The FDA has jurisdiction over this regulatory area. The FDA imposes specific requirements for the labels and labeling of food and dietary supplements, including the requirements of the Food Allergen Labeling and Consumer Protection Act of 2004, which mandates declaration of the presence of major food allergens. In addition, the Public Health Security and Bioterrorism Preparedness and Response Act of 2002 contains requirements with regard to the sale and importation of food products in the United States.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FDA Food Safety Modernization Act (“FSMA”), which was signed into law in 2011, also increased the FDA’s authority with respect to food safety and made significant changes to the FDCA with respect to strengthening the U.S. food safety system. It enables the FDA to focus more on preventing food safety problems rather than primarily reacting to problems after they occur. The law also provides the FDA with enforcement authority designed to achieve higher rates of compliance with prevention- and risk-based food safety standards and to better respond to and contain problems when they do occur. The law also gives the FDA important tools to hold imported foods to the same standards as domestic foods and directs the FDA to build an integrated national food safety system in partnership with state and local authorities. The FDA is actively enforcing FSMA requirements, subjecting food and nutritional supplements to increased regulatory scrutiny. Pursuant to FSMA, the FDA is authorized, among other things, to order mandatory recalls, issue “administrative detention” orders, and revoke manufacturing facility registrations (effectively preventing the operation of a food or dietary supplement manufacturing facility), and importers of foods and nutritional supplements are subject to Foreign Supplier Verification Program requirements.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FDA regulates dietary supplements principally under the Dietary Supplement Health and Education Act of 1994 (“DSHEA”). DSHEA formally defines what may be sold as a dietary supplement, defines statements of nutritional support and the conditions under which they may lawfully be used, and includes provisions that permit the FDA to regulate manufacturing practices and labeling claims applicable to dietary supplements. Because most of our wellness products are regulated under DSHEA, we generally are not required to obtain regulatory approval prior to introducing a dietary supplement into the United States market. We are, however, obligated to notify the FDA, prior to marketing a product, of any structure/function claims that we intend to make about the product in any product-related materials.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Generally, under DSHEA, dietary ingredients that were on the market before October 15, 1994 may be used in dietary supplements without notifying the FDA. However, a “new” dietary ingredient (i.e., a dietary ingredient that was not marketed in the United States before October 15, 1994) must be the subject of a new dietary ingredient notification submitted to the FDA unless the ingredient has been “present in the food supply as an article used for food” without having been “chemically altered.” The enforcement of the term “chemically altered” has and continues to evolve within the FDA. As such, an ingredient that is deemed today not to be “chemically altered” may be viewed otherwise in the future, which could lead to our being required to reformulate or cease marketing the product until such time that we can find a suitable replacement. A new dietary ingredient notification must provide the FDA with evidence of a “history of use or other evidence of safety” which establishes that use of the dietary ingredient “will reasonably be expected to be safe.” A new dietary ingredient notification must be submitted to the FDA at least 75 days before the new dietary ingredient can be marketed. Under DSHEA, the FDA may seek to remove from the market any new dietary ingredient that the FDA determines to be unsafe. In addition, the FDA may also deem a dietary supplement an unapproved drug where the marketing claims made in connection with the sale or promotion of the product effectively place it in the drug category.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From time to time, efforts are made by some individuals or groups to repeal DSHEA. If this were to happen, significant burdens would be imposed on our product development, and the costs of running our business would increase significantly.</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Regulation of Wellness Products Globally.</w:t>
      </w:r>
      <w:r>
        <w:rPr>
          <w:rFonts w:ascii="Times New Roman" w:hAnsi="Times New Roman"/>
          <w:color w:val="000000"/>
          <w:sz w:val="20"/>
          <w:shd w:fill="FFFFFF" w:val="clear"/>
        </w:rPr>
        <w:t xml:space="preserve"> In our foreign markets, nutritional supplements are generally regulated by similar government agencies, such as the Mainland China State Administration for Market Regulation; the South Korea Ministry of Food and Drug Safety; the Japan Ministry of Health, Labour and Welfare; and the Taiwan Department of Health. We typically market our wellness products in international markets as foods, health foods, dietary supplements, food supplements or other similar categorizations under applicable regulatory regimes. With few exceptions, in the event a product or ingredient is classified as a drug or pharmaceutical product in any market, we will generally not be able to distribute that product in that market through our distribution channel because of pre-market approvals and strict regulations applicable to drug and pharmaceutical products. Mainland China also has highly restrictive nutritional supplement product regulations. A vast majority of products marketed as “health foods” are subject to extensive laboratory and clinical analysis by government authorities, and the product registration process in Mainland China takes a minimum of two years and may be substantially longer. In some cases it has taken us four years or longer to obtain product registrations. A pre-market process has been established for a minority of “health foods,” which allows products with specifically approved nutritional ingredients (such as some vitamins and minerals) to undergo a filing process rather than the full registration process. We market both “health foods” and “general foods” in Mainland China. There is some risk associated with the common practice in Mainland China of marketing a product as a “general food” without any health food claims while applying to the authorities for “health food” classification. If government officials feel the categorization of our products is inconsistent with product claims, form of delivery, ingredients or function, this could end or limit our ability to market such products in Mainland China in their current form. In addition, we are not permitted to market or sell “general foods” through our direct sales channel in Mainland China and any efforts by our independent direct sellers to do so could result in negative publicity, fines and other government sanctions being imposed against us.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markets in which we operate all have varied regulations that distinguish foods and nutritional supplements from “pharmaceutical products.” Because of the varied regulations, some products or ingredients that are recognized as “food” in certain markets may be treated as “pharmaceutical” in other markets. In Japan, for example, if a specified ingredient is not listed as a “food” by the Ministry of Health and Welfare, we must either modify the product to eliminate or substitute that ingredient or petition the government to treat such ingredient as a food. We experience similar issues in our other markets. This is particularly a challenge in Europe, where regulations often still differ from member state to member state, despite EU regulations designed to harmonize the laws of EU member states. Recent activity to harmonize national laws governing maximum vitamin and mineral levels could restrict our ability to continue using the current formulations of our products. With markets in the Association of Southeast Asian Nations (“ASEAN”), certain member states have amended some of their requirements in anticipation of the harmonization of ASEAN supplement regulations, even though these changes may not be identical to the eventual ASEAN requirements nor consistent with other member states. As a result, we often must modify the ingredients and/or the levels of ingredients in our products for certain markets or create unique formulations for multiple markets. In some circumstances, the regulations in foreign markets may require us to obtain regulatory approval prior to the introduction of a new product or limit our use of certain ingredients altogether.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Because of negative publicity associated with some adulterated or misbranded supplements, including pharmaceutical drugs marketed as dietary supplements, there has been an increased movement in the United States and other markets to expand the regulation of dietary supplements, which could lead to additional restrictions or requirements in the future. In general, the regulatory environment is becoming more complex with increasingly stricter regulations each year.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Manufacturing Process.</w:t>
      </w:r>
      <w:r>
        <w:rPr>
          <w:rFonts w:ascii="Times New Roman" w:hAnsi="Times New Roman"/>
          <w:color w:val="000000"/>
          <w:sz w:val="20"/>
          <w:shd w:fill="FFFFFF" w:val="clear"/>
        </w:rPr>
        <w:t xml:space="preserve"> In 2007, and as subsequently updated under the regulations implementing the FSMA, the FDA established regulations to require current “good manufacturing practices” for dietary supplements and food products in the United States. The regulations ensure that dietary supplements and food products are produced in a quality manner, do not contain contaminants or impurities above pre-established levels, and are accurately labeled. The regulations include requirements for establishing quality control procedures for us and our vendors and suppliers, designing and constructing manufacturing plants, and testing ingredients and finished products throughout our supply chain. The regulations also include requirements for record keeping and handling consumer product complaints. If dietary supplements or food products contain contaminants or allergens or do not contain the type or quantity of dietary ingredient they are represented to contain, the FDA would consider those products to be adulterated or misbranded. Our business is subject to additional FDA regulations, such as new dietary ingredient regulations and adverse event reporting regulations that require us to document and track adverse events and report serious adverse events that involve hospitalization, permanent impairment or death associated with consumers’ use of certain of our products. Compliance with these regulations has increased, and may further increase, the cost of manufacturing and selling certain of our products as we incur internal costs, oversee and inspect more aspects of third-party manufacturing and work with our vendors to assure they are in compliance and maintain accurate recordkeeping to establish controls. Failure to comply with good manufacturing practices could also result in product recalls.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Advertising and Product Claims.</w:t>
      </w:r>
      <w:r>
        <w:rPr>
          <w:rFonts w:ascii="Times New Roman" w:hAnsi="Times New Roman"/>
          <w:color w:val="000000"/>
          <w:sz w:val="20"/>
          <w:shd w:fill="FFFFFF" w:val="clear"/>
        </w:rPr>
        <w:t xml:space="preserve"> Most of our major markets regulate advertising and product claims regarding the efficacy and quality of products and require adequate and reliable scientific substantiation of all product claims. In most of our foreign markets, we are typically not able to make any “medicinal” claims with respect to our wellness products. In some cases, such regulations may limit our ability to inform consumers of some of the benefits our products offer.</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the United States, the FDA generally prohibits disease diagnosis, prevention and treatment claims when made for a dietary supplement. DSHEA, however, permits substantiated, truthful and non-misleading “statements of nutritional support” to be included in labeling for dietary supplements without FDA pre-approval. Such statements may describe how a particular dietary ingredient affects the structure, function or general well-being of the body, or the mechanism of action by which a dietary ingredient may affect the structure, function or well-being of the body, but such statements may not state that a dietary supplement will reduce the risk or incidence of a disease unless such claim has been reviewed and approved by the FDA. In addition, the FDA permits companies to use FDA-approved full and qualified health claims for products containing specific ingredients that meet stated requirements.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company that uses a statement of nutritional support in labeling must possess evidence substantiating that the statement is truthful and not misleading. The FDA has issued guidance defining a manufacturer’s obligations to substantiate structure/function claims. Such statements, when used in labeling, must also be submitted to the FDA no later than 30 days after first marketing the product with the statement that they possess the necessary evidence and must be accompanied by an FDA mandated label disclaimer that “This statement has not been evaluated by the FDA. This product is not intended to diagnose, treat, cure or prevent any disease.” There can be no assurance, however, that the FDA or FTC will not determine that a particular statement of nutritional support that we want to use is an unacceptable disease claim or an unauthorized nutrient-disease relationship claim otherwise permitted with FDA approval as a “health claim” or that such claims have competent and reliable scientific evidence. Such a determination might prevent the use of such a claim or result in enforcement by the FDA.</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From time to time, there are unfavorable media reports regarding dietary supplements, which call for the repeal or amendment of DSHEA. Individuals or groups that are opposed to supplements or question their safety or efficacy attempt, from time to time, to use these media reports to propose legislation intended to amend or repeal DSHEA. Some of the legislative proposals may include variations on premarket approval, enhanced premarket safety or substantiation required and changing the definition of a “dietary ingredient” to remove either botanicals or selected classes of ingredients now treated as dietary ingredients.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Most of the other markets in which we operate have not adopted legislation like DSHEA, and we may be subject to more restrictive limitations on the claims we can make about our products in these markets. For example, in Japan, most of our nutritional supplements are marketed as food products, which significantly limits our ability to make claims regarding these products. If marketing materials produced or used by us or our sales force make claims that exceed the scope of allowed claims for nutritional supplements, the FDA or other regulatory authorities could deem our products to be unapproved drugs. In Mainland China and Europe, we also face significant restrictions on our ability to make product claims regarding the efficacy of our products. Violations, alleged violations, or negative media attention related to our compliance with these restrictions could harm consumers’ perception of our business and products and could negatively impact the registration, licensing status and sales of our products.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FTC, which exercises primary jurisdiction over the advertising of all of our products in the United States, has instituted enforcement actions against dietary supplement, food, and cosmetic companies for, among other things, deceptive advertising and lack of adequate scientific substantiation for claims. We also face limitations on our use of the scientific experts who have helped us develop and test some of our products. In the United States, for example, the FTC’s Guides Concerning the Use of Endorsements and Testimonials in Advertising may restrict marketing to those results obtained by a “typical” consumer and require disclosure of any material connections between an endorser and the company or products they are endorsing. In Mainland China, some media outlets have questioned the nature and extent of our connections with our Scientific Advisory Board and others who have helped in developing our scientific approach or testing our products. This negative publicity could harm consumers’ perception of our business and our products, which could negatively impact our revenue. We cannot be sure that the FTC, or comparable foreign agencies, will not question our advertising or other operations in the future.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recent years, the FTC has initiated numerous investigations of and actions against companies that sell dietary supplements and cosmetic products. The FTC may enforce compliance with the law in a variety of ways, both administratively and judicially, using compulsory process, cease and desist orders, and injunctions. FTC enforcement can result in consent decrees or orders requiring, among other things, injunctive provisions, corrective advertising, consumer redress, and such other relief as the agency deems necessary to protect the public. Violation of these consent decrees or orders could result in substantial financial or other penalties. The FTC also sends warning letters as it monitors companies’ activities. In addition, during 2023, the FTC sent notices of penalty offense to nearly 700 companies, including us, regarding the requirement of sufficient substantiation for product claims. Pursuant to the FTC’s “penalty offense authority,” companies that received the notice are expected to comply with the standards set in the FTC’s prior administrative cases on this topic, and they could incur significant civil penalties if they or their representatives fail to do so. No assurance can be given that the FTC will not question our advertising or other operations in the United States in the future. Any action in the future by the FTC could materially and adversely affect our ability to successfully market our products in the United States.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connection with investigations that occurred in the 1990s of certain alleged unsubstantiated product and earnings claims made by our Brand Affiliates, we entered into two consent decrees with the FTC and various agreements with state regulatory agencies. The consent decrees require us to, among other things, supplement our procedures to enforce our policies, not allow our Brand Affiliates to make earnings representations without making certain average earnings disclosures and not allow our Brand Affiliates to make unsubstantiated product claims. The FTC could initiate an enforcement action to the extent the FTC determines that our advertising or promotional practices are deceptive or contrary to the requirements of the consent decrees.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Regulation of Medical Devices.</w:t>
      </w:r>
      <w:r>
        <w:rPr>
          <w:rFonts w:ascii="Times New Roman;Times;serif" w:hAnsi="Times New Roman;Times;serif"/>
          <w:color w:val="000000"/>
          <w:sz w:val="20"/>
          <w:shd w:fill="FFFFFF" w:val="clear"/>
        </w:rPr>
        <w:t> Our </w:t>
      </w:r>
      <w:r>
        <w:rPr>
          <w:rFonts w:ascii="Times New Roman;Times;serif" w:hAnsi="Times New Roman;Times;serif"/>
          <w:i/>
          <w:color w:val="000000"/>
          <w:sz w:val="20"/>
          <w:shd w:fill="FFFFFF" w:val="clear"/>
        </w:rPr>
        <w:t>Nu Skin Facial Spa</w:t>
      </w:r>
      <w:r>
        <w:rPr>
          <w:rFonts w:ascii="Times New Roman;Times;serif" w:hAnsi="Times New Roman;Times;serif"/>
          <w:color w:val="000000"/>
          <w:sz w:val="20"/>
          <w:shd w:fill="FFFFFF" w:val="clear"/>
        </w:rPr>
        <w:t> and </w:t>
      </w:r>
      <w:r>
        <w:rPr>
          <w:rFonts w:ascii="Times New Roman;Times;serif" w:hAnsi="Times New Roman;Times;serif"/>
          <w:i/>
          <w:color w:val="000000"/>
          <w:sz w:val="20"/>
          <w:shd w:fill="FFFFFF" w:val="clear"/>
        </w:rPr>
        <w:t>Nu Skin RenuSpa iO</w:t>
      </w:r>
      <w:r>
        <w:rPr>
          <w:rFonts w:ascii="Times New Roman;Times;serif" w:hAnsi="Times New Roman;Times;serif"/>
          <w:color w:val="000000"/>
          <w:sz w:val="20"/>
          <w:shd w:fill="FFFFFF" w:val="clear"/>
        </w:rPr>
        <w:t> devices were cleared for marketing through the FDA’s 510(k) process. Medical devices are highly regulated by the FDA. Manufacturers of medical devices must register and list their products with the FDA annually, whether they are located domestically or overseas. Foreign jurisdictions may take note of the fact that we have registered a medical device in the United States and require us to register in their market as well. The FDA has broad regulatory powers in the areas of clinical testing, manufacturing and labeling of medical devices. Medical devices must be labeled in accordance with the FDA’s general device labeling requirements and whatever particular label requirements the FDA may designate for that type of device.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medical device manufacturers must adhere to certain “good manufacturing practices” in accordance with the FDA’s Quality System Regulation, which regulates the manufacture of medical devices, prescribes record-keeping procedures and provides for the routine inspection of facilities for compliance with such regulations. If in connection with these inspections, the FDA believes the manufacturer has failed to comply with applicable regulations and/or procedures, it may issue observations that would necessitate prompt corrective action. If the FDA inspection observations are not addressed and/or corrective action taken in a timely manner and to the FDA’s satisfaction, the FDA may issue a warning letter (which would similarly necessitate prompt corrective action) and/or proceed directly to other forms of enforcement action. Failure to respond timely to FDA inspection observations, a warning letter or other notice of noncompliance and to promptly come into compliance could result in the FDA bringing enforcement action against us, which could include the shutdown of our production facilities, denial of importation rights to the United States for products manufactured in overseas locations and criminal and civil fines.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Our </w:t>
      </w:r>
      <w:r>
        <w:rPr>
          <w:rFonts w:ascii="Times New Roman" w:hAnsi="Times New Roman"/>
          <w:i/>
          <w:color w:val="000000"/>
          <w:sz w:val="20"/>
          <w:shd w:fill="FFFFFF" w:val="clear"/>
        </w:rPr>
        <w:t>Pharmanex BioPhotonic Scanner, Prysm iO,</w:t>
      </w:r>
      <w:r>
        <w:rPr>
          <w:rFonts w:ascii="Times New Roman" w:hAnsi="Times New Roman"/>
          <w:color w:val="000000"/>
          <w:sz w:val="20"/>
          <w:shd w:fill="FFFFFF" w:val="clear"/>
        </w:rPr>
        <w:t xml:space="preserve"> and future device products may be subject to the regulations of various health, consumer-protection and other government authorities around the world. These regulations vary from market to market and affect whether our products are required to be registered as medical devices, the claims that can be made with respect to these products, who can use them, and where they can be used. The interpretation of the line between medical devices and non-medical devices in each country is subjective and varied, as well as subject to change based on industry precedent, influence from the medical device sector, and other factors. Our connected devices are subject to specific testing, certification, and/or registration governing the connectivity to mobile devices. We have been required to register our </w:t>
      </w:r>
      <w:r>
        <w:rPr>
          <w:rFonts w:ascii="Times New Roman" w:hAnsi="Times New Roman"/>
          <w:i/>
          <w:color w:val="000000"/>
          <w:sz w:val="20"/>
          <w:shd w:fill="FFFFFF" w:val="clear"/>
        </w:rPr>
        <w:t>ageLOC Galvanic Facial Spa</w:t>
      </w:r>
      <w:r>
        <w:rPr>
          <w:rFonts w:ascii="Times New Roman" w:hAnsi="Times New Roman"/>
          <w:color w:val="000000"/>
          <w:sz w:val="20"/>
          <w:shd w:fill="FFFFFF" w:val="clear"/>
        </w:rPr>
        <w:t xml:space="preserve"> and </w:t>
      </w:r>
      <w:r>
        <w:rPr>
          <w:rFonts w:ascii="Times New Roman" w:hAnsi="Times New Roman"/>
          <w:i/>
          <w:color w:val="000000"/>
          <w:sz w:val="20"/>
          <w:shd w:fill="FFFFFF" w:val="clear"/>
        </w:rPr>
        <w:t>ageLOC Body Spa</w:t>
      </w:r>
      <w:r>
        <w:rPr>
          <w:rFonts w:ascii="Times New Roman" w:hAnsi="Times New Roman"/>
          <w:color w:val="000000"/>
          <w:sz w:val="20"/>
          <w:shd w:fill="FFFFFF" w:val="clear"/>
        </w:rPr>
        <w:t xml:space="preserve"> systems as medical devices in a few markets, and we also have received clearance from the FDA to market our </w:t>
      </w:r>
      <w:r>
        <w:rPr>
          <w:rFonts w:ascii="Times New Roman" w:hAnsi="Times New Roman"/>
          <w:i/>
          <w:color w:val="000000"/>
          <w:sz w:val="20"/>
          <w:shd w:fill="FFFFFF" w:val="clear"/>
        </w:rPr>
        <w:t>Nu Skin Facial Spa</w:t>
      </w:r>
      <w:r>
        <w:rPr>
          <w:rFonts w:ascii="Times New Roman" w:hAnsi="Times New Roman"/>
          <w:color w:val="000000"/>
          <w:sz w:val="20"/>
          <w:shd w:fill="FFFFFF" w:val="clear"/>
        </w:rPr>
        <w:t xml:space="preserve"> and our </w:t>
      </w:r>
      <w:r>
        <w:rPr>
          <w:rFonts w:ascii="Times New Roman" w:hAnsi="Times New Roman"/>
          <w:i/>
          <w:color w:val="000000"/>
          <w:sz w:val="20"/>
          <w:shd w:fill="FFFFFF" w:val="clear"/>
        </w:rPr>
        <w:t>Nu Skin RenuSpa iO</w:t>
      </w:r>
      <w:r>
        <w:rPr>
          <w:rFonts w:ascii="Times New Roman" w:hAnsi="Times New Roman"/>
          <w:color w:val="000000"/>
          <w:sz w:val="20"/>
          <w:shd w:fill="FFFFFF" w:val="clear"/>
        </w:rPr>
        <w:t xml:space="preserve"> devices for over-the-counter use. We have registered </w:t>
      </w:r>
      <w:r>
        <w:rPr>
          <w:rFonts w:ascii="Times New Roman" w:hAnsi="Times New Roman"/>
          <w:i/>
          <w:color w:val="000000"/>
          <w:sz w:val="20"/>
          <w:shd w:fill="FFFFFF" w:val="clear"/>
        </w:rPr>
        <w:t>ageLOC Boost</w:t>
      </w:r>
      <w:r>
        <w:rPr>
          <w:rFonts w:ascii="Times New Roman" w:hAnsi="Times New Roman"/>
          <w:color w:val="000000"/>
          <w:sz w:val="20"/>
          <w:shd w:fill="FFFFFF" w:val="clear"/>
        </w:rPr>
        <w:t xml:space="preserve"> and </w:t>
      </w:r>
      <w:r>
        <w:rPr>
          <w:rFonts w:ascii="Times New Roman" w:hAnsi="Times New Roman"/>
          <w:i/>
          <w:color w:val="000000"/>
          <w:sz w:val="20"/>
          <w:shd w:fill="FFFFFF" w:val="clear"/>
        </w:rPr>
        <w:t>Nu Skin WellSpa iO</w:t>
      </w:r>
      <w:r>
        <w:rPr>
          <w:rFonts w:ascii="Times New Roman" w:hAnsi="Times New Roman"/>
          <w:color w:val="000000"/>
          <w:sz w:val="20"/>
          <w:shd w:fill="FFFFFF" w:val="clear"/>
        </w:rPr>
        <w:t xml:space="preserve"> as medical devices in Thailand. We have been subject to regulatory inquiries in the United States, Japan and other markets with respect to the status of the </w:t>
      </w:r>
      <w:r>
        <w:rPr>
          <w:rFonts w:ascii="Times New Roman" w:hAnsi="Times New Roman"/>
          <w:i/>
          <w:color w:val="000000"/>
          <w:sz w:val="20"/>
          <w:shd w:fill="FFFFFF" w:val="clear"/>
        </w:rPr>
        <w:t>Pharmanex BioPhotonic Scanner</w:t>
      </w:r>
      <w:r>
        <w:rPr>
          <w:rFonts w:ascii="Times New Roman" w:hAnsi="Times New Roman"/>
          <w:color w:val="000000"/>
          <w:sz w:val="20"/>
          <w:shd w:fill="FFFFFF" w:val="clear"/>
        </w:rPr>
        <w:t xml:space="preserve"> as a non-medical device. Any determination that medical device clearance is required for one of our products, in a market where we currently market and sell such product as a cosmetic or non-medical device, could require us to expend significant time and resources in order to meet the additional stringent standards imposed on medical device companies or prevent us from marketing the product.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Under applicable direct selling regulations in Mainland China, our </w:t>
      </w:r>
      <w:r>
        <w:rPr>
          <w:rFonts w:ascii="Times New Roman" w:hAnsi="Times New Roman"/>
          <w:i/>
          <w:color w:val="000000"/>
          <w:sz w:val="20"/>
          <w:shd w:fill="FFFFFF" w:val="clear"/>
        </w:rPr>
        <w:t>Pharmanex BioPhotonic Scanner</w:t>
      </w:r>
      <w:r>
        <w:rPr>
          <w:rFonts w:ascii="Times New Roman" w:hAnsi="Times New Roman"/>
          <w:color w:val="000000"/>
          <w:sz w:val="20"/>
          <w:shd w:fill="FFFFFF" w:val="clear"/>
        </w:rPr>
        <w:t xml:space="preserve">, </w:t>
      </w:r>
      <w:r>
        <w:rPr>
          <w:rFonts w:ascii="Times New Roman" w:hAnsi="Times New Roman"/>
          <w:i/>
          <w:color w:val="000000"/>
          <w:sz w:val="20"/>
          <w:shd w:fill="FFFFFF" w:val="clear"/>
        </w:rPr>
        <w:t>ageLOC LumiSpa</w:t>
      </w:r>
      <w:r>
        <w:rPr>
          <w:rFonts w:ascii="Times New Roman" w:hAnsi="Times New Roman"/>
          <w:color w:val="000000"/>
          <w:sz w:val="20"/>
          <w:shd w:fill="FFFFFF" w:val="clear"/>
        </w:rPr>
        <w:t xml:space="preserve">, </w:t>
      </w:r>
      <w:r>
        <w:rPr>
          <w:rFonts w:ascii="Times New Roman" w:hAnsi="Times New Roman"/>
          <w:i/>
          <w:color w:val="000000"/>
          <w:sz w:val="20"/>
          <w:shd w:fill="FFFFFF" w:val="clear"/>
        </w:rPr>
        <w:t>ageLOC Galvanic Facial Spa</w:t>
      </w:r>
      <w:r>
        <w:rPr>
          <w:rFonts w:ascii="Times New Roman" w:hAnsi="Times New Roman"/>
          <w:color w:val="000000"/>
          <w:sz w:val="20"/>
          <w:shd w:fill="FFFFFF" w:val="clear"/>
        </w:rPr>
        <w:t xml:space="preserve"> and </w:t>
      </w:r>
      <w:r>
        <w:rPr>
          <w:rFonts w:ascii="Times New Roman" w:hAnsi="Times New Roman"/>
          <w:i/>
          <w:color w:val="000000"/>
          <w:sz w:val="20"/>
          <w:shd w:fill="FFFFFF" w:val="clear"/>
        </w:rPr>
        <w:t>ageLOC Body Spa</w:t>
      </w:r>
      <w:r>
        <w:rPr>
          <w:rFonts w:ascii="Times New Roman" w:hAnsi="Times New Roman"/>
          <w:color w:val="000000"/>
          <w:sz w:val="20"/>
          <w:shd w:fill="FFFFFF" w:val="clear"/>
        </w:rPr>
        <w:t xml:space="preserve"> systems are registered as “health care equipment” or “household appliances,” which enables us to market and sell them through our direct sales channel in that market. The process for registering products for the direct sales channel in Mainland China is subject to delays. However, this process and registration requirement do not apply to all of our sales channels in Mainland China; although our independent direct sellers are prohibited from earning commissions by selling products that are not so registered, sales by our sales employees or independent marketers are not subject to this requirement. Please refer to Item 1A. Risk Factors for more information on the regulatory risks associated with our device products.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bookmarkStart w:id="9" w:name="COMPETITION"/>
      <w:bookmarkEnd w:id="9"/>
      <w:r>
        <w:rPr>
          <w:rFonts w:ascii="Times New Roman" w:hAnsi="Times New Roman"/>
          <w:b/>
          <w:color w:val="000000"/>
          <w:sz w:val="20"/>
          <w:shd w:fill="FFFFFF" w:val="clear"/>
        </w:rPr>
        <w:t>COMPETITION</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Products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markets for our products are highly competitive. Our competitors include a broad array of marketers of beauty and wellness products and pharmaceutical companies, many of which have longer operating histories and greater name recognition and financial resources than we do. We compete in these markets by emphasizing the innovation, value and premium quality of our products and the reach, convenience and customer servicing of our distribution system. The personal touch our sales force provides is a key differentiator in our approach to sharing products with and retaining consumers.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Direct Selling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compete with other direct selling companies, some of which have a longer operating history and greater visibility, name recognition and financial resources than we do. Leading global direct selling companies include Amway, Natura &amp; Co and Herbalife. We also compete with local direct selling companies in the markets in which we operate. We compete with these companies to attract and retain our sales force and consumers based on the strength of our product offerings, sales compensation, multiple business opportunities, management and international operations.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bookmarkStart w:id="10" w:name="RHYZCOMPANIES"/>
      <w:bookmarkEnd w:id="10"/>
      <w:r>
        <w:rPr>
          <w:rFonts w:ascii="Times New Roman" w:hAnsi="Times New Roman"/>
          <w:b/>
          <w:color w:val="000000"/>
          <w:sz w:val="20"/>
          <w:shd w:fill="FFFFFF" w:val="clear"/>
        </w:rPr>
        <w:t>RHYZ COMPANIES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addition to our core Nu Skin business, we also explore new areas of synergistic and adjacent growth through our strategic investment arm known as Rhyz Inc. Our Rhyz businesses, which are reported in two segments, primarily consist of the following consumer, technology and manufacturing companies:</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Rhyz Manufacturing Segment:</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Elevate Nutraceuticals LLC, dba Elevate Health Sciences—a manufacturer of private-label dietary supplements.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Ingredient Innovations International Company, dba 3i Solutions—a manufacturing technology company, making ingredients more bioavailable and shelf stable across food, beverage, supplements and personal care products.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L&amp;W Holdings, Inc., dba CasePak—a packaging company that consults with product developers to design, develop, and source packaging.</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Wasatch Product Development, LLC—a developer and manufacturer of personal care products, dietary supplements and functional foods.</w:t>
            </w:r>
          </w:p>
        </w:tc>
      </w:tr>
    </w:tbl>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Rhyz Other Segment:</w:t>
      </w:r>
    </w:p>
    <w:tbl>
      <w:tblPr>
        <w:tblW w:w="9918" w:type="dxa"/>
        <w:jc w:val="left"/>
        <w:tblInd w:w="0" w:type="dxa"/>
        <w:tblLayout w:type="fixed"/>
        <w:tblCellMar>
          <w:top w:w="0" w:type="dxa"/>
          <w:left w:w="0" w:type="dxa"/>
          <w:bottom w:w="0" w:type="dxa"/>
          <w:right w:w="0" w:type="dxa"/>
        </w:tblCellMar>
      </w:tblPr>
      <w:tblGrid>
        <w:gridCol w:w="38"/>
        <w:gridCol w:w="170"/>
        <w:gridCol w:w="971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710" w:type="dxa"/>
            <w:tcBorders/>
            <w:vAlign w:val="center"/>
          </w:tcPr>
          <w:p>
            <w:pPr>
              <w:pStyle w:val="TableContents"/>
              <w:bidi w:val="0"/>
              <w:spacing w:before="0" w:after="0"/>
              <w:jc w:val="both"/>
              <w:rPr>
                <w:color w:val="000000"/>
              </w:rPr>
            </w:pPr>
            <w:r>
              <w:rPr>
                <w:color w:val="000000"/>
              </w:rPr>
              <w:t>Beauty Biosciences LLC—a beauty company that sells its products through digital and retail channels.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pPr>
            <w:r>
              <w:rPr>
                <w:color w:val="000000"/>
              </w:rPr>
              <w:t>LifeDNA, Inc.—a</w:t>
            </w:r>
            <w:r>
              <w:rPr/>
              <w:t> </w:t>
            </w:r>
            <w:r>
              <w:rPr>
                <w:color w:val="000000"/>
              </w:rPr>
              <w:t>DNA assessment and recommendation technology company that we believe holds potential for our broader personalization strategy.</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Until January 2025, the Rhyz Other segment additionally included MyFavoriteThings, Inc., dba Mavely, a social commerce platform. As previously announced, we sold this business in January 2025. Mavely accounted for $69.6 million of our 2024 reported revenue. Also as previously announced, we are currently evaluating strategic opportunities with LifeDNA, including potentially divesting it, to maximize our return on investment.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2025, the Rhyz companies generated $223.6 million, or 15%, of our 2025 reported revenue (excluding sales to our core Nu Skin business). Rhyz is a key component of our business, and these companies enable us to optimize our cost of goods, improve lead times, diversify our revenue mix, and create synergies for our brands.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bookmarkStart w:id="11" w:name="HUMANCAPITALRESOURCES"/>
      <w:bookmarkEnd w:id="11"/>
      <w:r>
        <w:rPr>
          <w:rFonts w:ascii="Times New Roman" w:hAnsi="Times New Roman"/>
          <w:b/>
          <w:color w:val="000000"/>
          <w:sz w:val="20"/>
          <w:shd w:fill="FFFFFF" w:val="clear"/>
        </w:rPr>
        <w:t>HUMAN CAPITAL RESOURCES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December 31, 2025, we had approximately 2,800 full- and part-time employees worldwide. This does not include approximately 5,800 sales employees in our Mainland China operations. We have statutory employee representation obligations in certain markets, and our employees are represented by labor unions where expressly required by law, including in Mainland China where substantially all of our employees are registered as members of the required labor union in that market. We believe that our relationship with our employees is good, and we do not foresee a shortage in qualified personnel necessary to operate our business.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human capital priorities include the following: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Capability—Hiring, Engagement, Development and Retention.</w:t>
      </w:r>
      <w:r>
        <w:rPr>
          <w:rFonts w:ascii="Times New Roman" w:hAnsi="Times New Roman"/>
          <w:color w:val="000000"/>
          <w:sz w:val="20"/>
          <w:shd w:fill="FFFFFF" w:val="clear"/>
        </w:rPr>
        <w:t xml:space="preserve"> We seek to hire and retain employees with the talents and capabilities to succeed at our company. The level of competition for qualified employees is high, owing to employment market trends both internationally and in Utah, where our corporate headquarters are located. These conditions have made it difficult to fill some job positions and retain employees. We address this issue by building a strong employer brand, allowing remote work options to reach potential employees in other locations, and providing competitive compensation and benefits. In addition, our hiring and retention efforts must be consistent with our overall business size and strategy. We also conduct leadership talent reviews and succession planning to identify and assess potential successors for key leadership positions across the company. These talent management processes result in identifying individual and group capabilities and development actions which are used to build current and future leadership capability for the company.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Developing our employees and keeping them engaged is crucial. We pursue these objectives by providing leadership training, encouraging managers to conduct one-on-one meetings with employees, holding town hall meetings to promote dialogue between management and employees, and reinforcing the Nu Skin Way to maintain an invigorating and attractive culture. We conduct a global employee experience survey every six months to obtain our employees’ feedback, which helps to guide our human capital initiatives and to maintain robust employee engagement.</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Culture—A High-Performance and High-Engagement Work Environment.</w:t>
      </w:r>
      <w:r>
        <w:rPr>
          <w:rFonts w:ascii="Times New Roman" w:hAnsi="Times New Roman"/>
          <w:color w:val="000000"/>
          <w:sz w:val="20"/>
          <w:shd w:fill="FFFFFF" w:val="clear"/>
        </w:rPr>
        <w:t xml:space="preserve"> All of our full- and part-time employees are responsible for upholding the Nu Skin Code of Conduct and for striving to follow the Nu Skin Way, our global culture aspiration, which includes the following principles:</w:t>
      </w:r>
    </w:p>
    <w:p>
      <w:pPr>
        <w:pStyle w:val="TextBody"/>
        <w:bidi w:val="0"/>
        <w:spacing w:before="0" w:after="0"/>
        <w:jc w:val="left"/>
        <w:rPr/>
      </w:pPr>
      <w:r>
        <w:rPr/>
      </w:r>
    </w:p>
    <w:tbl>
      <w:tblPr>
        <w:tblW w:w="3845" w:type="dxa"/>
        <w:jc w:val="left"/>
        <w:tblInd w:w="0" w:type="dxa"/>
        <w:tblLayout w:type="fixed"/>
        <w:tblCellMar>
          <w:top w:w="0" w:type="dxa"/>
          <w:left w:w="0" w:type="dxa"/>
          <w:bottom w:w="0" w:type="dxa"/>
          <w:right w:w="0" w:type="dxa"/>
        </w:tblCellMar>
      </w:tblPr>
      <w:tblGrid>
        <w:gridCol w:w="75"/>
        <w:gridCol w:w="170"/>
        <w:gridCol w:w="1835"/>
        <w:gridCol w:w="170"/>
        <w:gridCol w:w="15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both"/>
              <w:rPr>
                <w:color w:val="000000"/>
              </w:rPr>
            </w:pPr>
            <w:r>
              <w:rPr>
                <w:color w:val="000000"/>
              </w:rPr>
              <w:t>●</w:t>
            </w:r>
          </w:p>
        </w:tc>
        <w:tc>
          <w:tcPr>
            <w:tcW w:w="1835" w:type="dxa"/>
            <w:tcBorders/>
            <w:vAlign w:val="center"/>
          </w:tcPr>
          <w:p>
            <w:pPr>
              <w:pStyle w:val="TableContents"/>
              <w:bidi w:val="0"/>
              <w:spacing w:before="0" w:after="0"/>
              <w:jc w:val="both"/>
              <w:rPr>
                <w:color w:val="000000"/>
              </w:rPr>
            </w:pPr>
            <w:r>
              <w:rPr>
                <w:color w:val="000000"/>
              </w:rPr>
              <w:t>Force for good</w:t>
            </w:r>
          </w:p>
        </w:tc>
        <w:tc>
          <w:tcPr>
            <w:tcW w:w="170" w:type="dxa"/>
            <w:tcBorders/>
            <w:vAlign w:val="center"/>
          </w:tcPr>
          <w:p>
            <w:pPr>
              <w:pStyle w:val="TableContents"/>
              <w:bidi w:val="0"/>
              <w:spacing w:before="0" w:after="0"/>
              <w:jc w:val="both"/>
              <w:rPr>
                <w:color w:val="000000"/>
              </w:rPr>
            </w:pPr>
            <w:r>
              <w:rPr>
                <w:color w:val="000000"/>
              </w:rPr>
              <w:t>●</w:t>
            </w:r>
          </w:p>
        </w:tc>
        <w:tc>
          <w:tcPr>
            <w:tcW w:w="1595" w:type="dxa"/>
            <w:tcBorders/>
            <w:vAlign w:val="center"/>
          </w:tcPr>
          <w:p>
            <w:pPr>
              <w:pStyle w:val="TableContents"/>
              <w:bidi w:val="0"/>
              <w:spacing w:before="0" w:after="0"/>
              <w:jc w:val="both"/>
              <w:rPr>
                <w:color w:val="000000"/>
              </w:rPr>
            </w:pPr>
            <w:r>
              <w:rPr>
                <w:color w:val="000000"/>
              </w:rPr>
              <w:t>Own it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both"/>
              <w:rPr>
                <w:color w:val="000000"/>
              </w:rPr>
            </w:pPr>
            <w:r>
              <w:rPr>
                <w:color w:val="000000"/>
              </w:rPr>
              <w:t>●</w:t>
            </w:r>
          </w:p>
        </w:tc>
        <w:tc>
          <w:tcPr>
            <w:tcW w:w="1835" w:type="dxa"/>
            <w:tcBorders/>
            <w:vAlign w:val="center"/>
          </w:tcPr>
          <w:p>
            <w:pPr>
              <w:pStyle w:val="TableContents"/>
              <w:bidi w:val="0"/>
              <w:spacing w:before="0" w:after="0"/>
              <w:jc w:val="both"/>
              <w:rPr>
                <w:color w:val="000000"/>
              </w:rPr>
            </w:pPr>
            <w:r>
              <w:rPr>
                <w:color w:val="000000"/>
              </w:rPr>
              <w:t>Innovate</w:t>
            </w:r>
          </w:p>
        </w:tc>
        <w:tc>
          <w:tcPr>
            <w:tcW w:w="170" w:type="dxa"/>
            <w:tcBorders/>
            <w:vAlign w:val="center"/>
          </w:tcPr>
          <w:p>
            <w:pPr>
              <w:pStyle w:val="TableContents"/>
              <w:bidi w:val="0"/>
              <w:spacing w:before="0" w:after="0"/>
              <w:jc w:val="both"/>
              <w:rPr>
                <w:color w:val="000000"/>
              </w:rPr>
            </w:pPr>
            <w:r>
              <w:rPr>
                <w:color w:val="000000"/>
              </w:rPr>
              <w:t>●</w:t>
            </w:r>
          </w:p>
        </w:tc>
        <w:tc>
          <w:tcPr>
            <w:tcW w:w="1595" w:type="dxa"/>
            <w:tcBorders/>
            <w:vAlign w:val="center"/>
          </w:tcPr>
          <w:p>
            <w:pPr>
              <w:pStyle w:val="TableContents"/>
              <w:bidi w:val="0"/>
              <w:spacing w:before="0" w:after="0"/>
              <w:jc w:val="both"/>
              <w:rPr>
                <w:color w:val="000000"/>
              </w:rPr>
            </w:pPr>
            <w:r>
              <w:rPr>
                <w:color w:val="000000"/>
              </w:rPr>
              <w:t>All in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both"/>
              <w:rPr>
                <w:color w:val="000000"/>
              </w:rPr>
            </w:pPr>
            <w:r>
              <w:rPr>
                <w:color w:val="000000"/>
              </w:rPr>
              <w:t>●</w:t>
            </w:r>
          </w:p>
        </w:tc>
        <w:tc>
          <w:tcPr>
            <w:tcW w:w="1835" w:type="dxa"/>
            <w:tcBorders/>
            <w:vAlign w:val="center"/>
          </w:tcPr>
          <w:p>
            <w:pPr>
              <w:pStyle w:val="TableContents"/>
              <w:bidi w:val="0"/>
              <w:spacing w:before="0" w:after="0"/>
              <w:jc w:val="both"/>
              <w:rPr>
                <w:color w:val="000000"/>
              </w:rPr>
            </w:pPr>
            <w:r>
              <w:rPr>
                <w:color w:val="000000"/>
              </w:rPr>
              <w:t>Lead</w:t>
            </w:r>
          </w:p>
        </w:tc>
        <w:tc>
          <w:tcPr>
            <w:tcW w:w="170" w:type="dxa"/>
            <w:tcBorders/>
            <w:vAlign w:val="center"/>
          </w:tcPr>
          <w:p>
            <w:pPr>
              <w:pStyle w:val="TableContents"/>
              <w:bidi w:val="0"/>
              <w:spacing w:before="0" w:after="0"/>
              <w:jc w:val="both"/>
              <w:rPr>
                <w:color w:val="000000"/>
              </w:rPr>
            </w:pPr>
            <w:r>
              <w:rPr>
                <w:color w:val="000000"/>
              </w:rPr>
              <w:t>●</w:t>
            </w:r>
          </w:p>
        </w:tc>
        <w:tc>
          <w:tcPr>
            <w:tcW w:w="1595" w:type="dxa"/>
            <w:tcBorders/>
            <w:vAlign w:val="center"/>
          </w:tcPr>
          <w:p>
            <w:pPr>
              <w:pStyle w:val="TableContents"/>
              <w:bidi w:val="0"/>
              <w:spacing w:before="0" w:after="0"/>
              <w:jc w:val="both"/>
              <w:rPr>
                <w:color w:val="000000"/>
              </w:rPr>
            </w:pPr>
            <w:r>
              <w:rPr>
                <w:color w:val="000000"/>
              </w:rPr>
              <w:t>One global team</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both"/>
              <w:rPr>
                <w:color w:val="000000"/>
              </w:rPr>
            </w:pPr>
            <w:r>
              <w:rPr>
                <w:color w:val="000000"/>
              </w:rPr>
              <w:t>●</w:t>
            </w:r>
          </w:p>
        </w:tc>
        <w:tc>
          <w:tcPr>
            <w:tcW w:w="1835" w:type="dxa"/>
            <w:tcBorders/>
            <w:vAlign w:val="center"/>
          </w:tcPr>
          <w:p>
            <w:pPr>
              <w:pStyle w:val="TableContents"/>
              <w:bidi w:val="0"/>
              <w:spacing w:before="0" w:after="0"/>
              <w:jc w:val="both"/>
              <w:rPr>
                <w:color w:val="000000"/>
              </w:rPr>
            </w:pPr>
            <w:r>
              <w:rPr>
                <w:color w:val="000000"/>
              </w:rPr>
              <w:t>Customer obsessed</w:t>
            </w:r>
          </w:p>
        </w:tc>
        <w:tc>
          <w:tcPr>
            <w:tcW w:w="17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Inclusion.</w:t>
      </w:r>
      <w:r>
        <w:rPr>
          <w:rFonts w:ascii="Times New Roman;Times;serif" w:hAnsi="Times New Roman;Times;serif"/>
          <w:color w:val="000000"/>
          <w:sz w:val="20"/>
          <w:shd w:fill="FFFFFF" w:val="clear"/>
        </w:rPr>
        <w:t xml:space="preserve"> We believe an inclusive work environment allows us to benefit from unique perspectives and provides vitality, creativity, new ideas and growth. We aspire to be a global community where every employee, entrepreneur, and consumer knows and feels they belong. We have established employee resource groups to help ensure that under-represented populations feel welcome at Nu Skin. Our Healthy Workplace Policy also aims to cultivate a culture of mutual respect and to provide all employees a work environment free from harassment, discrimination and unprofessional behavior. Our employees receive training on their responsibility in this important area, and we regularly communicate with employees about the process to report concerns. We make a Healthy Workplace Hotline available for employees to report concerns anonymously.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i/>
          <w:color w:val="000000"/>
          <w:sz w:val="20"/>
          <w:shd w:fill="FFFFFF" w:val="clear"/>
        </w:rPr>
        <w:t>Employee Health and Well-Being.</w:t>
      </w:r>
      <w:r>
        <w:rPr>
          <w:rFonts w:ascii="Times New Roman;Times;serif" w:hAnsi="Times New Roman;Times;serif"/>
          <w:color w:val="000000"/>
          <w:sz w:val="20"/>
          <w:shd w:fill="FFFFFF" w:val="clear"/>
        </w:rPr>
        <w:t xml:space="preserve"> Our employees’ health and well-being is an essential component of our human capital management strategy. From time to time, we implement employee wellness programs to raise awareness of and encourage healthy lifestyle practices in the areas of physical, emotional, intellectual and/or financial wellness. Where possible, our employees receive free product benefits, including our wellness products. Employees at our corporate headquarters also have access to an on-site gym, as well as our employee assistance program, which includes free counseling services. Employees in our global markets also receive benefits and other services focused on maintaining health and well-being.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Board’s committees engage with our senior management and head of Human Resources regarding human capital management on a regular basis. Working with management, our Board’s committees oversee and receive reports on matters including culture and inclusion, compensation, benefits, key talent succession planning and employee engagement. In addition, each year, our management reports to the Compensation and Human Capital Committee on management’s annual assessment of risks related to our compensation policies and practices.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to our employees, our human capital resources also include our sales force. For information about our sales force, see Item 1. Business—“Distribution Channel.”</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bookmarkStart w:id="12" w:name="AVAILABLEINFORMATION"/>
      <w:bookmarkEnd w:id="12"/>
      <w:r>
        <w:rPr>
          <w:rFonts w:ascii="Times New Roman" w:hAnsi="Times New Roman"/>
          <w:b/>
          <w:color w:val="000000"/>
          <w:sz w:val="20"/>
          <w:shd w:fill="FFFFFF" w:val="clear"/>
        </w:rPr>
        <w:t>AVAILABLE INFORMATION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website address is www.nuskin.com. We make available, free of charge on our Investor Relations website, ir.nuskin.com, our Annual Reports on Form 10-K, Quarterly Reports on Form 10-Q, Current Reports on Form 8-K, and amendments to those reports filed or furnished pursuant to Section 13(a) or 15(d) of the Securities Exchange Act of 1934 as soon as reasonably practicable after we electronically file such material with, or furnish it to, the Securities and Exchange Commission (the “SEC”).</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also use our Investor Relations website, ir.nuskin.com, as a channel of distribution of additional Company information that may be deemed material. Accordingly, investors should monitor this channel, in addition to following our press releases, Securities and Exchange Commission filings and public conference calls and webcasts. The contents of our website shall not be deemed to be incorporated herein by reference.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adopted a Code of Conduct that applies to all of our employees, officers and directors, including those of our subsidiaries. Our Code of Conduct is available in the “Governance” section of our Investor Relations website at ir.nuskin.com. In addition, stockholders may obtain a copy, free of charge, by making a written request to Investor Relations, Nu Skin Enterprises, Inc., 75 West Center Street, Provo, Utah 84601. Any amendments or waivers (including implicit waivers) regarding the Code of Conduct requiring disclosure under applicable SEC rules or NYSE listing standards will be disclosed in the same section of our website.</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bookmarkStart w:id="13" w:name="INFORMATIONABOUTOUREXECUT"/>
      <w:bookmarkEnd w:id="13"/>
      <w:r>
        <w:rPr>
          <w:rFonts w:ascii="Times New Roman" w:hAnsi="Times New Roman"/>
          <w:b/>
          <w:color w:val="000000"/>
          <w:sz w:val="20"/>
          <w:shd w:fill="FFFFFF" w:val="clear"/>
        </w:rPr>
        <w:t>INFORMATION ABOUT OUR EXECUTIVE OFFICERS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executive officers as of February 14, 2026 are as follows:</w:t>
      </w:r>
    </w:p>
    <w:p>
      <w:pPr>
        <w:pStyle w:val="TextBody"/>
        <w:bidi w:val="0"/>
        <w:spacing w:before="0" w:after="0"/>
        <w:jc w:val="left"/>
        <w:rPr/>
      </w:pPr>
      <w:r>
        <w:rPr/>
      </w:r>
    </w:p>
    <w:tbl>
      <w:tblPr>
        <w:tblW w:w="7620" w:type="dxa"/>
        <w:jc w:val="left"/>
        <w:tblInd w:w="0" w:type="dxa"/>
        <w:tblLayout w:type="fixed"/>
        <w:tblCellMar>
          <w:top w:w="0" w:type="dxa"/>
          <w:left w:w="0" w:type="dxa"/>
          <w:bottom w:w="28" w:type="dxa"/>
          <w:right w:w="0" w:type="dxa"/>
        </w:tblCellMar>
      </w:tblPr>
      <w:tblGrid>
        <w:gridCol w:w="1820"/>
        <w:gridCol w:w="60"/>
        <w:gridCol w:w="425"/>
        <w:gridCol w:w="60"/>
        <w:gridCol w:w="5255"/>
      </w:tblGrid>
      <w:tr>
        <w:trPr/>
        <w:tc>
          <w:tcPr>
            <w:tcW w:w="1820" w:type="dxa"/>
            <w:tcBorders>
              <w:bottom w:val="single" w:sz="12" w:space="0" w:color="000000"/>
            </w:tcBorders>
            <w:vAlign w:val="center"/>
          </w:tcPr>
          <w:p>
            <w:pPr>
              <w:pStyle w:val="TableContents"/>
              <w:bidi w:val="0"/>
              <w:spacing w:before="0" w:after="0"/>
              <w:jc w:val="center"/>
              <w:rPr>
                <w:b/>
                <w:color w:val="000000"/>
              </w:rPr>
            </w:pPr>
            <w:r>
              <w:rPr>
                <w:b/>
                <w:color w:val="000000"/>
              </w:rPr>
              <w:t>Name</w:t>
            </w:r>
          </w:p>
        </w:tc>
        <w:tc>
          <w:tcPr>
            <w:tcW w:w="60" w:type="dxa"/>
            <w:tcBorders/>
            <w:tcMar>
              <w:bottom w:w="0" w:type="dxa"/>
            </w:tcMar>
            <w:vAlign w:val="center"/>
          </w:tcPr>
          <w:p>
            <w:pPr>
              <w:pStyle w:val="TableContents"/>
              <w:bidi w:val="0"/>
              <w:spacing w:before="0" w:after="283"/>
              <w:jc w:val="left"/>
              <w:rPr/>
            </w:pPr>
            <w:r>
              <w:rPr/>
              <w:t> </w:t>
            </w:r>
          </w:p>
        </w:tc>
        <w:tc>
          <w:tcPr>
            <w:tcW w:w="425" w:type="dxa"/>
            <w:tcBorders>
              <w:bottom w:val="single" w:sz="12" w:space="0" w:color="000000"/>
            </w:tcBorders>
            <w:vAlign w:val="center"/>
          </w:tcPr>
          <w:p>
            <w:pPr>
              <w:pStyle w:val="TableContents"/>
              <w:bidi w:val="0"/>
              <w:spacing w:before="0" w:after="0"/>
              <w:jc w:val="center"/>
              <w:rPr>
                <w:b/>
                <w:color w:val="000000"/>
              </w:rPr>
            </w:pPr>
            <w:r>
              <w:rPr>
                <w:b/>
                <w:color w:val="000000"/>
              </w:rPr>
              <w:t>Age</w:t>
            </w:r>
          </w:p>
        </w:tc>
        <w:tc>
          <w:tcPr>
            <w:tcW w:w="60" w:type="dxa"/>
            <w:tcBorders/>
            <w:tcMar>
              <w:bottom w:w="0" w:type="dxa"/>
            </w:tcMar>
            <w:vAlign w:val="center"/>
          </w:tcPr>
          <w:p>
            <w:pPr>
              <w:pStyle w:val="TableContents"/>
              <w:bidi w:val="0"/>
              <w:spacing w:before="0" w:after="283"/>
              <w:jc w:val="left"/>
              <w:rPr/>
            </w:pPr>
            <w:r>
              <w:rPr/>
              <w:t> </w:t>
            </w:r>
          </w:p>
        </w:tc>
        <w:tc>
          <w:tcPr>
            <w:tcW w:w="5255" w:type="dxa"/>
            <w:tcBorders>
              <w:bottom w:val="single" w:sz="12" w:space="0" w:color="000000"/>
            </w:tcBorders>
            <w:vAlign w:val="center"/>
          </w:tcPr>
          <w:p>
            <w:pPr>
              <w:pStyle w:val="TableContents"/>
              <w:bidi w:val="0"/>
              <w:spacing w:before="0" w:after="0"/>
              <w:jc w:val="center"/>
              <w:rPr>
                <w:b/>
                <w:color w:val="000000"/>
              </w:rPr>
            </w:pPr>
            <w:r>
              <w:rPr>
                <w:b/>
                <w:color w:val="000000"/>
              </w:rPr>
              <w:t>Position</w:t>
            </w:r>
          </w:p>
        </w:tc>
      </w:tr>
      <w:tr>
        <w:trPr/>
        <w:tc>
          <w:tcPr>
            <w:tcW w:w="1820" w:type="dxa"/>
            <w:tcBorders/>
            <w:shd w:fill="CCEEFF" w:val="clear"/>
            <w:tcMar>
              <w:bottom w:w="0" w:type="dxa"/>
            </w:tcMar>
            <w:vAlign w:val="center"/>
          </w:tcPr>
          <w:p>
            <w:pPr>
              <w:pStyle w:val="TableContents"/>
              <w:bidi w:val="0"/>
              <w:spacing w:before="0" w:after="0"/>
              <w:jc w:val="left"/>
              <w:rPr>
                <w:color w:val="000000"/>
              </w:rPr>
            </w:pPr>
            <w:r>
              <w:rPr>
                <w:color w:val="000000"/>
              </w:rPr>
              <w:t>Steven J. Lund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0"/>
              <w:jc w:val="center"/>
              <w:rPr>
                <w:color w:val="000000"/>
              </w:rPr>
            </w:pPr>
            <w:r>
              <w:rPr>
                <w:color w:val="000000"/>
              </w:rPr>
              <w:t>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55" w:type="dxa"/>
            <w:tcBorders/>
            <w:shd w:fill="CCEEFF" w:val="clear"/>
            <w:tcMar>
              <w:bottom w:w="0" w:type="dxa"/>
            </w:tcMar>
            <w:vAlign w:val="center"/>
          </w:tcPr>
          <w:p>
            <w:pPr>
              <w:pStyle w:val="TableContents"/>
              <w:bidi w:val="0"/>
              <w:spacing w:before="0" w:after="0"/>
              <w:jc w:val="left"/>
              <w:rPr>
                <w:color w:val="000000"/>
              </w:rPr>
            </w:pPr>
            <w:r>
              <w:rPr>
                <w:color w:val="000000"/>
              </w:rPr>
              <w:t>Executive Chairman of the Board</w:t>
            </w:r>
          </w:p>
        </w:tc>
      </w:tr>
      <w:tr>
        <w:trPr/>
        <w:tc>
          <w:tcPr>
            <w:tcW w:w="1820" w:type="dxa"/>
            <w:tcBorders/>
            <w:tcMar>
              <w:bottom w:w="0" w:type="dxa"/>
            </w:tcMar>
            <w:vAlign w:val="center"/>
          </w:tcPr>
          <w:p>
            <w:pPr>
              <w:pStyle w:val="TableContents"/>
              <w:bidi w:val="0"/>
              <w:spacing w:before="0" w:after="0"/>
              <w:jc w:val="left"/>
              <w:rPr>
                <w:color w:val="000000"/>
              </w:rPr>
            </w:pPr>
            <w:r>
              <w:rPr>
                <w:color w:val="000000"/>
              </w:rPr>
              <w:t>Ryan S. Napierski</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0"/>
              <w:jc w:val="center"/>
              <w:rPr>
                <w:color w:val="000000"/>
              </w:rPr>
            </w:pPr>
            <w:r>
              <w:rPr>
                <w:color w:val="000000"/>
              </w:rPr>
              <w:t>52</w:t>
            </w:r>
          </w:p>
        </w:tc>
        <w:tc>
          <w:tcPr>
            <w:tcW w:w="60" w:type="dxa"/>
            <w:tcBorders/>
            <w:tcMar>
              <w:bottom w:w="0" w:type="dxa"/>
            </w:tcMar>
            <w:vAlign w:val="center"/>
          </w:tcPr>
          <w:p>
            <w:pPr>
              <w:pStyle w:val="TableContents"/>
              <w:bidi w:val="0"/>
              <w:spacing w:before="0" w:after="283"/>
              <w:jc w:val="left"/>
              <w:rPr/>
            </w:pPr>
            <w:r>
              <w:rPr/>
              <w:t> </w:t>
            </w:r>
          </w:p>
        </w:tc>
        <w:tc>
          <w:tcPr>
            <w:tcW w:w="5255" w:type="dxa"/>
            <w:tcBorders/>
            <w:tcMar>
              <w:bottom w:w="0" w:type="dxa"/>
            </w:tcMar>
            <w:vAlign w:val="center"/>
          </w:tcPr>
          <w:p>
            <w:pPr>
              <w:pStyle w:val="TableContents"/>
              <w:bidi w:val="0"/>
              <w:spacing w:before="0" w:after="0"/>
              <w:jc w:val="left"/>
              <w:rPr>
                <w:color w:val="000000"/>
              </w:rPr>
            </w:pPr>
            <w:r>
              <w:rPr>
                <w:color w:val="000000"/>
              </w:rPr>
              <w:t>President and Chief Executive Officer</w:t>
            </w:r>
          </w:p>
        </w:tc>
      </w:tr>
      <w:tr>
        <w:trPr/>
        <w:tc>
          <w:tcPr>
            <w:tcW w:w="1820" w:type="dxa"/>
            <w:tcBorders/>
            <w:shd w:fill="CCEEFF" w:val="clear"/>
            <w:tcMar>
              <w:bottom w:w="0" w:type="dxa"/>
            </w:tcMar>
            <w:vAlign w:val="center"/>
          </w:tcPr>
          <w:p>
            <w:pPr>
              <w:pStyle w:val="TableContents"/>
              <w:bidi w:val="0"/>
              <w:spacing w:before="0" w:after="0"/>
              <w:jc w:val="left"/>
              <w:rPr>
                <w:color w:val="000000"/>
              </w:rPr>
            </w:pPr>
            <w:r>
              <w:rPr>
                <w:color w:val="000000"/>
              </w:rPr>
              <w:t>James D. Thomas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0"/>
              <w:jc w:val="center"/>
              <w:rPr>
                <w:color w:val="000000"/>
              </w:rPr>
            </w:pPr>
            <w:r>
              <w:rPr>
                <w:color w:val="000000"/>
              </w:rPr>
              <w:t>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55" w:type="dxa"/>
            <w:tcBorders/>
            <w:shd w:fill="CCEEFF" w:val="clear"/>
            <w:tcMar>
              <w:bottom w:w="0" w:type="dxa"/>
            </w:tcMar>
            <w:vAlign w:val="center"/>
          </w:tcPr>
          <w:p>
            <w:pPr>
              <w:pStyle w:val="TableContents"/>
              <w:bidi w:val="0"/>
              <w:spacing w:before="0" w:after="0"/>
              <w:jc w:val="left"/>
              <w:rPr>
                <w:color w:val="000000"/>
              </w:rPr>
            </w:pPr>
            <w:r>
              <w:rPr>
                <w:color w:val="000000"/>
              </w:rPr>
              <w:t>Executive Vice President and Chief Financial Officer</w:t>
            </w:r>
          </w:p>
        </w:tc>
      </w:tr>
      <w:tr>
        <w:trPr/>
        <w:tc>
          <w:tcPr>
            <w:tcW w:w="1820" w:type="dxa"/>
            <w:tcBorders/>
            <w:tcMar>
              <w:bottom w:w="0" w:type="dxa"/>
            </w:tcMar>
            <w:vAlign w:val="center"/>
          </w:tcPr>
          <w:p>
            <w:pPr>
              <w:pStyle w:val="TableContents"/>
              <w:bidi w:val="0"/>
              <w:spacing w:before="0" w:after="0"/>
              <w:jc w:val="left"/>
              <w:rPr>
                <w:color w:val="000000"/>
              </w:rPr>
            </w:pPr>
            <w:r>
              <w:rPr>
                <w:color w:val="000000"/>
              </w:rPr>
              <w:t>Chayce D. Clark</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0"/>
              <w:jc w:val="center"/>
              <w:rPr>
                <w:color w:val="000000"/>
              </w:rPr>
            </w:pPr>
            <w:r>
              <w:rPr>
                <w:color w:val="000000"/>
              </w:rPr>
              <w:t>43</w:t>
            </w:r>
          </w:p>
        </w:tc>
        <w:tc>
          <w:tcPr>
            <w:tcW w:w="60" w:type="dxa"/>
            <w:tcBorders/>
            <w:tcMar>
              <w:bottom w:w="0" w:type="dxa"/>
            </w:tcMar>
            <w:vAlign w:val="center"/>
          </w:tcPr>
          <w:p>
            <w:pPr>
              <w:pStyle w:val="TableContents"/>
              <w:bidi w:val="0"/>
              <w:spacing w:before="0" w:after="283"/>
              <w:jc w:val="left"/>
              <w:rPr/>
            </w:pPr>
            <w:r>
              <w:rPr/>
              <w:t> </w:t>
            </w:r>
          </w:p>
        </w:tc>
        <w:tc>
          <w:tcPr>
            <w:tcW w:w="5255" w:type="dxa"/>
            <w:tcBorders/>
            <w:tcMar>
              <w:bottom w:w="0" w:type="dxa"/>
            </w:tcMar>
            <w:vAlign w:val="center"/>
          </w:tcPr>
          <w:p>
            <w:pPr>
              <w:pStyle w:val="TableContents"/>
              <w:bidi w:val="0"/>
              <w:spacing w:before="0" w:after="0"/>
              <w:jc w:val="left"/>
              <w:rPr>
                <w:color w:val="000000"/>
              </w:rPr>
            </w:pPr>
            <w:r>
              <w:rPr>
                <w:color w:val="000000"/>
              </w:rPr>
              <w:t>Executive Vice President and General Counsel</w:t>
            </w:r>
          </w:p>
        </w:tc>
      </w:tr>
      <w:tr>
        <w:trPr/>
        <w:tc>
          <w:tcPr>
            <w:tcW w:w="1820" w:type="dxa"/>
            <w:tcBorders/>
            <w:shd w:fill="CCEEFF" w:val="clear"/>
            <w:tcMar>
              <w:bottom w:w="0" w:type="dxa"/>
            </w:tcMar>
            <w:vAlign w:val="center"/>
          </w:tcPr>
          <w:p>
            <w:pPr>
              <w:pStyle w:val="TableContents"/>
              <w:bidi w:val="0"/>
              <w:spacing w:before="0" w:after="0"/>
              <w:jc w:val="left"/>
              <w:rPr>
                <w:color w:val="000000"/>
              </w:rPr>
            </w:pPr>
            <w:r>
              <w:rPr>
                <w:color w:val="000000"/>
              </w:rPr>
              <w:t>Steven K. Hatchett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0"/>
              <w:jc w:val="center"/>
              <w:rPr>
                <w:color w:val="000000"/>
              </w:rPr>
            </w:pPr>
            <w:r>
              <w:rPr>
                <w:color w:val="000000"/>
              </w:rPr>
              <w:t>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55" w:type="dxa"/>
            <w:tcBorders/>
            <w:shd w:fill="CCEEFF" w:val="clear"/>
            <w:tcMar>
              <w:bottom w:w="0" w:type="dxa"/>
            </w:tcMar>
            <w:vAlign w:val="center"/>
          </w:tcPr>
          <w:p>
            <w:pPr>
              <w:pStyle w:val="TableContents"/>
              <w:bidi w:val="0"/>
              <w:spacing w:before="0" w:after="0"/>
              <w:jc w:val="left"/>
              <w:rPr>
                <w:color w:val="000000"/>
              </w:rPr>
            </w:pPr>
            <w:r>
              <w:rPr>
                <w:color w:val="000000"/>
              </w:rPr>
              <w:t>Executive Vice President and Chief Product Officer</w:t>
            </w:r>
          </w:p>
        </w:tc>
      </w:tr>
      <w:tr>
        <w:trPr/>
        <w:tc>
          <w:tcPr>
            <w:tcW w:w="1820" w:type="dxa"/>
            <w:tcBorders/>
            <w:tcMar>
              <w:bottom w:w="0" w:type="dxa"/>
            </w:tcMar>
            <w:vAlign w:val="center"/>
          </w:tcPr>
          <w:p>
            <w:pPr>
              <w:pStyle w:val="TableContents"/>
              <w:bidi w:val="0"/>
              <w:spacing w:before="0" w:after="0"/>
              <w:jc w:val="left"/>
              <w:rPr>
                <w:color w:val="000000"/>
              </w:rPr>
            </w:pPr>
            <w:r>
              <w:rPr>
                <w:color w:val="000000"/>
              </w:rPr>
              <w:t>Justin S. Keisel</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0"/>
              <w:jc w:val="center"/>
              <w:rPr>
                <w:color w:val="000000"/>
              </w:rPr>
            </w:pPr>
            <w:r>
              <w:rPr>
                <w:color w:val="000000"/>
              </w:rPr>
              <w:t>52</w:t>
            </w:r>
          </w:p>
        </w:tc>
        <w:tc>
          <w:tcPr>
            <w:tcW w:w="60" w:type="dxa"/>
            <w:tcBorders/>
            <w:tcMar>
              <w:bottom w:w="0" w:type="dxa"/>
            </w:tcMar>
            <w:vAlign w:val="center"/>
          </w:tcPr>
          <w:p>
            <w:pPr>
              <w:pStyle w:val="TableContents"/>
              <w:bidi w:val="0"/>
              <w:spacing w:before="0" w:after="283"/>
              <w:jc w:val="left"/>
              <w:rPr/>
            </w:pPr>
            <w:r>
              <w:rPr/>
              <w:t> </w:t>
            </w:r>
          </w:p>
        </w:tc>
        <w:tc>
          <w:tcPr>
            <w:tcW w:w="5255" w:type="dxa"/>
            <w:tcBorders/>
            <w:tcMar>
              <w:bottom w:w="0" w:type="dxa"/>
            </w:tcMar>
            <w:vAlign w:val="center"/>
          </w:tcPr>
          <w:p>
            <w:pPr>
              <w:pStyle w:val="TableContents"/>
              <w:bidi w:val="0"/>
              <w:spacing w:before="0" w:after="0"/>
              <w:jc w:val="left"/>
              <w:rPr>
                <w:color w:val="000000"/>
              </w:rPr>
            </w:pPr>
            <w:r>
              <w:rPr>
                <w:color w:val="000000"/>
              </w:rPr>
              <w:t>Executive Vice President and President of Global Sales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 xml:space="preserve">Steven J. Lund </w:t>
      </w:r>
      <w:r>
        <w:rPr>
          <w:rFonts w:ascii="Times New Roman" w:hAnsi="Times New Roman"/>
          <w:color w:val="000000"/>
          <w:sz w:val="20"/>
          <w:shd w:fill="FFFFFF" w:val="clear"/>
        </w:rPr>
        <w:t>has served as Executive Chairman of our board of directors since 2012. Mr. Lund previously served as Vice Chairman of our board of directors from 2006 to 2012 and as President, Chief Executive Officer and a member of our board of directors from 1996, when we went public, until 2003. Mr. Lund is a trustee of the Nu Skin Force for Good Foundation, a charitable organization that our company established to help encourage and drive philanthropic efforts for our company, sales force and employees to enrich the lives of others. Mr. Lund worked as an attorney in private practice prior to joining our company as Vice President and General Counsel. He received a B.A. degree from Brigham Young University and a J.D. degree from Brigham Young University’s J. Reuben Clark Law School.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 xml:space="preserve">Ryan S. Napierski </w:t>
      </w:r>
      <w:r>
        <w:rPr>
          <w:rFonts w:ascii="Times New Roman" w:hAnsi="Times New Roman"/>
          <w:color w:val="000000"/>
          <w:sz w:val="20"/>
          <w:shd w:fill="FFFFFF" w:val="clear"/>
        </w:rPr>
        <w:t>has served as our Company’s President since 2017 and as our CEO since 2021. Previously, he served as President of Global Sales and Operations from 2015 to 2017. Prior to serving in that position, he served as both President of our North Asia region since 2014 and President of Nu Skin Japan since 2010. Mr. Napierski has fulfilled multiple leadership positions for Nu Skin since joining our company in 1995, including Vice President of Business Development for Nu Skin EMEA and General Manager of the United Kingdom. Mr. Napierski has a Bachelor’s degree in business, a Master of Business Administration degree from Duke University and a Master’s degree in international business from Goethe Universitat in Germany.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James D. Thomas</w:t>
      </w:r>
      <w:r>
        <w:rPr>
          <w:rFonts w:ascii="Times New Roman" w:hAnsi="Times New Roman"/>
          <w:color w:val="000000"/>
          <w:sz w:val="20"/>
          <w:shd w:fill="FFFFFF" w:val="clear"/>
        </w:rPr>
        <w:t xml:space="preserve"> has served as our Chief Financial Officer since 2023. He previously served as our Senior Vice President and Chief Accounting Officer from 2019 until 2023 and as Vice President of Finance and Accounting from 2017 until 2019. Since joining Nu Skin in 2010, he also has served as Corporate Controller and as an Internal Auditor. Before joining Nu Skin, he worked as an assistant controller of another publicly reporting company and served in the assurance practice at PricewaterhouseCoopers LLP. Mr. Thomas holds B.S. and Master of Accounting degrees from Utah State University.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Chayce D. Clark</w:t>
      </w:r>
      <w:r>
        <w:rPr>
          <w:rFonts w:ascii="Times New Roman" w:hAnsi="Times New Roman"/>
          <w:color w:val="000000"/>
          <w:sz w:val="20"/>
          <w:shd w:fill="FFFFFF" w:val="clear"/>
        </w:rPr>
        <w:t xml:space="preserve"> has served as our Executive Vice President and General Counsel since 2021. Mr. Clark joined our company in 2015 as Assistant General Counsel and later served as Vice President and Deputy General Counsel before beginning his current role. Prior to joining our company, he was a litigation attorney in private practice in Salt Lake City, Utah. He received a B.S. degree from Southern Utah University and a J.D. degree from the University of Utah.</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Steven K. Hatchett</w:t>
      </w:r>
      <w:r>
        <w:rPr>
          <w:rFonts w:ascii="Times New Roman" w:hAnsi="Times New Roman"/>
          <w:color w:val="000000"/>
          <w:sz w:val="20"/>
          <w:shd w:fill="FFFFFF" w:val="clear"/>
        </w:rPr>
        <w:t xml:space="preserve"> joined our company in 2018 and served as Senior Vice President of Global Manufacturing until 2021, when he began serving as Senior Vice President of Global Products. He became Executive Vice President and Chief Product Officer in 2022. From 2015 to 2018, he served as CEO of Elevate Health Sciences, a nutritional supplement manufacturer that our company acquired in 2018, at which time he began serving as President until December 2020. Previously, he served as vice president of manufacturing and product innovation at Forever Living Products, and as CEO and President at Cornerstone Research and Development.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Justin S. Keisel</w:t>
      </w:r>
      <w:r>
        <w:rPr>
          <w:rFonts w:ascii="Times New Roman" w:hAnsi="Times New Roman"/>
          <w:color w:val="000000"/>
          <w:sz w:val="20"/>
          <w:shd w:fill="FFFFFF" w:val="clear"/>
        </w:rPr>
        <w:t xml:space="preserve"> has served as our Executive Vice President and President of Global Sales since 2024. Mr. Keisel first joined our company in 1998, where for 14 years he primarily worked in roles supporting growth in our North Asia and Southeast Asia markets. In 2012, Mr. Keisel accepted an offer to work for Rodan + Fields, where he held several positions from 2012 to 2019, serving most recently as vice president of global programs and field development from 2017 to 2019. Mr. Keisel returned to our company in 2019 as General Manager of our United States and Canada markets and served in that position until 2021, when he was promoted to President of our Americas region, the position he held until his 2024 promotion. Mr. Keisel holds B.S. and M.B.A. degrees from Brigham Young University.</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Normal"/>
        <w:bidi w:val="0"/>
        <w:spacing w:before="0" w:after="0"/>
        <w:jc w:val="left"/>
        <w:rPr>
          <w:sz w:val="4"/>
          <w:szCs w:val="4"/>
        </w:rPr>
      </w:pPr>
      <w:r>
        <w:rPr>
          <w:sz w:val="4"/>
          <w:szCs w:val="4"/>
        </w:rPr>
      </w:r>
      <w:bookmarkStart w:id="14" w:name="ITEM1A."/>
      <w:bookmarkStart w:id="15" w:name="ITEM1A."/>
      <w:bookmarkEnd w:id="15"/>
    </w:p>
    <w:tbl>
      <w:tblPr>
        <w:tblW w:w="2950" w:type="dxa"/>
        <w:jc w:val="left"/>
        <w:tblInd w:w="0" w:type="dxa"/>
        <w:tblLayout w:type="fixed"/>
        <w:tblCellMar>
          <w:top w:w="0" w:type="dxa"/>
          <w:left w:w="0" w:type="dxa"/>
          <w:bottom w:w="0" w:type="dxa"/>
          <w:right w:w="0" w:type="dxa"/>
        </w:tblCellMar>
      </w:tblPr>
      <w:tblGrid>
        <w:gridCol w:w="1100"/>
        <w:gridCol w:w="1850"/>
      </w:tblGrid>
      <w:tr>
        <w:trPr/>
        <w:tc>
          <w:tcPr>
            <w:tcW w:w="1100" w:type="dxa"/>
            <w:tcBorders/>
            <w:vAlign w:val="center"/>
          </w:tcPr>
          <w:p>
            <w:pPr>
              <w:pStyle w:val="TableContents"/>
              <w:bidi w:val="0"/>
              <w:spacing w:before="0" w:after="283"/>
              <w:jc w:val="left"/>
              <w:rPr>
                <w:b/>
                <w:color w:val="000000"/>
              </w:rPr>
            </w:pPr>
            <w:r>
              <w:rPr>
                <w:b/>
                <w:color w:val="000000"/>
              </w:rPr>
              <w:t>ITEM 1A.</w:t>
            </w:r>
          </w:p>
        </w:tc>
        <w:tc>
          <w:tcPr>
            <w:tcW w:w="1850" w:type="dxa"/>
            <w:tcBorders/>
            <w:vAlign w:val="center"/>
          </w:tcPr>
          <w:p>
            <w:pPr>
              <w:pStyle w:val="TableContents"/>
              <w:bidi w:val="0"/>
              <w:spacing w:before="0" w:after="0"/>
              <w:jc w:val="both"/>
              <w:rPr>
                <w:b/>
                <w:color w:val="000000"/>
                <w:u w:val="single"/>
              </w:rPr>
            </w:pPr>
            <w:r>
              <w:rPr>
                <w:b/>
                <w:color w:val="000000"/>
                <w:u w:val="single"/>
              </w:rPr>
              <w:t>RISK FACTORS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Risk Factor Summary</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We are providing the following summary of the risk factors contained in this Annual Report on Form 10-K to enhance the readability and accessibility of our risk factor disclosures. We encourage you to carefully review the full risk factors contained after this summary for additional information regarding the material factors that make an investment in our securities speculative or risky. These risks include the following:</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Risks Associated with Direct Selling and Our Sales Force</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Challenges to the form of our network marketing system or to our business practices have harmed and could continue to harm our business.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Direct selling laws and regulations vary globally, are subject to interpretation or change, and may prohibit or severely restrict direct selling and cause our revenue and profitability to decline.</w:t>
            </w:r>
          </w:p>
        </w:tc>
      </w:tr>
    </w:tbl>
    <w:tbl>
      <w:tblPr>
        <w:tblW w:w="5298" w:type="dxa"/>
        <w:jc w:val="left"/>
        <w:tblInd w:w="0" w:type="dxa"/>
        <w:tblLayout w:type="fixed"/>
        <w:tblCellMar>
          <w:top w:w="0" w:type="dxa"/>
          <w:left w:w="0" w:type="dxa"/>
          <w:bottom w:w="0" w:type="dxa"/>
          <w:right w:w="0" w:type="dxa"/>
        </w:tblCellMar>
      </w:tblPr>
      <w:tblGrid>
        <w:gridCol w:w="38"/>
        <w:gridCol w:w="170"/>
        <w:gridCol w:w="509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5090" w:type="dxa"/>
            <w:tcBorders/>
            <w:vAlign w:val="center"/>
          </w:tcPr>
          <w:p>
            <w:pPr>
              <w:pStyle w:val="TableContents"/>
              <w:bidi w:val="0"/>
              <w:spacing w:before="0" w:after="0"/>
              <w:jc w:val="both"/>
              <w:rPr>
                <w:color w:val="000000"/>
              </w:rPr>
            </w:pPr>
            <w:r>
              <w:rPr>
                <w:color w:val="000000"/>
              </w:rPr>
              <w:t>Improper sales force actions could harm our business.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Social media platforms’ decisions to prohibit, block or decrease the prominence of our sales force’s content could harm our business.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If our business practices or policies or the actions of our sales force are found to be in violation of applicable local regulations regarding foreigners, then we could be sanctioned and/or required to change our business model, which could significantly harm our business.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Our sales compensation plans or other incentives could be viewed negatively by some of our sales force, could be restricted by government regulators, and could fail to achieve desired long-term results and have a negative impact on revenue.</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Limits on the amount of sales compensation we pay could inhibit our ability to attract and retain our sales force, negatively impact our revenue and cause regulatory risks.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We may be held responsible for certain taxes, assessments and other requirements relating to the activities of our sales force, which could harm our financial condition and operating results.</w:t>
            </w:r>
          </w:p>
        </w:tc>
      </w:tr>
    </w:tbl>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Risks Associated with Market Conditions and Competition</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Inability of products, platforms, business opportunities and other initiatives to gain or maintain sales force and market acceptance could harm our business, and trends among older and younger generations of customers contribute to this risk.</w:t>
            </w:r>
          </w:p>
        </w:tc>
      </w:tr>
    </w:tbl>
    <w:tbl>
      <w:tblPr>
        <w:tblW w:w="5463" w:type="dxa"/>
        <w:jc w:val="left"/>
        <w:tblInd w:w="0" w:type="dxa"/>
        <w:tblLayout w:type="fixed"/>
        <w:tblCellMar>
          <w:top w:w="0" w:type="dxa"/>
          <w:left w:w="0" w:type="dxa"/>
          <w:bottom w:w="0" w:type="dxa"/>
          <w:right w:w="0" w:type="dxa"/>
        </w:tblCellMar>
      </w:tblPr>
      <w:tblGrid>
        <w:gridCol w:w="38"/>
        <w:gridCol w:w="170"/>
        <w:gridCol w:w="525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5255" w:type="dxa"/>
            <w:tcBorders/>
            <w:vAlign w:val="center"/>
          </w:tcPr>
          <w:p>
            <w:pPr>
              <w:pStyle w:val="TableContents"/>
              <w:bidi w:val="0"/>
              <w:spacing w:before="0" w:after="0"/>
              <w:jc w:val="both"/>
              <w:rPr>
                <w:color w:val="000000"/>
              </w:rPr>
            </w:pPr>
            <w:r>
              <w:rPr>
                <w:color w:val="000000"/>
              </w:rPr>
              <w:t>Difficult economic conditions could harm our business.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Our markets are intensely competitive, and market conditions and the strengths of competitors may harm our business.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Adverse publicity concerning our business, marketing plan, products or people could harm our business and reputation.</w:t>
            </w:r>
          </w:p>
        </w:tc>
      </w:tr>
    </w:tbl>
    <w:tbl>
      <w:tblPr>
        <w:tblW w:w="6183" w:type="dxa"/>
        <w:jc w:val="left"/>
        <w:tblInd w:w="0" w:type="dxa"/>
        <w:tblLayout w:type="fixed"/>
        <w:tblCellMar>
          <w:top w:w="0" w:type="dxa"/>
          <w:left w:w="0" w:type="dxa"/>
          <w:bottom w:w="0" w:type="dxa"/>
          <w:right w:w="0" w:type="dxa"/>
        </w:tblCellMar>
      </w:tblPr>
      <w:tblGrid>
        <w:gridCol w:w="38"/>
        <w:gridCol w:w="170"/>
        <w:gridCol w:w="597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5975" w:type="dxa"/>
            <w:tcBorders/>
            <w:vAlign w:val="center"/>
          </w:tcPr>
          <w:p>
            <w:pPr>
              <w:pStyle w:val="TableContents"/>
              <w:bidi w:val="0"/>
              <w:spacing w:before="0" w:after="0"/>
              <w:jc w:val="both"/>
              <w:rPr>
                <w:color w:val="000000"/>
              </w:rPr>
            </w:pPr>
            <w:r>
              <w:rPr>
                <w:color w:val="000000"/>
              </w:rPr>
              <w:t>Product diversion may have a negative impact on our business.</w:t>
            </w:r>
          </w:p>
        </w:tc>
      </w:tr>
    </w:tbl>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Risks Associated with Our Operations in Mainland China</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Our operations in Mainland China are subject to significant government scrutiny, and we could be subject to fines, operational restrictions or other penalties.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If direct selling regulations in Mainland China are modified, interpreted or enforced in a manner that results in negative changes to our business model or the imposition of a range of potential penalties, our business could be significantly negatively impacted.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Our ability to expand our business in Mainland China could be negatively impacted if we are unable to obtain additional necessary national and local government approvals in Mainland China.</w:t>
            </w:r>
          </w:p>
        </w:tc>
      </w:tr>
    </w:tbl>
    <w:tbl>
      <w:tblPr>
        <w:tblW w:w="9318" w:type="dxa"/>
        <w:jc w:val="left"/>
        <w:tblInd w:w="0" w:type="dxa"/>
        <w:tblLayout w:type="fixed"/>
        <w:tblCellMar>
          <w:top w:w="0" w:type="dxa"/>
          <w:left w:w="0" w:type="dxa"/>
          <w:bottom w:w="0" w:type="dxa"/>
          <w:right w:w="0" w:type="dxa"/>
        </w:tblCellMar>
      </w:tblPr>
      <w:tblGrid>
        <w:gridCol w:w="38"/>
        <w:gridCol w:w="170"/>
        <w:gridCol w:w="911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110" w:type="dxa"/>
            <w:tcBorders/>
            <w:vAlign w:val="center"/>
          </w:tcPr>
          <w:p>
            <w:pPr>
              <w:pStyle w:val="TableContents"/>
              <w:bidi w:val="0"/>
              <w:spacing w:before="0" w:after="0"/>
              <w:jc w:val="both"/>
              <w:rPr>
                <w:color w:val="000000"/>
              </w:rPr>
            </w:pPr>
            <w:r>
              <w:rPr>
                <w:color w:val="000000"/>
              </w:rPr>
              <w:t>If we are not able to register products for sale in Mainland China, our business could be harmed.</w:t>
            </w:r>
          </w:p>
        </w:tc>
      </w:tr>
    </w:tbl>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Risks Associated with Epidemics and Other Widespread Crises</w:t>
      </w:r>
    </w:p>
    <w:tbl>
      <w:tblPr>
        <w:tblW w:w="9153" w:type="dxa"/>
        <w:jc w:val="left"/>
        <w:tblInd w:w="0" w:type="dxa"/>
        <w:tblLayout w:type="fixed"/>
        <w:tblCellMar>
          <w:top w:w="0" w:type="dxa"/>
          <w:left w:w="0" w:type="dxa"/>
          <w:bottom w:w="0" w:type="dxa"/>
          <w:right w:w="0" w:type="dxa"/>
        </w:tblCellMar>
      </w:tblPr>
      <w:tblGrid>
        <w:gridCol w:w="38"/>
        <w:gridCol w:w="170"/>
        <w:gridCol w:w="894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8945" w:type="dxa"/>
            <w:tcBorders/>
            <w:vAlign w:val="center"/>
          </w:tcPr>
          <w:p>
            <w:pPr>
              <w:pStyle w:val="TableContents"/>
              <w:bidi w:val="0"/>
              <w:spacing w:before="0" w:after="0"/>
              <w:jc w:val="both"/>
              <w:rPr>
                <w:color w:val="000000"/>
              </w:rPr>
            </w:pPr>
            <w:r>
              <w:rPr>
                <w:color w:val="000000"/>
              </w:rPr>
              <w:t>Epidemics and other crises have negatively impacted our business and may do so in the future.</w:t>
            </w:r>
          </w:p>
        </w:tc>
      </w:tr>
    </w:tbl>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International Risks</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Our ability to conduct business in international markets may be affected by political, legal, tax and regulatory risks.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We are subject to financial risks as a result of our international operations, including exposure to foreign-currency fluctuations, currency controls and inflation in foreign markets, all of which could impact our financial position and results of operations.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Changes to tariff and import/export regulations, and trade disputes between the United States and other jurisdictions have had a negative effect on global economic conditions and could negatively affect our business, financial results and financial condition.</w:t>
            </w:r>
          </w:p>
        </w:tc>
      </w:tr>
    </w:tbl>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Human Capital Risks</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If we are unable to retain our existing sales force and recruit additional people to join our sales force, our revenue may not increase and may even decline.</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We depend on our key personnel and Sales Leaders, and the loss of the services provided by any of our executive officers, other key employees or key Sales Leaders could harm our business and results of operations.</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Risks Associated with Our Manufacturing and Operations</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Production difficulties, quality control problems, inaccurate forecasting, shortages in ingredients, and reliance on our suppliers could harm our business.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The loss of or a disruption in our manufacturing, supply chain and distribution operations, or significant expenses or violations incurred by such operations, could adversely affect our business.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Our business could be negatively impacted if we fail to execute our product launch process or ongoing product sales due to difficulty in forecasting or increased pressure on our supply chain, information systems and management.</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Difficulties managing our entry or growth in certain markets could cause our business and operations to be harmed.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System failures, capacity constraints and other information technology difficulties could harm our business.</w:t>
            </w:r>
          </w:p>
        </w:tc>
      </w:tr>
    </w:tbl>
    <w:tbl>
      <w:tblPr>
        <w:tblW w:w="7878" w:type="dxa"/>
        <w:jc w:val="left"/>
        <w:tblInd w:w="0" w:type="dxa"/>
        <w:tblLayout w:type="fixed"/>
        <w:tblCellMar>
          <w:top w:w="0" w:type="dxa"/>
          <w:left w:w="0" w:type="dxa"/>
          <w:bottom w:w="0" w:type="dxa"/>
          <w:right w:w="0" w:type="dxa"/>
        </w:tblCellMar>
      </w:tblPr>
      <w:tblGrid>
        <w:gridCol w:w="38"/>
        <w:gridCol w:w="170"/>
        <w:gridCol w:w="767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7670" w:type="dxa"/>
            <w:tcBorders/>
            <w:vAlign w:val="center"/>
          </w:tcPr>
          <w:p>
            <w:pPr>
              <w:pStyle w:val="TableContents"/>
              <w:bidi w:val="0"/>
              <w:spacing w:before="0" w:after="0"/>
              <w:jc w:val="both"/>
              <w:rPr>
                <w:color w:val="000000"/>
              </w:rPr>
            </w:pPr>
            <w:r>
              <w:rPr>
                <w:color w:val="000000"/>
              </w:rPr>
              <w:t>Any acquired companies or future acquisitions may expose us to additional risks.</w:t>
            </w:r>
          </w:p>
        </w:tc>
      </w:tr>
    </w:tbl>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Product Legal and Regulatory Risks</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Regulations governing our products, including the formulation, registration, pre-approval, marketing and sale of our products, could harm our business.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Government regulations and private party actions relating to the marketing and advertising of our products and services may restrict, inhibit or delay our ability to sell our products and harm our business.</w:t>
            </w:r>
          </w:p>
        </w:tc>
      </w:tr>
    </w:tbl>
    <w:tbl>
      <w:tblPr>
        <w:tblW w:w="10128" w:type="dxa"/>
        <w:jc w:val="left"/>
        <w:tblInd w:w="0" w:type="dxa"/>
        <w:tblLayout w:type="fixed"/>
        <w:tblCellMar>
          <w:top w:w="0" w:type="dxa"/>
          <w:left w:w="0" w:type="dxa"/>
          <w:bottom w:w="0" w:type="dxa"/>
          <w:right w:w="0" w:type="dxa"/>
        </w:tblCellMar>
      </w:tblPr>
      <w:tblGrid>
        <w:gridCol w:w="38"/>
        <w:gridCol w:w="170"/>
        <w:gridCol w:w="992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20" w:type="dxa"/>
            <w:tcBorders/>
            <w:vAlign w:val="center"/>
          </w:tcPr>
          <w:p>
            <w:pPr>
              <w:pStyle w:val="TableContents"/>
              <w:bidi w:val="0"/>
              <w:spacing w:before="0" w:after="0"/>
              <w:jc w:val="both"/>
              <w:rPr>
                <w:color w:val="000000"/>
              </w:rPr>
            </w:pPr>
            <w:r>
              <w:rPr>
                <w:color w:val="000000"/>
              </w:rPr>
              <w:t>Our operations could be harmed if we or our vendors fail to comply with Good Manufacturing Practices.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If our current or any future device products are determined to be medical devices in a particular geographic market, or if our sales force uses these products for medical purposes or makes improper medical claims, our ability to continue to market and distribute such devices could be harmed, and we could face legal or regulatory actions.</w:t>
            </w:r>
          </w:p>
        </w:tc>
      </w:tr>
    </w:tbl>
    <w:tbl>
      <w:tblPr>
        <w:tblW w:w="6603" w:type="dxa"/>
        <w:jc w:val="left"/>
        <w:tblInd w:w="0" w:type="dxa"/>
        <w:tblLayout w:type="fixed"/>
        <w:tblCellMar>
          <w:top w:w="0" w:type="dxa"/>
          <w:left w:w="0" w:type="dxa"/>
          <w:bottom w:w="0" w:type="dxa"/>
          <w:right w:w="0" w:type="dxa"/>
        </w:tblCellMar>
      </w:tblPr>
      <w:tblGrid>
        <w:gridCol w:w="38"/>
        <w:gridCol w:w="170"/>
        <w:gridCol w:w="639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6395" w:type="dxa"/>
            <w:tcBorders/>
            <w:vAlign w:val="center"/>
          </w:tcPr>
          <w:p>
            <w:pPr>
              <w:pStyle w:val="TableContents"/>
              <w:bidi w:val="0"/>
              <w:spacing w:before="0" w:after="0"/>
              <w:jc w:val="both"/>
              <w:rPr>
                <w:color w:val="000000"/>
              </w:rPr>
            </w:pPr>
            <w:r>
              <w:rPr>
                <w:color w:val="000000"/>
              </w:rPr>
              <w:t>We may incur product liability claims that could harm our business.</w:t>
            </w:r>
          </w:p>
        </w:tc>
      </w:tr>
    </w:tbl>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Legal, Regulatory and Compliance Risks</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We may become involved in legal proceedings and other matters that could adversely affect our operations or financial results.</w:t>
            </w:r>
          </w:p>
        </w:tc>
      </w:tr>
    </w:tbl>
    <w:tbl>
      <w:tblPr>
        <w:tblW w:w="9228" w:type="dxa"/>
        <w:jc w:val="left"/>
        <w:tblInd w:w="0" w:type="dxa"/>
        <w:tblLayout w:type="fixed"/>
        <w:tblCellMar>
          <w:top w:w="0" w:type="dxa"/>
          <w:left w:w="0" w:type="dxa"/>
          <w:bottom w:w="0" w:type="dxa"/>
          <w:right w:w="0" w:type="dxa"/>
        </w:tblCellMar>
      </w:tblPr>
      <w:tblGrid>
        <w:gridCol w:w="38"/>
        <w:gridCol w:w="170"/>
        <w:gridCol w:w="902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020" w:type="dxa"/>
            <w:tcBorders/>
            <w:vAlign w:val="center"/>
          </w:tcPr>
          <w:p>
            <w:pPr>
              <w:pStyle w:val="TableContents"/>
              <w:bidi w:val="0"/>
              <w:spacing w:before="0" w:after="0"/>
              <w:jc w:val="both"/>
              <w:rPr>
                <w:color w:val="000000"/>
              </w:rPr>
            </w:pPr>
            <w:r>
              <w:rPr>
                <w:color w:val="000000"/>
              </w:rPr>
              <w:t>Non-compliance or alleged non-compliance with anti-corruption laws could harm our business.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A failure of our internal controls over financial reporting or our regulatory compliance efforts could harm our stock price and our financial and operating results or could result in fines or penalties.</w:t>
            </w:r>
          </w:p>
        </w:tc>
      </w:tr>
    </w:tbl>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Risks Associated with Taxes, Customs and Debt</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We are subject to changes in tax and customs laws, changes in our tax rates, the adoption of new U.S. or international tax legislation or exposure to additional tax liabilities, which could have a material and adverse impact on our effective tax rate, operating results, cash flows and financial condition.</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Government authorities may question our tax or customs positions or change their laws in a manner that could increase our effective tax rate or otherwise harm our business.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A decline in our business could adversely affect our financial position and liquidity, and our debt covenants could limit our ability to pursue transactions or other opportunities that could be beneficial to our business.</w:t>
            </w:r>
          </w:p>
        </w:tc>
      </w:tr>
    </w:tbl>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Intellectual Property Risks</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We may be subject to claims of infringement on the intellectual property rights or trade secrets of others, resulting in costly litigation.</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If we are unable to protect our intellectual property rights or our proprietary information and know-how, our ability to compete could be negatively impacted and the value of our products could be adversely affected.</w:t>
            </w:r>
          </w:p>
        </w:tc>
      </w:tr>
    </w:tbl>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Data Security and Privacy Risks</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pPr>
            <w:r>
              <w:rPr/>
              <w:t xml:space="preserve">Failure to maintain satisfactory compliance with certain privacy and data protections laws and regulations, and the </w:t>
            </w:r>
            <w:r>
              <w:rPr>
                <w:color w:val="000000"/>
              </w:rPr>
              <w:t>integrity</w:t>
            </w:r>
            <w:r>
              <w:rPr/>
              <w:t xml:space="preserve"> of company, employee, sales force, customer or guest data, could expose us to litigation, liability, substantial negative financial consequences and harm to our reputation.</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pPr>
            <w:r>
              <w:rPr/>
              <w:t xml:space="preserve">The </w:t>
            </w:r>
            <w:r>
              <w:rPr>
                <w:color w:val="000000"/>
              </w:rPr>
              <w:t>unauthorized</w:t>
            </w:r>
            <w:r>
              <w:rPr/>
              <w:t xml:space="preserve"> access, use, theft or destruction of our information systems or of data that is stored in our information systems or by third parties on our behalf could impact our reputation and brand and expose us to potential liability and loss of revenues.</w:t>
            </w:r>
          </w:p>
        </w:tc>
      </w:tr>
    </w:tbl>
    <w:tbl>
      <w:tblPr>
        <w:tblW w:w="10053" w:type="dxa"/>
        <w:jc w:val="left"/>
        <w:tblInd w:w="0" w:type="dxa"/>
        <w:tblLayout w:type="fixed"/>
        <w:tblCellMar>
          <w:top w:w="0" w:type="dxa"/>
          <w:left w:w="0" w:type="dxa"/>
          <w:bottom w:w="0" w:type="dxa"/>
          <w:right w:w="0" w:type="dxa"/>
        </w:tblCellMar>
      </w:tblPr>
      <w:tblGrid>
        <w:gridCol w:w="38"/>
        <w:gridCol w:w="170"/>
        <w:gridCol w:w="984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845" w:type="dxa"/>
            <w:tcBorders/>
            <w:vAlign w:val="center"/>
          </w:tcPr>
          <w:p>
            <w:pPr>
              <w:pStyle w:val="TableContents"/>
              <w:bidi w:val="0"/>
              <w:spacing w:before="0" w:after="0"/>
              <w:jc w:val="both"/>
              <w:rPr>
                <w:color w:val="000000"/>
              </w:rPr>
            </w:pPr>
            <w:r>
              <w:rPr>
                <w:color w:val="000000"/>
              </w:rPr>
              <w:t>The use of artificial intelligence could adversely affect our business, results of operations and reputation.</w:t>
            </w:r>
          </w:p>
        </w:tc>
      </w:tr>
    </w:tbl>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Sustainability Risks</w:t>
      </w:r>
    </w:p>
    <w:tbl>
      <w:tblPr>
        <w:tblW w:w="9093" w:type="dxa"/>
        <w:jc w:val="left"/>
        <w:tblInd w:w="0" w:type="dxa"/>
        <w:tblLayout w:type="fixed"/>
        <w:tblCellMar>
          <w:top w:w="0" w:type="dxa"/>
          <w:left w:w="0" w:type="dxa"/>
          <w:bottom w:w="0" w:type="dxa"/>
          <w:right w:w="0" w:type="dxa"/>
        </w:tblCellMar>
      </w:tblPr>
      <w:tblGrid>
        <w:gridCol w:w="38"/>
        <w:gridCol w:w="170"/>
        <w:gridCol w:w="888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8885" w:type="dxa"/>
            <w:tcBorders/>
            <w:vAlign w:val="center"/>
          </w:tcPr>
          <w:p>
            <w:pPr>
              <w:pStyle w:val="TableContents"/>
              <w:bidi w:val="0"/>
              <w:spacing w:before="0" w:after="0"/>
              <w:jc w:val="both"/>
              <w:rPr/>
            </w:pPr>
            <w:r>
              <w:rPr/>
              <w:t xml:space="preserve">Our </w:t>
            </w:r>
            <w:r>
              <w:rPr>
                <w:color w:val="000000"/>
              </w:rPr>
              <w:t>business</w:t>
            </w:r>
            <w:r>
              <w:rPr/>
              <w:t xml:space="preserve"> could be negatively impacted by corporate citizenship and sustainability matters.</w:t>
            </w:r>
          </w:p>
        </w:tc>
      </w:tr>
    </w:tbl>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Risks Related to Our Common Stock</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The market price of our Class A common stock is subject to significant fluctuations due to a number of factors that are beyond our control.</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Risk Factors</w:t>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We face a number of substantial risks. Our business, financial condition or results of operations could be harmed by any of these risks. The trading price of our common stock could decline due to any of these risks, which should be considered together with the other items in this Annual Report on Form 10-K, including Item 1. Business and Item 7. Management’s Discussion and Analysis of Financial Condition and Results of Operations.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Risks Associated with Direct Selling and Our Sales Force</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Challenges to the form of our network marketing system or to our business practices have harmed and could continue to harm our business.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been, and may be in the future, subject to challenges and inquiries by government regulators regarding the form of our network marketing system. Legal and regulatory requirements concerning the direct selling industry generally do not include “bright line” rules and are inherently fact-based and subject to interpretation. As a result, regulators and courts have discretion in their application of these laws and regulations, and the enforcement or interpretation of these laws and regulations by government agencies or courts can change.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past several years, settlements and other judicial orders between the U.S. Federal Trade Commission (“FTC”) and other direct selling companies, as well as guidance from the FTC, have addressed inappropriate earnings and lifestyle claims, problematic compensation structures and the importance of focusing on consumers. These developments have created ambiguity as to the proper interpretation of the law and related court decisions. The FTC has been active in its enforcement activities and, in some cases, has taken action that required other multi-level marketing companies to cease engaging in multi-level marketing or to modify their business models. Any adverse rulings or legal actions could impact our business if direct selling laws or anti-pyramid laws are interpreted more narrowly or in a manner that results in additional burdens or restrictions on direct selling companies. For example:</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pPr>
            <w:r>
              <w:rPr/>
              <w:t>In 2021, the FTC sent a notice to more than 1,100 companies, including us, that outlined several practices that the FTC determined to be unfair or deceptive in prior administrative cases. These practices relate to earnings claims, other money-making opportunity claims, and endorsements and testimonials. Pursuant to the FTC’s “penalty offense authority,” companies that received the notice are expected to comply with the standards set in the prior administrative cases and could incur significant civil penalties if they or their representatives fail to do so.</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pPr>
            <w:r>
              <w:rPr/>
              <w:t>In 2024, the FTC issued guidance concerning multi-level marketing. The guidance indicates an increasingly restrictive view of multi-level marketing, compensation structures, earnings claims and a company’s protection from liability for claims made by members of its sales force.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pPr>
            <w:r>
              <w:rPr/>
              <w:t>In 2025, the FTC issued a Notice of Proposed Rulemaking (“NPR”) and an Advanced Notice of Proposed Rulemaking (“ANPR”) regarding potential rules governing earnings claims for multi-level marketers. The NPR proposes to prohibit multi-level marketers from making deceptive earnings claims, and it would require them to have written substantiation to back up any earnings claims and make that substantiation available to consumers upon request. The ANPR indicates that the FTC is considering additional restrictions on earnings claims and recruiting by multi-level marketers. The NPR and ANPR are part of ongoing rulemaking processes, and the scope, timing and final form of any rules remain uncertain.</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Although we take steps to educate our sales force on proper claims, members of our sales force might make improper claims, or regulators might determine we are making improper claims. Either of these actions could lead to an FTC investigation and could harm our business. The FTC’s increased scrutiny of earnings claims, as reflected in the NPR and ANPR, could lead to additional FTC actions regarding improper claims. It could also contribute to new industry standards or new rules that could limit our ability, and the ability of our sales force, to make earnings claims, which could harm our ability to grow our sales force.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any FTC proposed rules, guidance or enforcement actions could lead to new industry standards or new rules, or they could limit the levels in the network for which payments can be made, any of which could impact our business and require us to amend our global sales compensation plan. With a majority of our revenue in the United States coming from sales to retail customers and preferred customers, we believe that we can demonstrate consumer demand for our products, but this may not be sufficient under the FTC’s increasingly restrictive view of multi-level marketing and we continue to monitor developments to assess whether we should make any changes to our business or global sales compensation plan. If we are required to make changes due to either rulemaking or an enforcement action against our company, our business could be harmed.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From time to time, we also are subject to challenges by private parties in civil actions. We are aware of civil actions against other direct-selling companies in the United States that have resulted in significant settlements, and any civil actions against us could similarly result in significant settlements. Allegations directed at us and our competitors regarding the legality of multi-level marketing in various markets and adverse media reports have also created intense public scrutiny of us and our industry. Consumer protection groups and organizations (such as the Better Business Bureau and Truth in Advertising) also generate media and regulatory scrutiny of companies in our industry through regulatory referrals and other channels of publicity. All of these actions and any future scrutiny of us or our industry could generate negative publicity or further regulatory actions that could result in fines, restrict our ability to conduct our business in our various markets, enter into new markets, motivate our sales force and attract consumers.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Direct selling laws and regulations vary globally, are subject to interpretation or change, and may prohibit or severely restrict direct selling and cause our revenue and profitability to decline.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Various government agencies throughout the world regulate direct sales practices. Laws and regulations in the United States, Japan, South Korea, Vietnam, India and Mainland China are particularly stringent and subject to broad discretion in enforcement by regulators. These laws and regulations are generally intended to prevent fraudulent or deceptive schemes, often referred to as “pyramid schemes,” that compensate participants primarily for recruiting additional participants without significant emphasis on product sales to consumers. The laws and regulations in our current markets often:</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impose requirements related to sign-up, order cancellations, product returns, inventory buy-backs and cooling-off periods for our sales force and consumers;</w:t>
            </w:r>
          </w:p>
        </w:tc>
      </w:tr>
    </w:tbl>
    <w:tbl>
      <w:tblPr>
        <w:tblW w:w="6558" w:type="dxa"/>
        <w:jc w:val="left"/>
        <w:tblInd w:w="0" w:type="dxa"/>
        <w:tblLayout w:type="fixed"/>
        <w:tblCellMar>
          <w:top w:w="0" w:type="dxa"/>
          <w:left w:w="0" w:type="dxa"/>
          <w:bottom w:w="0" w:type="dxa"/>
          <w:right w:w="0" w:type="dxa"/>
        </w:tblCellMar>
      </w:tblPr>
      <w:tblGrid>
        <w:gridCol w:w="38"/>
        <w:gridCol w:w="170"/>
        <w:gridCol w:w="635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6350" w:type="dxa"/>
            <w:tcBorders/>
            <w:vAlign w:val="center"/>
          </w:tcPr>
          <w:p>
            <w:pPr>
              <w:pStyle w:val="TableContents"/>
              <w:bidi w:val="0"/>
              <w:spacing w:before="0" w:after="0"/>
              <w:jc w:val="both"/>
              <w:rPr>
                <w:color w:val="000000"/>
              </w:rPr>
            </w:pPr>
            <w:r>
              <w:rPr>
                <w:color w:val="000000"/>
              </w:rPr>
              <w:t>require us, or our sales force, to register with government agencies;</w:t>
            </w:r>
          </w:p>
        </w:tc>
      </w:tr>
    </w:tbl>
    <w:tbl>
      <w:tblPr>
        <w:tblW w:w="7098" w:type="dxa"/>
        <w:jc w:val="left"/>
        <w:tblInd w:w="0" w:type="dxa"/>
        <w:tblLayout w:type="fixed"/>
        <w:tblCellMar>
          <w:top w:w="0" w:type="dxa"/>
          <w:left w:w="0" w:type="dxa"/>
          <w:bottom w:w="0" w:type="dxa"/>
          <w:right w:w="0" w:type="dxa"/>
        </w:tblCellMar>
      </w:tblPr>
      <w:tblGrid>
        <w:gridCol w:w="38"/>
        <w:gridCol w:w="170"/>
        <w:gridCol w:w="689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6890" w:type="dxa"/>
            <w:tcBorders/>
            <w:vAlign w:val="center"/>
          </w:tcPr>
          <w:p>
            <w:pPr>
              <w:pStyle w:val="TableContents"/>
              <w:bidi w:val="0"/>
              <w:spacing w:before="0" w:after="0"/>
              <w:jc w:val="both"/>
              <w:rPr>
                <w:color w:val="000000"/>
              </w:rPr>
            </w:pPr>
            <w:r>
              <w:rPr>
                <w:color w:val="000000"/>
              </w:rPr>
              <w:t>impose limits on the amount and type of sales compensation we can pay;</w:t>
            </w:r>
          </w:p>
        </w:tc>
      </w:tr>
    </w:tbl>
    <w:tbl>
      <w:tblPr>
        <w:tblW w:w="3573" w:type="dxa"/>
        <w:jc w:val="left"/>
        <w:tblInd w:w="0" w:type="dxa"/>
        <w:tblLayout w:type="fixed"/>
        <w:tblCellMar>
          <w:top w:w="0" w:type="dxa"/>
          <w:left w:w="0" w:type="dxa"/>
          <w:bottom w:w="0" w:type="dxa"/>
          <w:right w:w="0" w:type="dxa"/>
        </w:tblCellMar>
      </w:tblPr>
      <w:tblGrid>
        <w:gridCol w:w="38"/>
        <w:gridCol w:w="170"/>
        <w:gridCol w:w="336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3365" w:type="dxa"/>
            <w:tcBorders/>
            <w:vAlign w:val="center"/>
          </w:tcPr>
          <w:p>
            <w:pPr>
              <w:pStyle w:val="TableContents"/>
              <w:bidi w:val="0"/>
              <w:spacing w:before="0" w:after="0"/>
              <w:jc w:val="both"/>
              <w:rPr>
                <w:color w:val="000000"/>
              </w:rPr>
            </w:pPr>
            <w:r>
              <w:rPr>
                <w:color w:val="000000"/>
              </w:rPr>
              <w:t>impose reporting requirements; and</w:t>
            </w:r>
          </w:p>
        </w:tc>
      </w:tr>
    </w:tbl>
    <w:tbl>
      <w:tblPr>
        <w:tblW w:w="8853" w:type="dxa"/>
        <w:jc w:val="left"/>
        <w:tblInd w:w="0" w:type="dxa"/>
        <w:tblLayout w:type="fixed"/>
        <w:tblCellMar>
          <w:top w:w="0" w:type="dxa"/>
          <w:left w:w="0" w:type="dxa"/>
          <w:bottom w:w="0" w:type="dxa"/>
          <w:right w:w="0" w:type="dxa"/>
        </w:tblCellMar>
      </w:tblPr>
      <w:tblGrid>
        <w:gridCol w:w="38"/>
        <w:gridCol w:w="170"/>
        <w:gridCol w:w="864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8645" w:type="dxa"/>
            <w:tcBorders/>
            <w:vAlign w:val="center"/>
          </w:tcPr>
          <w:p>
            <w:pPr>
              <w:pStyle w:val="TableContents"/>
              <w:bidi w:val="0"/>
              <w:spacing w:before="0" w:after="0"/>
              <w:jc w:val="both"/>
              <w:rPr/>
            </w:pPr>
            <w:r>
              <w:rPr>
                <w:color w:val="000000"/>
              </w:rPr>
              <w:t>require that</w:t>
            </w:r>
            <w:r>
              <w:rPr/>
              <w:t xml:space="preserve"> our sales force is compensated for selling products and not for recruiting others.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Complying with these widely varying and sometimes inconsistent rules and regulations can be difficult, time-consuming and expensive, and requires significant resources. The laws and regulations governing direct selling are modified from time to time, and like other direct selling companies, we are subject from time to time to government inquiries and investigations in our various markets related to our direct selling activities. This can require us to make changes to our business model and aspects of our sales compensation plan in the markets impacted by such changes and investigations. For example, in 2025, the FTC issued a Notice of Proposed Rulemaking (“NPR”) and an Advanced Notice of Proposed Rulemaking (“ANPR”) regarding potential rules governing earnings claims for multi-level marketers. The NPR proposes to prohibit multi-level marketers from making deceptive earnings claims, and it would require them to have written substantiation to back up any earnings claims and make that substantiation available to consumers upon request. The ANPR indicates that the FTC is considering additional restrictions on earnings claims and recruiting by multi-level marketers. In addition, markets where we currently do business could change their laws or regulations to prohibit direct selling. If we are unable to obtain necessary licenses and certifications within required deadlines or continue business in existing markets or commence operations in new markets because of these laws, our revenue and profitability may decline. Any delay could negatively impact our revenue.</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Improper sales force actions could harm our business.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Sales force activities that violate applicable laws, regulations or policies, or that are alleged to do so, have harmed our business and reputation and resulted in government or third-party actions against us, and they could do so in the future.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example, in 2014, allegations were made by various media outlets that certain of our sales representatives in Mainland China failed to adequately follow and enforce our policies and regulations. This adverse publicity, as well as a government review and actions that we voluntarily took to address the situation, resulted in a significant negative impact on our revenue and the number of Sales Leaders and Customers in the region. Similar or more extreme actions by government agencies in Mainland China or other markets in the future could have a significant adverse impact on our business and results of operations.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direct selling industry in Japan continues to experience regulatory and media scrutiny, and other direct selling companies have been suspended from sponsoring activities. Japan imposes strict requirements regarding how Brand Affiliates approach prospective customers. From time to time, we receive information from consumer centers in certain prefectures about the number of general inquiries and complaints about us and our Brand Affiliates, and we also sometimes receive warnings to reduce such complaints. Based on this information, we continually evaluate and enhance our Brand Affiliate compliance, education and training efforts in Japan. However, we cannot be certain that our efforts will successfully prevent regulatory actions against us, including fines, suspensions or other sanctions, or that the company and the direct selling industry will not receive further negative media attention, all of which could harm our business.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Except in Mainland China, members of our sales force are not employees and act independently of us. The most significant area of risk for such activities relates to improper product claims and claims regarding the business opportunity of joining our sales force. For example, in 2021, the FTC sent a notice to more than 1,100 companies, including us, that outlined several practices that the FTC determined to be unfair or deceptive in prior administrative cases. These practices relate to earnings claims, other money-making opportunity claims, and endorsements and testimonials. Pursuant to the FTC’s “penalty offense authority,” companies that received the notice are expected to comply with the standards set in the prior administrative cases and could incur significant civil penalties if they or their representatives fail to do so.</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implement strict policies and procedures to help ensure our sales force complies with legal requirements. However, given the size of our sales force, we experience problems from time to time. For example, product claims made by some of our sales force in 1990 and 1991 led to a FTC investigation that resulted in our entering into two consent agreements with the FTC and various agreements with state regulatory agencies. In addition, rulings by the South Korean Fair Trade Commission and by judicial authorities against us and other companies in South Korea indicate that, if our sales force engages in criminal activity, we may be held liable or penalized for failure to supervise them adequately. Our sales force may attempt to anticipate which markets we will open in the future and begin marketing and sponsoring activities in markets where we are not qualified to conduct business. We could face fines, suspensions or other legal action if our sales force violates applicable laws and regulations, and our reputation and brand could be negatively impacted.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as our sales force increasingly uses social media and our digital tools to promote our business opportunity and products, this increases the burden on us to monitor compliance of such activities, and it increases the risk that such social media content or digital content (such as statements made on social media or within the chat feature of our apps) could contain claims that violate our policies and/or applicable regulations. For example, due to the borderless nature of social media, a claim that is allowed in one market may ultimately reach another market where it is not allowed.</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Social media platforms’ decisions to prohibit, block or decrease the prominence of our sales force’s content could harm our business.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Social media platforms have decided, and could in the future decide, to prohibit, block or decrease the prominence of our sales force’s content and livestreaming for any reason, or terminate their social media accounts, which could harm our business, particularly as our business is becoming increasingly dependent on the use of social and digital platforms to support our direct selling channel.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social media platforms may deplatform, suspend, ban, or otherwise restrict access to Nu Skin’s company-operated social media accounts or advertising accounts, or limit our ability to use certain platform features, for a variety of reasons, including alleged violations of platform policies, changes in enforcement practices, automated moderation decisions, or shifts in platform business priorities. Any such actions could reduce our ability to communicate with consumers and our sales force, support product launches and initiatives, and protect and promote our brands, which could materially harm our business, reputation and results of operations.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example, due to concerns with multi-level marketing, the TikTok and WhatsApp Business platforms’ community guidelines prohibit content related to multi-level marketing. In addition, Pinterest and Facebook prohibit ads that promote multi-level marketing opportunities, and Pinterest has also imposed restrictions on weight loss products, claims and photos. Also, Douyin prohibits specific words or claims, particularly relating to health and wellness, during livestreaming. Moreover, some social media platforms reduce visibility of product offers or posts based on pricing, degree of brand awareness or other factors that could apply to our products. Additional social media platforms’ adoption of similar or stricter policies could significantly hamper our sales force’s ability to promote our products and attract consumers, which could cause our revenue to decline. Restrictions, suspensions or bans of our company accounts or our sales force’s accounts could also disrupt our marketing activities with little or no advance notice and with limited ability to appeal or obtain timely relief. Our reputation could also be harmed if our sales force violates any social media platform’s community guidelines.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If our business practices or policies or the actions of our sales force are found to be in violation of applicable local regulations regarding foreigners, then we could be sanctioned and/or required to change our business model, which could significantly harm our business.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sales force is required to comply with our residency and work authorization policies and other local legal requirements prior to working in a market. Some markets, including Mainland China, Vietnam and India, also prohibit or restrict participation of overseas personnel or foreigners in direct selling activities. We cannot assure that actions of our sales force will not violate local laws or regulations. If our business practices or policies or the actions of our sales force are found to be in violation of applicable regulations as they may be interpreted or enforced, then we could be sanctioned and/or required to change our business model, which could result in adverse publicity and significantly harm our business.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Our sales compensation plans or other incentives could be viewed negatively by some of our sales force, could be restricted by government regulators, and could fail to achieve desired long-term results and have a negative impact on revenue.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sales compensation includes some components that differ from market to market. We modify components of our sales compensation from time to time to keep our sales compensation plans and business models competitive and attractive to our existing sales force and people interested in joining our sales force, to address changing market dynamics, to provide incentives to our sales force that we believe will help grow our business, to conform to local regulations and to address other business needs. Because of the size of our sales force and the complexity of our sales compensation plans, it is difficult to predict how such changes will be viewed by our sales force and whether such changes will achieve their desired results. It also is difficult to predict how such changes may impact our ability to attract a larger potential target market of opportunity seekers. Certain changes we have made to our global sales compensation plan in the past, which were successful in several markets, did not achieve anticipated results in certain other markets, were not viewed positively by some segments of our sales force, and negatively impacted our business. Similarly, we face the risk that we could fail to make changes to our compensation plans that would be necessary to keep our compensation competitive with the market, compliant with changing regulations, and allow us to attract new opportunity seekers or segments of opportunity seekers, which could have a negative impact on our sales force.</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Limits on the amount of sales compensation we pay could inhibit our ability to attract and retain our sales force, negatively impact our revenue and cause regulatory risks.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Several markets, including Mainland China, South Korea, Indonesia and Vietnam, impose limits on the amount of sales compensation we can pay to our sales force. For example, under regulations in Mainland China, direct selling companies may pay independent direct sellers in Mainland China up to a maximum 30% of the revenue they generate through their own sales of products to consumers. Additionally, in South Korea, local regulations limit sales compensation to 35% of the total price of goods or services supplied in South Korea. These regulations may limit the incentive for people to join our sales force and may reduce our ability to differentiate ourselves from our competitors in attracting and retaining our sales force.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we have been required to modify our sales compensation plan in certain markets, including South Korea and Vietnam, from time to time to remain in compliance with applicable sales compensation limits. Because sales compensation, as a percentage of revenue, can fluctuate as sales force productivity fluctuates, we may be required to make further changes to stay within applicable sales compensation limits or may be at risk of exceeding them. In addition, which revenues and expenses are within the scope of these regulations is not always clear, and interpretation and enforcement of these laws are subject to change, which could require us to make further changes or result in non-compliance with these regulations. Any failure to keep sales compensation within legal limits in Mainland China, South Korea, Indonesia, Vietnam or any other market that imposes a sales compensation limit could result in fines or other sanctions, including suspensions.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We may be held responsible for certain taxes, assessments and other requirements relating to the activities of our sales force, which could harm our financial condition and operating results.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are subject to the risk in some jurisdictions of being responsible for social security taxes, withholding or other taxes, minimum wage laws, and related assessments and penalties with respect to our sales force. This would occur if a jurisdiction classifies our sales force as our employees rather than as independent contractors, or if a jurisdiction expands the categories of personnel to whom these tax obligations apply.</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pPr>
            <w:r>
              <w:rPr/>
              <w:t xml:space="preserve">The laws and </w:t>
            </w:r>
            <w:r>
              <w:rPr>
                <w:color w:val="000000"/>
              </w:rPr>
              <w:t>interpretations</w:t>
            </w:r>
            <w:r>
              <w:rPr/>
              <w:t xml:space="preserve"> regarding “independent contractor” status in certain jurisdictions, including the United States and the European Union, continue to evolve, and in some cases, authorities have sought to apply these laws unfavorably against gig economy, platform and direct selling companies. For example, in 2024, a regulation of the U.S. Department of Labor went into effect that alters the employee vs. independent contractor analysis under the Fair Labor Standards Act in a way that could potentially cause more workers to be classified as employees. In addition, the European Union’s Platform Work Directive, which was adopted in 2024, directs EU member states to implement national laws by December 2026 regulating the classification of platform workers and setting a rebuttable presumption of employment in certain scenarios. There may be differences in how the various EU member states implement this directive.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pPr>
            <w:r>
              <w:rPr/>
              <w:t>Some jurisdictions have, without challenging the “independent contractor” status, taken the position that direct sellers must nonetheless pay certain taxes with respect to payments to their sales force.</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the event that local laws and regulations, or the interpretation of local laws and regulations, require us to treat members of our sales force as employees rather than independent contractors (or to comply with similar requirements regardless of whether our sales force is classified as employees), this could harm our financial condition and operating results. This risk increases as our sales force increases its use of social sharing, as several jurisdictions’ regulations protect in-person or in-home sales demonstrations from creating an employment relationship but are less protective of online demonstrations. If our Brand Affiliates were deemed to be employees rather than independent contractors, we would also face the risk of increased liability for their actions.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Sales Leaders could also face similar risks with respect to the Brand Affiliates in their sales organizations who may claim they are employees of the Sales Leader rather than independent contractors or independent business owners, which could impact their sales operations or lead them to cease their participation in our business.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Risks Associated with Market Conditions and Competition</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Inability of products, platforms, business opportunities and other initiatives to gain or maintain sales force and market acceptance could harm our business, and trends among older and younger generations of customers contribute to this risk.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Over the past several years, the environment for direct selling has become increasingly difficult due to customer trends, increased competition from other affiliate marketing, influencer and gig economy businesses, and a stricter regulatory environment across many of our markets. Our ability to improve our financial performance largely depends on our ability to anticipate and react in a timely and effective manner to changes in consumer spending patterns and preferences regarding products, platforms, and business opportunities in the affiliate gig and sharing economy, including changes in how consumers discover, evaluate and purchase products. For example, we have observed an increasing shift in certain markets (including Mainland China) toward third-party online product marketplaces and other digital commerce channels. Our operating results have been and could be adversely affected if our business opportunities, platforms, products and other initiatives do not generate sufficient enthusiasm and economic benefit to retain our existing consumers and sales force or to attract new consumers and sales force members.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Factors affecting the attractiveness of our business opportunities, platforms, products and other initiatives include, among other things, shifting consumer demands, perceived product quality and value, similarities to other products, product exclusivity or effectiveness, growth of the gig economy and influencer marketing, disruption of retail commerce and e-commerce by social commerce, the increasing prominence of third-party online product marketplaces, demographic trends, the strength of our brand and public image, growth of connected commerce, sustainability factors, diversity and inclusion initiatives, economic competitiveness of our business opportunity in the marketplace, perceived ability of potential affiliates to succeed in our business opportunity, accepted methods of selling products to customers in the affiliate and member-based platform environment, the quality and accuracy of the data we use in running our business, our technology infrastructure and capabilities, restrictions in social or digital media for sharing products and attracting consumers, adverse media attention, regulatory restrictions on claims and the ease of new startup entrepreneurship via artificial intelligence platforms. If we are unable to anticipate or adapt to changes in consumer preferences and trends, our business, financial condition and operating results could be materially adversely affected. Likewise, if we are unable to anticipate or adapt to changes in the affiliate marketing, gig and sharing economies or the artificial intelligence landscape, our ability to capture growth trends in the social commerce marketplace could be materially adversely affected.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To adapt our business to current macroeconomic trends, we are taking the following actions, all of which entail risks: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pPr>
            <w:r>
              <w:rPr>
                <w:color w:val="000000"/>
              </w:rPr>
              <w:t>From time to time we roll out enhancements to our sales compensation plan that incorporates additional features that may appeal to prospective affiliates in the current macroeconomic environment. However, the need to develop affiliate sales teams to take full advantage of our sales compensation plans or other incentives may be viewed negatively by prospective affiliates who are familiar with other gig and sharing opportunities. In addition, even if the changes to our sales compensation structure are successful in attracting such prospective affiliates, the changes might at the same time be viewed negatively by current and long-time members of our sales force who have already developed affiliate sales teams. We plan to continually evaluate potential changes to our sales compensation structure to address the evolving commercial environment, and any such changes could have a negative impact on our revenue</w:t>
            </w:r>
            <w:r>
              <w:rPr/>
              <w:t> </w:t>
            </w:r>
            <w:r>
              <w:rPr>
                <w:color w:val="000000"/>
              </w:rPr>
              <w:t>and could adversely affect sales force retention and productivity.</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have developed, and continue to develop and enhance, digital tools with improved e-commerce functionality to help our sales force build their businesses. We also develop connected devices and other products to help us transform into a more digital and socially enabled business. These initiatives have required significant expenditures and will continue to require significant expenditures. We face the risk that we will ultimately be unable to develop these items, that their development will be more costly or take longer than anticipated, or that the applications and platforms we have and will develop will not meet the expectations of our sales force and/or consumers. Any of these eventualities could have a material negative impact on our business, sales force, consumer development and revenue.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pPr>
            <w:r>
              <w:rPr/>
              <w:t xml:space="preserve">We </w:t>
            </w:r>
            <w:r>
              <w:rPr>
                <w:color w:val="000000"/>
              </w:rPr>
              <w:t>are currently pursuing an initiative to optimize the size of our product portfolio, which includes the discontinuation of some products. If we are unable to transition existing customers to a similar or alternative product, or we are unable to anticipate changes in consumer and sales force preferences and trends, or the discontinuation of products causes increased customer attrition, our business, financial condition and operating results could be materially adversely affected.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jc w:val="both"/>
              <w:rPr/>
            </w:pPr>
            <w:r>
              <w:rPr/>
              <w:t>We are currently endeavoring to help our sales force penetrate previously untapped emerging markets. These include new geographies, such as India, as well as new market segments within a geographic market. We face the risk that our current product portfolio, compensation plan and business positioning will not appeal to these target markets. In addition, any changes to products or compensation and incentives to appeal to these emerging markets may create a perception of competition with or distraction to our existing developed market sales leaders. While we see significant upside potential in emerging markets, any of the eventualities noted above could have a material adverse effect on our business, sales force, and revenue.</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in our more mature markets, one of the challenges we face is keeping Sales Leaders with established businesses and high-income levels motivated and actively engaged in business building activities and in developing new Sales Leaders. We also face challenges retaining our sales force as the population of our markets transitions to a younger, millennial/Gen Z demographic, with its associated new and different dynamics of connection through social media platforms, gratification and loyalty behaviors, particularly as this segment becomes a greater share of our revenue. It is possible that, over time, increasing negative perceptions about business opportunities that involve multi-level compensation programs, particularly as affiliate marketing programs gain greater prominence in the gig economy, could develop and increase among these younger demographics, which would be detrimental to our business if we are unable to adapt and offer similar opportunities and rewards while still differentiating our business. In addition, as affiliate marketing programs gain greater market share, our competition for participants from our target market becomes more intense.  Moreover, when sales through social sharing do not generate repeat purchases or subscriptions at the same rate as other sales, this creates revenue volatility and/or declines. Many in younger demographic groups actively use social sharing across multiple business opportunity platforms. Some of our initiatives have not generated lasting excitement and engagement among our sales force in the long term, and at times, our initiatives have not sufficiently generated sales force activity and productivity or motivated Sales Leaders to remain engaged in business building and developing new Sales Leaders. These outcomes could recur in the future. Some initiatives have had, and could continue to have, unanticipated negative impacts on our sales force, particularly changes to our sales compensation plans, incentive rewards, and recognition practices.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introduction of a new product or key initiative also can have negative impacts on our operating results. For example, a new product or initiative could negatively impact other product lines if Sales Leaders shift their efforts toward the new product or initiative, and can adversely affect channel growth if that shift disrupts existing business-building systems and practices. Alternatively, if Sales Leaders choose not to promote the new product or initiative, then the product or initiative might not generate a meaningful amount of revenue for our business. This risk could materialize with our </w:t>
      </w:r>
      <w:r>
        <w:rPr>
          <w:rFonts w:ascii="Times New Roman" w:hAnsi="Times New Roman"/>
          <w:i/>
          <w:color w:val="000000"/>
          <w:sz w:val="20"/>
          <w:shd w:fill="FFFFFF" w:val="clear"/>
        </w:rPr>
        <w:t>Prysm iO</w:t>
      </w:r>
      <w:r>
        <w:rPr>
          <w:rFonts w:ascii="Times New Roman" w:hAnsi="Times New Roman"/>
          <w:color w:val="000000"/>
          <w:sz w:val="20"/>
          <w:shd w:fill="FFFFFF" w:val="clear"/>
        </w:rPr>
        <w:t xml:space="preserve"> device, which we have begun to launch and plan to continue rolling out in 2026. </w:t>
      </w:r>
      <w:r>
        <w:rPr>
          <w:rFonts w:ascii="Times New Roman" w:hAnsi="Times New Roman"/>
          <w:i/>
          <w:color w:val="000000"/>
          <w:sz w:val="20"/>
          <w:shd w:fill="FFFFFF" w:val="clear"/>
        </w:rPr>
        <w:t>Prysm iO</w:t>
      </w:r>
      <w:r>
        <w:rPr>
          <w:rFonts w:ascii="Times New Roman" w:hAnsi="Times New Roman"/>
          <w:color w:val="000000"/>
          <w:sz w:val="20"/>
          <w:shd w:fill="FFFFFF" w:val="clear"/>
        </w:rPr>
        <w:t xml:space="preserve"> is a wellness device designed to assess key nutritional indicators and translate those insights into personalized supplement and product recommendations. Many of our Sales Leaders could be hesitant to incorporate wellness products generally, or </w:t>
      </w:r>
      <w:r>
        <w:rPr>
          <w:rFonts w:ascii="Times New Roman" w:hAnsi="Times New Roman"/>
          <w:i/>
          <w:color w:val="000000"/>
          <w:sz w:val="20"/>
          <w:shd w:fill="FFFFFF" w:val="clear"/>
        </w:rPr>
        <w:t>Prysm iO</w:t>
      </w:r>
      <w:r>
        <w:rPr>
          <w:rFonts w:ascii="Times New Roman" w:hAnsi="Times New Roman"/>
          <w:color w:val="000000"/>
          <w:sz w:val="20"/>
          <w:shd w:fill="FFFFFF" w:val="clear"/>
        </w:rPr>
        <w:t xml:space="preserve"> specifically, into their sales efforts, particularly if (1) they already have success with other products; (2) they decide not to expend the time, training and resources to transition to </w:t>
      </w:r>
      <w:r>
        <w:rPr>
          <w:rFonts w:ascii="Times New Roman" w:hAnsi="Times New Roman"/>
          <w:i/>
          <w:color w:val="000000"/>
          <w:sz w:val="20"/>
          <w:shd w:fill="FFFFFF" w:val="clear"/>
        </w:rPr>
        <w:t>Prysm iO</w:t>
      </w:r>
      <w:r>
        <w:rPr>
          <w:rFonts w:ascii="Times New Roman" w:hAnsi="Times New Roman"/>
          <w:color w:val="000000"/>
          <w:sz w:val="20"/>
          <w:shd w:fill="FFFFFF" w:val="clear"/>
        </w:rPr>
        <w:t xml:space="preserve">; (3) the user experience with </w:t>
      </w:r>
      <w:r>
        <w:rPr>
          <w:rFonts w:ascii="Times New Roman" w:hAnsi="Times New Roman"/>
          <w:i/>
          <w:color w:val="000000"/>
          <w:sz w:val="20"/>
          <w:shd w:fill="FFFFFF" w:val="clear"/>
        </w:rPr>
        <w:t>Prysm iO</w:t>
      </w:r>
      <w:r>
        <w:rPr>
          <w:rFonts w:ascii="Times New Roman" w:hAnsi="Times New Roman"/>
          <w:color w:val="000000"/>
          <w:sz w:val="20"/>
          <w:shd w:fill="FFFFFF" w:val="clear"/>
        </w:rPr>
        <w:t xml:space="preserve"> proves to be sub-optimal; (4) </w:t>
      </w:r>
      <w:r>
        <w:rPr>
          <w:rFonts w:ascii="Times New Roman" w:hAnsi="Times New Roman"/>
          <w:i/>
          <w:color w:val="000000"/>
          <w:sz w:val="20"/>
          <w:shd w:fill="FFFFFF" w:val="clear"/>
        </w:rPr>
        <w:t>Prysm iO</w:t>
      </w:r>
      <w:r>
        <w:rPr>
          <w:rFonts w:ascii="Times New Roman" w:hAnsi="Times New Roman"/>
          <w:color w:val="000000"/>
          <w:sz w:val="20"/>
          <w:shd w:fill="FFFFFF" w:val="clear"/>
        </w:rPr>
        <w:t xml:space="preserve"> does not generate increased subscription sales of our nutritional supplement products; or (5) </w:t>
      </w:r>
      <w:r>
        <w:rPr>
          <w:rFonts w:ascii="Times New Roman" w:hAnsi="Times New Roman"/>
          <w:i/>
          <w:color w:val="000000"/>
          <w:sz w:val="20"/>
          <w:shd w:fill="FFFFFF" w:val="clear"/>
        </w:rPr>
        <w:t>Prysm iO</w:t>
      </w:r>
      <w:r>
        <w:rPr>
          <w:rFonts w:ascii="Times New Roman" w:hAnsi="Times New Roman"/>
          <w:color w:val="000000"/>
          <w:sz w:val="20"/>
          <w:shd w:fill="FFFFFF" w:val="clear"/>
        </w:rPr>
        <w:t xml:space="preserve"> does not perform sufficiently well on social platforms to support adoption among younger demographics.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our ability to develop and introduce new products could be impacted by, among other things, government regulations, changing policies in social media and other communications platforms, the inability to attract and retain qualified staff, the termination of third-party research and collaborative arrangements, intellectual property of competitors that may limit our ability to offer innovative products or that challenge our own intellectual property, problems related to manufacturing or quality control, and difficulties in anticipating changes in consumer tastes and buying preferences. Our operating results could be adversely impacted if our products fail to gain or maintain sales force and market acceptance or if our successful new products undercut the sales of our other products. In addition, if any of our products fails to deliver on consumer or sales force expectations, we could see an increase in product returns.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Additionally, independent third parties and consumers often review our products as well as those of our competitors. Perceptions of our product offerings in the marketplace may be significantly influenced by these reviews, which are disseminated via various media, including the internet. If reviews of our products or our brands are negative or less positive as compared to those of our competitors, our brands may be adversely affected and our business, financial condition and results of operations may be materially harmed.</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Difficult economic conditions could harm our business.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Difficult economic conditions, such as high unemployment levels, inflation, deflation, or recession, have in the past, and could continue to, adversely affect our business by causing a decline in demand for our products, particularly if the economic conditions are prolonged or worsen. In addition, economic conditions may adversely impact access to capital for us and our suppliers, may decrease the ability of our sales force and consumers to obtain or maintain credit cards, may cause governments to increase their regulatory enforcement activity to alleviate budget shortfalls, and may otherwise adversely impact our operations and overall financial condition. For example, we believe inflation had a negative impact on our 2022 and 2023 sales by curbing the discretionary spending of our consumers. Inflation also has increased the cost of our inventory and shipping expenses. In addition, the economy in Mainland China continued to be challenging during 2025, including deflationary and international trade pressures, capital markets, and tangible asset markets. All of these conditions could continue in 2026.</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Our markets are intensely competitive, and market conditions and the strengths of competitors may harm our business.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markets for our products are intensely competitive. The success of our products is dependent on our ability to anticipate and respond to market trends and changes in consumer preferences and to maintain a product offering and pipeline that is relevant and priced accessibly to consumers and compelling to affiliates who have a desire to use our products to build an independent business opportunity. Our products compete directly with branded, premium retail products and with the products of other direct selling companies, and many of our competitors have much greater name recognition and financial resources than we have, which may give them a competitive advantage. Because of regulatory restrictions concerning claims about the efficacy of beauty and wellness products, we may have difficulty differentiating our products from our competitors’ products, and competing products entering the beauty and wellness market could harm our revenue. In addition, our business may be negatively impacted if we fail to adequately adapt to trends in consumer behavior and technologies to meet consumers’ needs and demands and reach a wider audience or if we fail to provide a competitive product price to value proposition to consumers.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also compete with other direct selling companies, affiliate marketing companies and gig economy companies to attract and retain our sales force and consumers. Some of these competitors have longer operating histories and greater visibility, name recognition and financial resources than we do. Some of our competitors have also adopted and could continue to adopt some of our successful business strategies, including our global sales compensation plan and our product development philosophy and focus. Moreover, certain companies in the affiliate marketing and gig economy are growing rapidly and enable seamless product sharing via social media platforms. In some of our markets, these social media platforms are integrated into product marketplaces to enable even faster affiliation of product offerings to potential customers. These companies have disrupted and continue to disrupt the traditional direct selling space. Consequently, to successfully compete in this industry, and attract and retain our sales force and consumers, we must ensure that our business opportunities and sales compensation plans are financially rewarding and innovative. Successfully marketing our sales compensation plan in a way that differentiates it from our competitors could become more difficult as the FTC increases its scrutiny of earnings claims and compensation structures. Likewise, continued tightening of social media platform policies could limit our sales force’s ability to differentiate our products and business opportunities. Although we believe we have significant competitive advantages, we cannot assure that we will be able to continue to successfully compete in this industry.</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Adverse publicity concerning our business, marketing plan, products or people could harm our business and reputation.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Growth in our sales force and consumers and our results of operations can be particularly impacted by adverse publicity. Given the nature of our operations, lack of clarity on applicable legal requirements and standards, and our continuous need to recruit and retain consumers and members of our sales force, we are particularly vulnerable to adverse publicity. Specifically, we are susceptible to adverse publicity concerning:</w:t>
      </w:r>
    </w:p>
    <w:p>
      <w:pPr>
        <w:pStyle w:val="TextBody"/>
        <w:bidi w:val="0"/>
        <w:spacing w:before="0" w:after="0"/>
        <w:jc w:val="left"/>
        <w:rPr/>
      </w:pPr>
      <w:r>
        <w:rPr/>
      </w:r>
    </w:p>
    <w:tbl>
      <w:tblPr>
        <w:tblW w:w="6063" w:type="dxa"/>
        <w:jc w:val="left"/>
        <w:tblInd w:w="0" w:type="dxa"/>
        <w:tblLayout w:type="fixed"/>
        <w:tblCellMar>
          <w:top w:w="0" w:type="dxa"/>
          <w:left w:w="0" w:type="dxa"/>
          <w:bottom w:w="0" w:type="dxa"/>
          <w:right w:w="0" w:type="dxa"/>
        </w:tblCellMar>
      </w:tblPr>
      <w:tblGrid>
        <w:gridCol w:w="38"/>
        <w:gridCol w:w="170"/>
        <w:gridCol w:w="585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5855" w:type="dxa"/>
            <w:tcBorders/>
            <w:vAlign w:val="center"/>
          </w:tcPr>
          <w:p>
            <w:pPr>
              <w:pStyle w:val="TableContents"/>
              <w:bidi w:val="0"/>
              <w:spacing w:before="0" w:after="0"/>
              <w:jc w:val="both"/>
              <w:rPr>
                <w:color w:val="000000"/>
              </w:rPr>
            </w:pPr>
            <w:r>
              <w:rPr>
                <w:color w:val="000000"/>
              </w:rPr>
              <w:t>suspicions about the legality and ethics of network marketing;</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media or regulatory scrutiny regarding our business and our business models, including in Mainland China;</w:t>
            </w:r>
          </w:p>
        </w:tc>
      </w:tr>
    </w:tbl>
    <w:tbl>
      <w:tblPr>
        <w:tblW w:w="9393" w:type="dxa"/>
        <w:jc w:val="left"/>
        <w:tblInd w:w="0" w:type="dxa"/>
        <w:tblLayout w:type="fixed"/>
        <w:tblCellMar>
          <w:top w:w="0" w:type="dxa"/>
          <w:left w:w="0" w:type="dxa"/>
          <w:bottom w:w="0" w:type="dxa"/>
          <w:right w:w="0" w:type="dxa"/>
        </w:tblCellMar>
      </w:tblPr>
      <w:tblGrid>
        <w:gridCol w:w="38"/>
        <w:gridCol w:w="170"/>
        <w:gridCol w:w="918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185" w:type="dxa"/>
            <w:tcBorders/>
            <w:vAlign w:val="center"/>
          </w:tcPr>
          <w:p>
            <w:pPr>
              <w:pStyle w:val="TableContents"/>
              <w:bidi w:val="0"/>
              <w:spacing w:before="0" w:after="0"/>
              <w:jc w:val="both"/>
              <w:rPr>
                <w:color w:val="000000"/>
              </w:rPr>
            </w:pPr>
            <w:r>
              <w:rPr>
                <w:color w:val="000000"/>
              </w:rPr>
              <w:t>the safety or effectiveness of our or our competitors’ products or the ingredients in such products;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inquiries, investigations, fines, legal actions, or mandatory or voluntary product recalls involving us, our competitors, our business models or our respective products;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the actions of our current or former sales force and employees, including any allegations that our sales force or employees have overstated or made false product claims or earnings representations, or engaged in unethical or illegal activity;</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misperceptions about the types and magnitude of economic benefits offered at different levels of sales engagement in our business;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public, governmental or media perceptions of the direct selling, beauty product, or wellness product industries generally.</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These issues have previously resulted in negative publicity and have harmed, and could continue to harm, our business.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Critics of our industry, consumer protection groups, short sellers and other individuals have in the past and may in the future utilize the internet, social media, the media and other means to publish criticisms of the industry, our company and our competitors, or make allegations regarding our business and operations, or the business and operations of our competitors. In some cases, such adverse publicity or allegations can lead to government and regulatory scrutiny. We continue to see adverse publicity regarding our company and the direct selling and wellness industries. We or others in our industry may receive similar negative publicity or allegations in the future, and it may harm our business and reputation. Furthermore, the use of social media by our sales force and by critics can increase the reach of negative publicity. For example, if a member of our sales force makes an improper claim about our products or business opportunity on social media, or if a critic of our company posts negative information about our company on social media, it has the potential to be disseminated widely and noticed by the media or regulators.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Product diversion may have a negative impact on our business.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observed instances of our products being offered for sale on online marketplace platforms and through other unauthorized distribution channels in various markets. Despite our ongoing efforts to reduce and control product diversion, such activities continue to present challenges. Changes to our global sales compensation structure, differences in product pricing among markets, and the expanded use of online channels for sales transactions have contributed, and may continue to contribute, to product diversion. Product diversion may create confusion regarding our authorized distribution channels and may negatively impact the ability of our sales force to sell our products. Diversion may also adversely affect perceptions regarding the viability of the business opportunity we offer and undermine confidence in our authorized distribution channels, which could impair our ability to recruit and retain members of our sales force. In addition, product diversion may erode brand equity and adversely affect consumer perceptions of our products. Certain diversion activities may involve unauthorized importation, investment, or other potentially unlawful conduct, and may also increase the risk that gray-market or counterfeit goods are misrepresented as our products, which could further harm our brand and reputation. If we are unable to effectively mitigate or prevent product diversion, or if diversion activity increases, our business, financial condition, results of operations, and reputation could be adversely affected.</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Risks Associated with Our Operations in Mainland China</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Our operations in Mainland China are subject to significant government scrutiny, and we could be subject to fines, operational restrictions or other penalties.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operations in Mainland China are subject to significant regulatory scrutiny. The legal system in Mainland China provides government authorities broad latitude to conduct investigations, and many Chinese regulations, including those governing our business, are subject to significant interpretation, which may vary from jurisdiction to jurisdiction. Accordingly, regulatory expectations and enforcement priorities may change quickly and with limited notice. Because of significant government concerns in Mainland China regarding improper direct selling activities, government regulators closely scrutinize activities of direct selling companies and activities that resemble direct selling. The government in Mainland China continues to inspect and review companies in the direct selling industry on a regular basis. We believe the regulatory environment in Mainland China continues to be challenging and restrictive.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government’s scrutiny of activities within the health products and direct selling industries has been at higher levels since 2019, when the government conducted a 100-day campaign to review and inspect the health products and direct selling industries following negative media coverage generated by healthcare-related product claims made by another direct selling company in Mainland China. Since 2019, we have received an increased number of government reviews, inspections, and inquiries and consumer complaints in Mainland China; our ability to hold certain business meetings has been limited; and negative media coverage has spread to include additional companies, including ours.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Government regulators frequently make inquiries into our business activities and investigate complaints from consumers and others regarding our business. Some of these inquiries and investigations in the past have resulted in the payment of fines by us or members of our sales force, interruption of sales activities, changes to aspects of our business model, and warnings. If government regulators determine in future inquiries or investigations that our operations or activities, or the activities of our sales force, are not in compliance with applicable regulations, we could face a range of outcomes, including substantial fines, extended interruptions of business, and termination of necessary licenses and permits, including our direct selling and other licenses, all of which could harm our business.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train our sales force in Mainland China on how our Mainland China business model differs from our global business model. However, Sales Leaders in Mainland China may attend regional and global events or interact with Sales Leaders from other markets. Although our global model and Mainland China business model differ, mistakes may be made as to how those working in Mainland China should promote the business in Mainland China. These mistakes by our sales force, or allegations of such mistakes, have led, and may in the future lead, to government reviews and investigations of our operations in Mainland China, as well as adverse publicity, reputational harm and adjustments or interruptions to our operations, all of which has and could in the future have a significant negative impact on our revenue and the number of Sales Leaders and Customers in the region.</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If direct selling regulations in Mainland China are modified, interpreted or enforced in a manner that results in negative changes to our business model or the imposition of a range of potential penalties, our business could be significantly negatively impacted.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government of Mainland China has adopted direct selling and anti-pyramiding regulations that impose significant restrictions and limitations on businesses in our industry. Most notably, the regulations prohibit multi-level compensation, which is the basis of how we compensate our sales force outside of Mainland China. The regulations also prohibit the recruitment of overseas personnel as direct sellers in Mainland China. They are subject to interpretation by regulators who exercise broad discretion in enforcement under applicable laws and regulations. We have structured our business model in Mainland China based on several factors: the guidance we have received from government officials, our interpretation of applicable regulations, our understanding of the practices of other international direct selling companies operating in Mainland China, and our understanding as to how regulators are interpreting and enforcing the regulations. The regulatory environment in Mainland China continues to be challenging and restrictive. From time to time, we evaluate potential changes to the structure of our sales compensation in Mainland China to address the evolving commercial environment and, as the need arises, the evolving regulatory environment. Any such changes could have a negative impact on our sales in that market.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Members of our sales force in Mainland China do not participate in our global sales compensation plan but are instead compensated according to a separate compensation model. We generally compensate our Sales Leaders in Mainland China at a level that is competitive with other direct selling companies in the market and comparable to the compensation of our Sales Leaders globally.</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Other than our direct selling subsidiary, we also have a separate subsidiary in Mainland China that operates an independent cross-border e-commerce business, through which one of our U.S. subsidiaries can sell a limited selection of products to consumers in Mainland China for their personal consumption. Cross-border e-commerce is separated from the direct selling sales channel in Mainland China. Our Sales Leaders can contract with the China entity, promote this cross-border e-commerce platform to introduce consumers to place orders on this platform, and receive limited compensation in return. Through this entity, the U.S. subsidiary sells </w:t>
      </w:r>
      <w:r>
        <w:rPr>
          <w:rFonts w:ascii="Times New Roman" w:hAnsi="Times New Roman"/>
          <w:i/>
          <w:color w:val="000000"/>
          <w:sz w:val="20"/>
          <w:shd w:fill="FFFFFF" w:val="clear"/>
        </w:rPr>
        <w:t>ageLOC</w:t>
      </w:r>
      <w:r>
        <w:rPr>
          <w:rFonts w:ascii="Times New Roman" w:hAnsi="Times New Roman"/>
          <w:color w:val="000000"/>
          <w:sz w:val="20"/>
          <w:shd w:fill="FFFFFF" w:val="clear"/>
        </w:rPr>
        <w:t> </w:t>
      </w:r>
      <w:r>
        <w:rPr>
          <w:rFonts w:ascii="Times New Roman" w:hAnsi="Times New Roman"/>
          <w:i/>
          <w:color w:val="000000"/>
          <w:sz w:val="20"/>
          <w:shd w:fill="FFFFFF" w:val="clear"/>
        </w:rPr>
        <w:t>Meta</w:t>
      </w:r>
      <w:r>
        <w:rPr>
          <w:rFonts w:ascii="Times New Roman" w:hAnsi="Times New Roman"/>
          <w:color w:val="000000"/>
          <w:sz w:val="20"/>
          <w:shd w:fill="FFFFFF" w:val="clear"/>
        </w:rPr>
        <w:t xml:space="preserve">, </w:t>
      </w:r>
      <w:r>
        <w:rPr>
          <w:rFonts w:ascii="Times New Roman" w:hAnsi="Times New Roman"/>
          <w:i/>
          <w:color w:val="000000"/>
          <w:sz w:val="20"/>
          <w:shd w:fill="FFFFFF" w:val="clear"/>
        </w:rPr>
        <w:t>ageLOC Youth</w:t>
      </w:r>
      <w:r>
        <w:rPr>
          <w:rFonts w:ascii="Times New Roman" w:hAnsi="Times New Roman"/>
          <w:color w:val="000000"/>
          <w:sz w:val="20"/>
          <w:shd w:fill="FFFFFF" w:val="clear"/>
        </w:rPr>
        <w:t xml:space="preserve"> and certain other overseas products, which are neither registered for retail sale in Mainland China nor registered specifically as direct selling products and, therefore, can only be sold to local consumers for their personal consumption, cannot be sold through the direct selling channel, and cannot be resold. We also plan to begin selling additional overseas products through this channel. Although we take measures (1) to maintain legal separation between our cross-border e-commerce entity and our direct selling entity; and (2) to ensure the products sold on our cross-border e-commerce platform are for consumers’ personal consumption only, our business in Mainland China could be negatively impacted if regulatory authorities elect to attribute these cross-border e-commerce sales activities and related product claims, or the accompanying actions of our sales force, to our direct selling business, and make a determination they are in violation of direct selling, customs or other applicable laws.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Mainland China business also has an e-commerce platform in which it sells products directly to customers. We permit members of our sales force to promote this e-commerce platform and refer customers to it, in addition to their participation in our direct selling business, and they receive compensation based on our sales on this platform to customers they have referred. Although we take measures to segregate this e-commerce business from our direct selling business as appropriate, it is possible that our business in Mainland China could be negatively impacted if regulatory authorities determine that these e-commerce sales activities and compensation are inconsistent with the direct selling laws.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nature of the political, regulatory and legal systems in Mainland China gives regulatory agencies at both the local and central levels of government broad discretion to interpret and enforce regulations as they deem appropriate to promote social stability. We face a risk that regulators may change the way in which they currently interpret and enforce the direct selling regulations, or that such regulations may be modified. If our business practices are deemed to be in violation of applicable regulations as they may be interpreted or enforced, in particular our use of the sales productivity of a Sales Leader him/herself and of the sales force that such Sales Leader trains, collaborates with, supports and services in setting his/her salary or service fee and determining their position/title on a quarterly basis, then we could be sanctioned, required to change our business model, and/or have our direct selling license revoked, any of which could significantly harm our business.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Our ability to expand our business in Mainland China could be negatively impacted if we are unable to obtain additional necessary national and local government approvals in Mainland China.</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To expand our direct selling model into additional provinces in Mainland China, we currently must obtain a series of approvals from district, city, provincial and national government agencies with respect to each province in which we wish to expand. Government authorities have not been issuing new licenses since the beginning of the 100-day action in 2019. When the process for obtaining government approvals to conduct direct selling is operational, it often evolves and is lengthy, as we are required to work with a large number of provincial, city, district and national government authorities. The complexity of the approval process as well as the government’s continued cautious approach as direct selling develops in Mainland China makes it difficult to predict the timeline for obtaining these approvals. Furthermore, any media or regulatory scrutiny of our business in Mainland China could increase the time and difficulty we may face in obtaining additional licenses. If media or regulatory scrutiny of our business in Mainland China results in significant delays in obtaining licenses elsewhere in Mainland China, or if the current processes for obtaining approvals are delayed further for any reason or are changed or interpreted differently than currently understood, our ability to receive direct selling licenses in Mainland China and our growth prospects in this market could be negatively impacted.</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If we are not able to register products for sale in Mainland China, our business could be harmed.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face lengthy timelines with respect to product registrations in Mainland China. The process for obtaining product permits and licenses may require extended periods of time that may prevent us from launching new product initiatives in Mainland China on the same timelines as other markets around the world. For example, a vast majority of products marketed in Mainland China as “health foods” are subject to extensive laboratory and clinical analysis by government authorities, and with a few exceptions, the product registration process in Mainland China takes a minimum of two years and may be substantially longer. We market both “health foods” and “general foods” in Mainland China. There is some risk associated with the common practice in Mainland China of marketing a product as a “general food” without any health food claims while applying to the authorities for “health food” classification after localizing the product formula to meet applicable health food claims. If government officials feel the categorization of our products is inconsistent with product claims, form of delivery, ingredients or function, we could be prohibited or limited in marketing such products in Mainland China in their current form.</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we expand our direct selling channel, we face additional product marketing restrictions compared to our retail store channel. Under applicable direct selling regulations in Mainland China, we can only register products for direct selling if we manufacture them and if they fall within categories that are authorized for direct selling, such as cosmetics, cleaning supplies, health foods, healthcare devices, small kitchen utensils and household appliances. Products that are not registered for direct selling are prohibited from being marketed or sold through our direct sales channel. The process for registering products for the direct sales channel in Mainland China is subject to delays; in fact, government authorities have not been processing new registrations for direct selling since the beginning of the 100-day action in 2019. Any marketing or sale of non-direct selling products by our independent direct sellers could result in negative publicity, fines and other government sanctions being imposed against us, including if a product is initially classified as a direct selling product but is later re-classified.</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u w:val="single"/>
          <w:shd w:fill="FFFFFF" w:val="clear"/>
        </w:rPr>
      </w:pPr>
      <w:r>
        <w:rPr>
          <w:rFonts w:ascii="Times New Roman" w:hAnsi="Times New Roman"/>
          <w:color w:val="000000"/>
          <w:sz w:val="20"/>
          <w:u w:val="single"/>
          <w:shd w:fill="FFFFFF" w:val="clear"/>
        </w:rPr>
        <w:t>Risks Associated with Epidemics and Other Widespread Crises</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Epidemics and other crises have negatively impacted our business and may do so in the future.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Due to the person-to-person nature of direct selling, our results of operations have been, and likely will in the future be, harmed if the fear of a communicable and rapidly spreading disease, or another type of crisis such as a natural disaster, results in travel restrictions or causes people to avoid group meetings, gatherings or interactions with other people.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outbreak of COVID-19 in 2020 and ensuing pandemic resulted in significant contraction of economies around the world and interrupted global supply chains as many governments issued stay-at-home orders to combat COVID-19. Government-imposed restrictions and public hesitance regarding in-person gatherings, travel and visiting public places reduced our sales force’s ability to hold sales meetings, resulted in cancellations of key sales leader events and incentive trips, and required us to temporarily close our walk-in and fulfillment locations in some markets where we had such properties. Our supply chain and logistics also incurred some interruptions and cost impacts, such as difficulties in obtaining some ingredients and in shipping products in some markets. All of these factors and other events related to COVID-19 negatively impacted our sales and operations, and similar adverse impacts could occur in the event of future epidemics or other crises.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during a widespread crisis, regulators are vigilant for companies that may be exploiting the crisis to the detriment of consumers. For example, during 2020 to 2022, the FTC issued letters that warned several direct-selling companies to remove and address claims that they or members of their sales force were making about their products’ ability to treat, cure or prevent COVID-19 and/or about the earnings that people who suffered the loss of a job or income could make. Although we take steps to educate our sales force on proper claims, if members of our sales force make improper claims, or if regulators determine we are making any improper claims, it could lead to an investigation and could harm our business and reputation.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International Risks</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Our ability to conduct business in international markets may be affected by political, legal, tax and regulatory risks.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ability to capitalize on growth in new international markets and to maintain the current level of operations in our existing international markets is exposed to risks associated with our international operations, including:</w:t>
      </w:r>
    </w:p>
    <w:p>
      <w:pPr>
        <w:pStyle w:val="TextBody"/>
        <w:bidi w:val="0"/>
        <w:spacing w:before="0" w:after="0"/>
        <w:jc w:val="left"/>
        <w:rPr/>
      </w:pPr>
      <w:r>
        <w:rPr/>
      </w:r>
    </w:p>
    <w:tbl>
      <w:tblPr>
        <w:tblW w:w="9168" w:type="dxa"/>
        <w:jc w:val="left"/>
        <w:tblInd w:w="0" w:type="dxa"/>
        <w:tblLayout w:type="fixed"/>
        <w:tblCellMar>
          <w:top w:w="0" w:type="dxa"/>
          <w:left w:w="0" w:type="dxa"/>
          <w:bottom w:w="0" w:type="dxa"/>
          <w:right w:w="0" w:type="dxa"/>
        </w:tblCellMar>
      </w:tblPr>
      <w:tblGrid>
        <w:gridCol w:w="38"/>
        <w:gridCol w:w="170"/>
        <w:gridCol w:w="896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8960" w:type="dxa"/>
            <w:tcBorders/>
            <w:vAlign w:val="center"/>
          </w:tcPr>
          <w:p>
            <w:pPr>
              <w:pStyle w:val="TableContents"/>
              <w:bidi w:val="0"/>
              <w:spacing w:before="0" w:after="0"/>
              <w:jc w:val="both"/>
              <w:rPr>
                <w:color w:val="000000"/>
              </w:rPr>
            </w:pPr>
            <w:r>
              <w:rPr>
                <w:color w:val="000000"/>
              </w:rPr>
              <w:t>government actions could ban or severely restrict our sales compensation and business models;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civil unrest, political instability, or changes in diplomatic or trade relationships could disrupt our supply chain or other operations—for example, the ongoing conflict in Russia and Ukraine has caused distraction to our sales force;</w:t>
            </w:r>
          </w:p>
        </w:tc>
      </w:tr>
    </w:tbl>
    <w:tbl>
      <w:tblPr>
        <w:tblW w:w="6213" w:type="dxa"/>
        <w:jc w:val="left"/>
        <w:tblInd w:w="0" w:type="dxa"/>
        <w:tblLayout w:type="fixed"/>
        <w:tblCellMar>
          <w:top w:w="0" w:type="dxa"/>
          <w:left w:w="0" w:type="dxa"/>
          <w:bottom w:w="0" w:type="dxa"/>
          <w:right w:w="0" w:type="dxa"/>
        </w:tblCellMar>
      </w:tblPr>
      <w:tblGrid>
        <w:gridCol w:w="38"/>
        <w:gridCol w:w="170"/>
        <w:gridCol w:w="600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6005" w:type="dxa"/>
            <w:tcBorders/>
            <w:vAlign w:val="center"/>
          </w:tcPr>
          <w:p>
            <w:pPr>
              <w:pStyle w:val="TableContents"/>
              <w:bidi w:val="0"/>
              <w:spacing w:before="0" w:after="0"/>
              <w:jc w:val="both"/>
              <w:rPr>
                <w:color w:val="000000"/>
              </w:rPr>
            </w:pPr>
            <w:r>
              <w:rPr>
                <w:color w:val="000000"/>
              </w:rPr>
              <w:t>less predictable or less developed legal systems in certain areas;</w:t>
            </w:r>
          </w:p>
        </w:tc>
      </w:tr>
    </w:tbl>
    <w:tbl>
      <w:tblPr>
        <w:tblW w:w="5403" w:type="dxa"/>
        <w:jc w:val="left"/>
        <w:tblInd w:w="0" w:type="dxa"/>
        <w:tblLayout w:type="fixed"/>
        <w:tblCellMar>
          <w:top w:w="0" w:type="dxa"/>
          <w:left w:w="0" w:type="dxa"/>
          <w:bottom w:w="0" w:type="dxa"/>
          <w:right w:w="0" w:type="dxa"/>
        </w:tblCellMar>
      </w:tblPr>
      <w:tblGrid>
        <w:gridCol w:w="38"/>
        <w:gridCol w:w="170"/>
        <w:gridCol w:w="519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5195" w:type="dxa"/>
            <w:tcBorders/>
            <w:vAlign w:val="center"/>
          </w:tcPr>
          <w:p>
            <w:pPr>
              <w:pStyle w:val="TableContents"/>
              <w:bidi w:val="0"/>
              <w:spacing w:before="0" w:after="0"/>
              <w:jc w:val="both"/>
              <w:rPr>
                <w:color w:val="000000"/>
              </w:rPr>
            </w:pPr>
            <w:r>
              <w:rPr>
                <w:color w:val="000000"/>
              </w:rPr>
              <w:t>high inflation or currency instability in certain markets;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legal, tax, customs or other financial burdens imposed on us or our sales force, due, for example, to the structure of our operations in various markets;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a government authority could challenge the status of our sales force as independent contractors or impose employment or social taxes; and</w:t>
            </w:r>
          </w:p>
        </w:tc>
      </w:tr>
    </w:tbl>
    <w:tbl>
      <w:tblPr>
        <w:tblW w:w="6978" w:type="dxa"/>
        <w:jc w:val="left"/>
        <w:tblInd w:w="0" w:type="dxa"/>
        <w:tblLayout w:type="fixed"/>
        <w:tblCellMar>
          <w:top w:w="0" w:type="dxa"/>
          <w:left w:w="0" w:type="dxa"/>
          <w:bottom w:w="0" w:type="dxa"/>
          <w:right w:w="0" w:type="dxa"/>
        </w:tblCellMar>
      </w:tblPr>
      <w:tblGrid>
        <w:gridCol w:w="38"/>
        <w:gridCol w:w="170"/>
        <w:gridCol w:w="677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6770" w:type="dxa"/>
            <w:tcBorders/>
            <w:vAlign w:val="center"/>
          </w:tcPr>
          <w:p>
            <w:pPr>
              <w:pStyle w:val="TableContents"/>
              <w:bidi w:val="0"/>
              <w:spacing w:before="0" w:after="0"/>
              <w:jc w:val="both"/>
              <w:rPr/>
            </w:pPr>
            <w:r>
              <w:rPr/>
              <w:t>currency remittance restrictions could limit our ability to repatriate cash.</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It is unpredictable what impact, if any, changes in U.S. government leadership, trade policy, or enforcement priorities will have on the above risks. If actions by the United States or other jurisdictions cause any of the above risks to materialize, our financial position and results of operations could be negatively affected.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There has been an increasing level of tension in U.S.-China relations over the last several years. Given the significant size of our China business, our business could be harmed if relations continue to deteriorate or additional sanctions or restrictions are imposed by either government. In addition, there have been adverse public reaction and media attention to statements made by representatives of other businesses related to these issues that have adversely affected business. We could similarly face adverse public or media attention, and potentially increased regulatory scrutiny, as a result of increased trade or political tensions or any statements or actions by employees or our sales force that generate publicity with respect to these issues.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29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We are subject to financial risks as a result of our international operations, including exposure to foreign-currency fluctuations, currency controls and inflation in foreign markets, all of which could impact our financial position and results of operations.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2025, approximately 74% of our sales occurred in markets outside of the United States and were denominated in each market’s respective local currency. Foreign-currency fluctuations affect our financial position and results of operations. We purchase inventory primarily in the United States in U.S. dollars. In preparing our financial statements, we translate revenue and expenses in our markets outside the United States from their local currencies into U.S. dollars using weighted-average exchange rates. If the U.S. dollar strengthens relative to local currencies, our reported revenue, gross profit and net income will likely be reduced. Foreign-currency fluctuations also cause losses and gains resulting from translation of foreign-currency-denominated balances on our balance sheet.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also face the risk of currency controls. If foreign governments restrict transfers of cash out of their country and control exchange rates, we may be limited as to the timing and amount of cash we can repatriate and may not be able to repatriate cash at beneficial exchange rates, which could have a material adverse effect on our financial position, results of operations or cash flows. We typically fund the cash requirements of our operations in the United States through intercompany dividends, intercompany loans and intercompany charges for products, use of intangible property, and corporate services. However, some markets impose government-approval or other requirements for the repatriation of dividends. For example, in Mainland China, we are unable to repatriate cash from current operations in the form of dividends until we file the necessary statutory financial statements for the relevant period. We also have experienced delays in repatriating cash from Argentina. As of December 31, 2025, we had $35.7 million in cash denominated in Chinese RMB, and our intercompany receivable with our Argentina subsidiary was $23.9 million.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high levels of inflation and currency devaluations in any of our markets could negatively impact our balance sheet and results of operations. Gains and losses resulting from the remeasurement of non-U.S. dollar monetary assets and liabilities of our subsidiaries operating in highly inflationary economies are recorded in our net earnings. For example, during 2018, Argentina was designated as a highly inflationary economy under U.S. generally accepted accounting principles; accordingly, we began to apply highly inflationary accounting for our Argentina operations, which has resulted in additional foreign-currency charges. Other markets may be designated as highly inflationary economies in the future, which could result in further foreign-currency charges.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Although we may engage in transactions intended to reduce our exposure to foreign-currency fluctuations, there can be no assurance that these transactions will be effective. Complex global political and economic dynamics can affect exchange rate fluctuations. For example, the implementation of tariffs, border taxes or other measures related to the level of trade between the United States and other markets could impact the value of the U.S. dollar. It is difficult to predict future fluctuations and the effect these fluctuations may have upon future reported results or our overall financial condition.</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Changes to tariff and import/export regulations, and trade disputes between the United States and other jurisdictions have had a negative effect on global economic conditions and could negatively affect our business, financial results and financial condition.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Changes in customs regulations or tariff rates by the United States or other countries can affect our imports and exports, and further changes may occur at any time. Because tariff changes are difficult to predict, they may cause material short-term or long-term fluctuations in our costs. The current U.S. Administration has imposed new tariffs (some of which have been paused but could be resumed or expanded) and has indicated an intention to continue using tariffs aggressively as a policy tool. Increases in U.S. duties or tariffs have triggered, and may continue to trigger, retaliatory measures by other countries. Such developments could reduce the availability of certain raw materials, ingredients, components, and packaging material, raise the cost of our products and reduce customer demand, disrupt our supply chain, increase our customs duties and related expenses, pressure margins, or require price increases that could reduce demand.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rely on Free Trade Agreements where available, but these agreements may be modified, suspended, or terminated, which could further increase our costs or otherwise harm our business. While we may attempt to mitigate tariff impacts by shifting sourcing or production to alternative locations, there is no guarantee these actions will be successful or fully offset the additional costs. Beyond duties and tariffs, other trade-related actions by the United States or foreign governments—such as restrictions on foreign investment, import bans, heightened regulatory or licensing requirements, or broader limitations on international trade—could adversely affect our operations. These actions are unpredictable and could materially harm global economic conditions and financial market stability, significantly reduce global trade, or restrict our access to suppliers or customers. Any of the foregoing could have a material adverse effect on our business, financial condition, and results of operations</w:t>
      </w:r>
      <w:r>
        <w:rPr>
          <w:rFonts w:ascii="Times New Roman" w:hAnsi="Times New Roman"/>
          <w:color w:val="156082"/>
          <w:sz w:val="20"/>
          <w:shd w:fill="FFFFFF" w:val="clear"/>
        </w:rPr>
        <w:t>.</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Human Capital Risks</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If we are unable to retain our existing sales force and recruit additional people to join our sales force, our revenue may not increase and may even decline.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products are primarily marketed by our sales force, and we depend on them to generate virtually all of our revenue. Members of our sales force may terminate their relationship with us at any time, and like most direct selling companies, we experience high turnover among our sales force from year to year. Individuals who join our company to purchase our products for personal consumption or to pursue short-term income goals often participate for a limited time period or participate inconsistently. Sales Leaders who have committed time and effort to build a sales organization will generally stay for longer periods. To increase our revenue, we must increase the number of and/or the sales productivity of our sales force. We must also expand our outreach and outbound efforts to attract, connect and nurture new customers for a wider consumer base who purchase products and whom we can foster along a consumer journey to promote retention and higher lifetime value.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experienced fluctuations in Sales Leaders, Paid Affiliates and Customers in the past and will likely continue to experience such fluctuations in the future. For example, from December 31, 2024 to December 31, 2025, our Customers in South Korea declined 28% and our Sales Leaders in Mainland China declined 32%. If our business, products and initiatives do not drive growth and/or sales productivity in Sales Leaders, Paid Affiliates and Customers, our operating results could be further harmed.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number and productivity of our sales force is negatively impacted by several additional factors, including:</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pPr>
            <w:r>
              <w:rPr/>
              <w:t xml:space="preserve">any adverse publicity or negative public perception regarding us, our products or ingredients, our distribution channel, </w:t>
            </w:r>
            <w:r>
              <w:rPr>
                <w:color w:val="000000"/>
              </w:rPr>
              <w:t>or</w:t>
            </w:r>
            <w:r>
              <w:rPr/>
              <w:t xml:space="preserve"> our industry or competitors;</w:t>
            </w:r>
          </w:p>
        </w:tc>
      </w:tr>
    </w:tbl>
    <w:tbl>
      <w:tblPr>
        <w:tblW w:w="9033" w:type="dxa"/>
        <w:jc w:val="left"/>
        <w:tblInd w:w="0" w:type="dxa"/>
        <w:tblLayout w:type="fixed"/>
        <w:tblCellMar>
          <w:top w:w="0" w:type="dxa"/>
          <w:left w:w="0" w:type="dxa"/>
          <w:bottom w:w="0" w:type="dxa"/>
          <w:right w:w="0" w:type="dxa"/>
        </w:tblCellMar>
      </w:tblPr>
      <w:tblGrid>
        <w:gridCol w:w="38"/>
        <w:gridCol w:w="170"/>
        <w:gridCol w:w="882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8825" w:type="dxa"/>
            <w:tcBorders/>
            <w:vAlign w:val="center"/>
          </w:tcPr>
          <w:p>
            <w:pPr>
              <w:pStyle w:val="TableContents"/>
              <w:bidi w:val="0"/>
              <w:spacing w:before="0" w:after="0"/>
              <w:jc w:val="both"/>
              <w:rPr>
                <w:color w:val="000000"/>
              </w:rPr>
            </w:pPr>
            <w:r>
              <w:rPr>
                <w:color w:val="000000"/>
              </w:rPr>
              <w:t>lack of interest in, dissatisfaction with, or the technical failure of, our products or digital tools;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pPr>
            <w:r>
              <w:rPr/>
              <w:t xml:space="preserve">lack of compelling products or income opportunities, including through our sales compensation plans and incentive trips </w:t>
            </w:r>
            <w:r>
              <w:rPr>
                <w:color w:val="000000"/>
              </w:rPr>
              <w:t>and other offerings;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negative sales force reaction to changes in our sales compensation plans or our failure to make changes that would be necessary to keep our compensation competitive with the market;</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interactions with our company, including our actions to enforce our policies and procedures and the quality of our customer service;</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any regulatory actions or charges against us or others in our industry, as well as regulatory changes that impact product formulations and sales viability;</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general economic, business, public health and geopolitical conditions, including employment levels, employment trends such as the gig and sharing economies and affiliate marketing, and pandemics or other conditions that curtail person-to-person interactions;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changes in the policies of social media platforms and product marketplaces used to prospect or recruit potential consumers and sales force participants;</w:t>
            </w:r>
          </w:p>
        </w:tc>
      </w:tr>
    </w:tbl>
    <w:tbl>
      <w:tblPr>
        <w:tblW w:w="7443" w:type="dxa"/>
        <w:jc w:val="left"/>
        <w:tblInd w:w="0" w:type="dxa"/>
        <w:tblLayout w:type="fixed"/>
        <w:tblCellMar>
          <w:top w:w="0" w:type="dxa"/>
          <w:left w:w="0" w:type="dxa"/>
          <w:bottom w:w="0" w:type="dxa"/>
          <w:right w:w="0" w:type="dxa"/>
        </w:tblCellMar>
      </w:tblPr>
      <w:tblGrid>
        <w:gridCol w:w="38"/>
        <w:gridCol w:w="170"/>
        <w:gridCol w:w="723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7235" w:type="dxa"/>
            <w:tcBorders/>
            <w:vAlign w:val="center"/>
          </w:tcPr>
          <w:p>
            <w:pPr>
              <w:pStyle w:val="TableContents"/>
              <w:bidi w:val="0"/>
              <w:spacing w:before="0" w:after="0"/>
              <w:jc w:val="both"/>
              <w:rPr>
                <w:color w:val="000000"/>
              </w:rPr>
            </w:pPr>
            <w:r>
              <w:rPr>
                <w:color w:val="000000"/>
              </w:rPr>
              <w:t>recruiting efforts of our competitors and changes in consumer-loyalty trends;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pPr>
            <w:r>
              <w:rPr>
                <w:color w:val="000000"/>
              </w:rPr>
              <w:t>potential saturation or maturity levels in a given market, which could negatively impact our ability to attract and retain our sales force</w:t>
            </w:r>
            <w:r>
              <w:rPr/>
              <w:t xml:space="preserve"> in such market</w:t>
            </w:r>
            <w:r>
              <w:rPr>
                <w:color w:val="000000"/>
              </w:rPr>
              <w:t>;</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pPr>
            <w:r>
              <w:rPr/>
              <w:t xml:space="preserve">growing competition in the </w:t>
            </w:r>
            <w:r>
              <w:rPr>
                <w:color w:val="000000"/>
              </w:rPr>
              <w:t xml:space="preserve">gig economy and </w:t>
            </w:r>
            <w:r>
              <w:rPr/>
              <w:t>the influencer marketing space</w:t>
            </w:r>
            <w:r>
              <w:rPr>
                <w:color w:val="000000"/>
              </w:rPr>
              <w:t xml:space="preserve"> which may draw away potential product sellers, affiliates, and influencers;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our sales force’s increased use of social sharing channels, which may enable them to more easily engage their consumers and sales network in other opportunities;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lack of sufficient tools to create customer interest in our products and to manage and build a personalized business;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our and our sales force’s ability to implement social commerce and other selling platforms that appeal to consumers.</w:t>
            </w:r>
          </w:p>
        </w:tc>
      </w:tr>
    </w:tbl>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We depend on our key personnel and Sales Leaders, and the loss of the services provided by any of our executive officers, other key employees or key Sales Leaders could harm our business and results of operations.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success depends to a significant degree upon the continued contributions of our senior and regional management, many of whom would be difficult to replace. Our senior and regional management employees may voluntarily terminate their employment with us at any time, and it is not uncommon for employees of direct-selling companies, including employees of our company, to terminate their employment and begin working for another direct-selling company. In addition, we need to continue to attract and develop qualified management personnel to sustain growth in our markets. Attracting and retaining qualified personnel has been an increased challenge during the current competitive employment environment. In addition, there has been downward pressure on our employees’ incentive compensation in recent years, and our recent restructurings have in some cases caused employees to take on additional responsibilities, both of which have presented challenges to our employee morale and could lead to employee attrition. If we are not able to successfully retain existing personnel and identify, hire and integrate new personnel, our business and growth prospects could be harmed.</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success of our business also depends on our key Sales Leaders. For the three months ended December 31, 2025, we had approximately 30,045 Sales Leaders. As of December 31, 2025, approximately 198 Sales Leaders occupied the highest levels under our global sales compensation plan, and in Mainland China approximately 60 key Sales Leaders were playing a significant role in managing, training and servicing our sales force in that market and driving sales. We rely on these Sales Leaders (or other sales force members that they train, collaborate with, support and service) for a substantial majority of our revenue. As a result, the loss of a high-level or key Sales Leader or a group of leading Sales Leaders, whether by their own choice or through disciplinary actions by us for violations of our policies and procedures, could negatively impact our growth and our revenue.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Risks Associated with Our Manufacturing and Operations</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Production difficulties, quality control problems, inaccurate forecasting, shortages in ingredients, and reliance on our suppliers could harm our business.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Production difficulties, quality control problems, inaccurate forecasting, and our reliance on third-party suppliers to manufacture and deliver products that meet our specifications in a timely manner have harmed our business and could do so in the future. Occasionally, we have experienced production difficulties with respect to our products, including the availability of labor, raw materials, components, packaging, and products that do not meet our specifications and quality control standards. These production difficulties and quality problems have in the past resulted, and could in the future result, in stock outages or shortages in our markets with respect to such products, harm our sales, or create inventory write-downs for unusable products.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In addition, we and manufacturers in our supply chain acquire ingredients, components, products and packaging from third-party suppliers and manufacturers. The loss of any of these suppliers and any difficulties in finding or transitioning to alternative suppliers could harm our business. We obtain some products and ingredients from sole suppliers that own or control the product formulations, ingredients or other intellectual property rights associated with such products. We also license the right to distribute some of our products from third parties. In the event we are unable to maintain or renew our contracts with any of these suppliers, manufacturers or other third parties, we may need to discontinue some products or develop substitute products, which could harm our revenue. In addition, if we experience supply shortages, price increases or regulatory impediments with respect to the raw materials, ingredients, components or packaging we use for our products, we may need to seek alternative supplies or suppliers and may experience difficulties in finding replacements that are comparable in quality and price. For example, some of our products, including </w:t>
      </w:r>
      <w:r>
        <w:rPr>
          <w:rFonts w:ascii="Times New Roman" w:hAnsi="Times New Roman"/>
          <w:i/>
          <w:color w:val="000000"/>
          <w:sz w:val="20"/>
          <w:shd w:fill="FFFFFF" w:val="clear"/>
        </w:rPr>
        <w:t>ageLOC Meta</w:t>
      </w:r>
      <w:r>
        <w:rPr>
          <w:rFonts w:ascii="Times New Roman" w:hAnsi="Times New Roman"/>
          <w:color w:val="000000"/>
          <w:sz w:val="20"/>
          <w:shd w:fill="FFFFFF" w:val="clear"/>
        </w:rPr>
        <w:t xml:space="preserve"> and </w:t>
      </w:r>
      <w:r>
        <w:rPr>
          <w:rFonts w:ascii="Times New Roman" w:hAnsi="Times New Roman"/>
          <w:i/>
          <w:color w:val="000000"/>
          <w:sz w:val="20"/>
          <w:shd w:fill="FFFFFF" w:val="clear"/>
        </w:rPr>
        <w:t>ageLOC Youth</w:t>
      </w:r>
      <w:r>
        <w:rPr>
          <w:rFonts w:ascii="Times New Roman" w:hAnsi="Times New Roman"/>
          <w:color w:val="000000"/>
          <w:sz w:val="20"/>
          <w:shd w:fill="FFFFFF" w:val="clear"/>
        </w:rPr>
        <w:t xml:space="preserve"> (</w:t>
      </w:r>
      <w:r>
        <w:rPr>
          <w:rFonts w:ascii="Times New Roman" w:hAnsi="Times New Roman"/>
          <w:i/>
          <w:color w:val="000000"/>
          <w:sz w:val="20"/>
          <w:shd w:fill="FFFFFF" w:val="clear"/>
        </w:rPr>
        <w:t>Youthspan</w:t>
      </w:r>
      <w:r>
        <w:rPr>
          <w:rFonts w:ascii="Times New Roman" w:hAnsi="Times New Roman"/>
          <w:color w:val="000000"/>
          <w:sz w:val="20"/>
          <w:shd w:fill="FFFFFF" w:val="clear"/>
        </w:rPr>
        <w:t xml:space="preserve"> or </w:t>
      </w:r>
      <w:r>
        <w:rPr>
          <w:rFonts w:ascii="Times New Roman" w:hAnsi="Times New Roman"/>
          <w:i/>
          <w:color w:val="000000"/>
          <w:sz w:val="20"/>
          <w:shd w:fill="FFFFFF" w:val="clear"/>
        </w:rPr>
        <w:t>Y-Span</w:t>
      </w:r>
      <w:r>
        <w:rPr>
          <w:rFonts w:ascii="Times New Roman" w:hAnsi="Times New Roman"/>
          <w:color w:val="000000"/>
          <w:sz w:val="20"/>
          <w:shd w:fill="FFFFFF" w:val="clear"/>
        </w:rPr>
        <w:t xml:space="preserve"> in some markets), incorporate unique natural ingredients that may only be harvested once per year and/or may have limited global supplies. If demand exceeds forecasts, we may have difficulties in obtaining additional supplies to meet the excess demand until the next growing season. If we are unable to successfully respond to such issues, our business could be harmed.</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The loss of or a disruption in our manufacturing, supply chain and distribution operations, or significant expenses or violations incurred by such operations, could adversely affect our business.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a company engaged in manufacturing, distribution, and research and development on a global scale, we are subject to the risks inherent in such activities, including industrial accidents, climate or environmental events, fires, floods, earthquakes, labor shortages, strikes and other labor or industrial disputes, disruptions in logistics or information systems, loss or impairment of key manufacturing or distribution sites, import and export restrictions or delays, product quality control, safety, licensing requirements and other regulatory or government issues, as well as natural disasters, pandemics, border disputes, global uncertainties, acts of terrorism, and other external or macroeconomic factors over which we have no control. For example, physical environmental events or changing weather patterns may affect facility operations, logistics, or the availability of certain products or ingredients, including by disrupting third-party manufacturers, logistics providers, utilities, or transportation infrastructure, and may contribute to volatility in energy, transportation, or insurance costs; the timing, severity, and location of any such impacts are uncertain. Certain impacts of physical risk may include temperature changes that increase the heating and cooling costs at our facilities; extreme weather patterns that affect the production or sourcing of certain components; flooding and storms that damage or destroy our buildings, inventory or transportation channels; and heat and extreme weather events that cause long-term disruption or threats to the habitability of our customers’ communities. These risks may be heightened if we consolidate certain of our manufacturing, distribution, or supply facilities or if we are unable to successfully enhance our disaster recovery planning. These risks also increase as we continue acquiring manufacturing companies and thereby conduct more of our manufacturing in-house. The loss of, or disruption or damage to, any of our facilities or centers or those of our third-party manufacturers could have a material adverse effect on our business, reputation, results of operations and financial condition. Also, if we are unable to operate our owned manufacturing facilities at efficient utilization levels, including due to demand variability or capacity constraints, our manufacturing variance could increase and harm our business.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experienced, and may continue to experience, disruptions to the transportation channels used in our supply chain and distribution operations, including increased airport and shipping port congestion, a lack of transportation capacity, increased fuel expenses, import or export controls or delays, and labor disputes or shortages. Disruptions in our container shipments may result in increased costs, including the additional use of air freight to meet demand. Congestion to ports can affect previously negotiated contracts with shipping companies, resulting in unexpected increases in shipping costs and reduction in our profitability. For example, the COVID-19 pandemic resulted in several disruptions and delays, as well as quantity limits and price increases, in our global transportation channels.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our manufacturing facilities are subject to numerous regulations, including labor regulations and environmental regulations that govern the storage, discharge, handling, emission, generation, manufacture, use and disposal of chemicals and other materials. We will also likely become subject to new regulations in these areas, which could require substantial expenditures. Violations of existing or new requirements could result in financial penalties and other enforcement actions and could require us to halt one or more portions of our operations until a violation is cured. The costs of curing incidents of non-compliance, resolving enforcement actions or private-party actions that might be initiated against us, or of satisfying new legal requirements could have a material adverse effect on our business, financial condition, or results of operations.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Our business could be negatively impacted if we fail to execute our product launch process or ongoing product sales due to difficulty in forecasting or increased pressure on our supply chain, information systems and management.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Prior to making a product generally available for purchase in a market, we often do one or more introductory offerings of the product, such as a preview of the product to our Sales Leaders or other product introduction or promotion. These offerings sometimes generate significant activity and a high level of purchasing, which can result in a higher-than-normal increase in revenue, Customers, Paid Affiliates and Sales Leaders during the quarter and skew year-over-year and sequential comparisons. These offerings may also increase our product return rate. We have experienced, and may in the future experience, difficulty managing growth associated with these offerings which could increase the risk of improper sales force activities and related government and regulatory scrutiny.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the size and condensed schedule of these product offerings increase pressure on our supply chain and order processing systems. We have failed, and may in the future fail, to appropriately scale our system capacity and operations in response to unanticipated changes in demand for our existing products or to the demand for new products, which reduces our sales force’s confidence in our business and could harm our reputation and profitability.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our sales force increases its use of social platforms to interact with customers, our business results could be adversely affected if our implementation of new platforms and processes to support our sales force is delayed. In addition, we are dependent on third parties for testing and delivery of portions of our information system platforms. Unanticipated changes or system failures by third parties could harm our ability to meet the expectations of our sales force and could result in harm to our revenue, reputation and sales force confidence in our systems.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we do not accurately forecast sales levels in each market for product launches or ongoing product sales, obtain sufficient ingredients, components or packaging, or produce a sufficient supply to meet demand, we may incur higher expedited shipping costs and we may temporarily run out of stock of certain products, which could negatively impact the enthusiasm of our sales force and consumers. Conversely, if demand does not meet our expectations for a product launch or ongoing product sales or if we change our planned launch strategies or initiatives, we could incur inventory write-downs. For example, during the third quarter of 2023, we made the strategic decision to re-balance and narrow our product portfolio, which resulted in an incremental $65.7 million inventory write-off. We incurred an additional inventory write-off of $38.8 million during the fourth quarter of 2024. Each of these issues has impacted us in the past, and they could again occur with our ongoing or future product offerings. If we fail to effectively forecast product demand in the product launch process or for ongoing product sales, our reputation and profitability also could be negatively impacted.</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Difficulties managing our entry or growth in certain markets could cause our business and operations to be harmed.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At times, we can experience significant growth in one or more of our markets. For example, during 2020 we experienced significant growth in some of the markets in the Americas and Europe. Growth can strain our operations and requires expansion of management, labor, technology capacity, and manufacturing capabilities. Failure to execute effectively could result in, among other things, product delays or shortages, decreases in product quality, service level challenges, operating mistakes and errors, inadequate customer service, inappropriate claims or promotions by our sales force, and governmental inquiries or investigations, all of which could harm our revenue and ability to generate sustained growth and result in unanticipated expenses. In addition, we need to continue to attract and develop qualified management personnel to sustain growth. If we are not able to successfully retain existing personnel and identify, hire and integrate new personnel, our business and growth prospects could be harmed.</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as we expand into India and other markets in the future, our efforts might not be successful in driving growth. New markets may have competitive conditions, consumer tastes and discretionary spending patterns that are more difficult to predict or satisfy than our existing markets. We may have difficulty attracting Brand Affiliates to our business opportunity due to our lack of name recognition, growing competition in the affiliate gig and sharing economies, or other reasons, and it may be difficult to find and retain qualified employees and vendors. We also might be unable to successfully navigate the risks inherent in international operations, such as differing legal and regulatory requirements that may apply to our products and/or operations, including those that pertain to privacy and data protection, direct selling, employment and intellectual property. If we do not successfully execute plans to enter new markets, these new markets may not generate growth and may be unprofitable, causing our business, financial condition or results of operations to be adversely affected.</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System failures, capacity constraints and other information technology difficulties could harm our business.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business operations across global markets depend on a variety of interconnected technology systems, including websites, mobile applications, cloud services, data centers, databases, and networks. These systems support order processing, sales force and customer support, compensation calculations and payments, corporate and regional operations, and financial reporting. Ensuring their functionality and reliability is essential for maintaining our reputation, sustaining operations, and supporting our sales force and customer base.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are actively modernizing our e-commerce platform to adapt to emerging trends in online retail, social media integration, and hybrid marketing strategies. To support this transformation, we have partnered with Infosys Limited as our primary managed services provider, leveraging their expertise to enhance operational efficiency and deliver results through our digital channels. While these initiatives are designed to strengthen our competitive position, they come with inherent risks tied to implementation complexity and dependency on third parties.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systems, as well as those managed by third-party providers, are exposed to potential disruptions from events such as fires, floods, earthquakes or other natural disasters, human error, physical break-ins, computer viruses, cyberattacks, power outages, system malfunctions and other events. Despite investing in preventive measures like redundancies, enhanced security, and disaster recovery plans, we have experienced system failures, outages, cyberattacks and other disruptions, and we will likely experience them in the future. Any prolonged system disruption could harm our ability to operate effectively, damage our reputation, or lead to financial losses.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shift to cloud-based and outsourced solutions further heightens our reliance on third-party providers, including Worldpay for payment services, Amazon Web Services for core computing needs and Infosys Limited for managed services and digital channel operations. Disruptions in these partnerships or challenges in transitioning services could delay critical business processes and increase operational costs.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digital transformation efforts, though critical for our future growth, require significant investment and come with the risk of unforeseen challenges. For example, in 2018, we incurred substantial costs, including $49 million in asset impairments and $22 million in severance-related expenses, as we overhauled outdated technology systems. We have incurred additional asset impairments, most recently in the fourth quarter of 2024 when we wrote down $29.4 million of information technology assets. As we continue to re-architect legacy systems and roll out new tools, we face the possibility of further costs, delays, or disruptions.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Moreover, our growing business places additional demands on our technology infrastructure, particularly our e-commerce channels. Despite ongoing investments to expand and upgrade our systems, any inability to handle increased traffic or transaction volumes could impede order processing, impact customer satisfaction, and harm our financial performance.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summary, our initiatives to evolve and enhance our technology systems involve considerable risks. Any failure to address these challenges effectively could disrupt our operations, erode stakeholder confidence, and adversely affect our financial results.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Any acquired companies or future acquisitions may expose us to additional risks.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have acquired certain businesses, and we plan to continue to do so in the future as we encounter acquisition prospects that would complement our current product offerings, increase the size and geographic scope of our operations or otherwise offer growth and operating efficiency opportunities. At any particular time, we may be in various stages of assessment, discussion and/or negotiation regarding one or more potential acquisitions, divestitures, or investments, not all of which will be consummated. Acquisitions involve numerous risks and uncertainties, and some of our past acquisition targets have been in industries in which we lack operational or market experience. Our past acquisitions have entailed, and future acquisitions could entail, numerous risks, including:</w:t>
      </w:r>
    </w:p>
    <w:p>
      <w:pPr>
        <w:pStyle w:val="TextBody"/>
        <w:bidi w:val="0"/>
        <w:spacing w:before="0" w:after="0"/>
        <w:jc w:val="left"/>
        <w:rPr/>
      </w:pPr>
      <w:r>
        <w:rPr/>
      </w:r>
    </w:p>
    <w:tbl>
      <w:tblPr>
        <w:tblW w:w="6753" w:type="dxa"/>
        <w:jc w:val="left"/>
        <w:tblInd w:w="0" w:type="dxa"/>
        <w:tblLayout w:type="fixed"/>
        <w:tblCellMar>
          <w:top w:w="0" w:type="dxa"/>
          <w:left w:w="0" w:type="dxa"/>
          <w:bottom w:w="0" w:type="dxa"/>
          <w:right w:w="0" w:type="dxa"/>
        </w:tblCellMar>
      </w:tblPr>
      <w:tblGrid>
        <w:gridCol w:w="38"/>
        <w:gridCol w:w="170"/>
        <w:gridCol w:w="654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6545" w:type="dxa"/>
            <w:tcBorders/>
            <w:vAlign w:val="center"/>
          </w:tcPr>
          <w:p>
            <w:pPr>
              <w:pStyle w:val="TableContents"/>
              <w:bidi w:val="0"/>
              <w:spacing w:before="0" w:after="0"/>
              <w:jc w:val="both"/>
              <w:rPr>
                <w:color w:val="000000"/>
              </w:rPr>
            </w:pPr>
            <w:r>
              <w:rPr>
                <w:color w:val="000000"/>
              </w:rPr>
              <w:t>difficulties in integrating acquired operations, employees or products;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difficulties and costs of imposing financial and operating controls on the acquired companies and their management;</w:t>
            </w:r>
          </w:p>
        </w:tc>
      </w:tr>
    </w:tbl>
    <w:tbl>
      <w:tblPr>
        <w:tblW w:w="9078" w:type="dxa"/>
        <w:jc w:val="left"/>
        <w:tblInd w:w="0" w:type="dxa"/>
        <w:tblLayout w:type="fixed"/>
        <w:tblCellMar>
          <w:top w:w="0" w:type="dxa"/>
          <w:left w:w="0" w:type="dxa"/>
          <w:bottom w:w="0" w:type="dxa"/>
          <w:right w:w="0" w:type="dxa"/>
        </w:tblCellMar>
      </w:tblPr>
      <w:tblGrid>
        <w:gridCol w:w="38"/>
        <w:gridCol w:w="170"/>
        <w:gridCol w:w="887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8870" w:type="dxa"/>
            <w:tcBorders/>
            <w:vAlign w:val="center"/>
          </w:tcPr>
          <w:p>
            <w:pPr>
              <w:pStyle w:val="TableContents"/>
              <w:bidi w:val="0"/>
              <w:spacing w:before="0" w:after="0"/>
              <w:jc w:val="both"/>
              <w:rPr>
                <w:color w:val="000000"/>
              </w:rPr>
            </w:pPr>
            <w:r>
              <w:rPr>
                <w:color w:val="000000"/>
              </w:rPr>
              <w:t>potential loss of key employees, customers, suppliers or distributors from acquired businesses;</w:t>
            </w:r>
          </w:p>
        </w:tc>
      </w:tr>
    </w:tbl>
    <w:tbl>
      <w:tblPr>
        <w:tblW w:w="3918" w:type="dxa"/>
        <w:jc w:val="left"/>
        <w:tblInd w:w="0" w:type="dxa"/>
        <w:tblLayout w:type="fixed"/>
        <w:tblCellMar>
          <w:top w:w="0" w:type="dxa"/>
          <w:left w:w="0" w:type="dxa"/>
          <w:bottom w:w="0" w:type="dxa"/>
          <w:right w:w="0" w:type="dxa"/>
        </w:tblCellMar>
      </w:tblPr>
      <w:tblGrid>
        <w:gridCol w:w="38"/>
        <w:gridCol w:w="170"/>
        <w:gridCol w:w="371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3710" w:type="dxa"/>
            <w:tcBorders/>
            <w:vAlign w:val="center"/>
          </w:tcPr>
          <w:p>
            <w:pPr>
              <w:pStyle w:val="TableContents"/>
              <w:bidi w:val="0"/>
              <w:spacing w:before="0" w:after="0"/>
              <w:jc w:val="both"/>
              <w:rPr>
                <w:color w:val="000000"/>
              </w:rPr>
            </w:pPr>
            <w:r>
              <w:rPr>
                <w:color w:val="000000"/>
              </w:rPr>
              <w:t>disruption to our direct selling channel;</w:t>
            </w:r>
          </w:p>
        </w:tc>
      </w:tr>
    </w:tbl>
    <w:tbl>
      <w:tblPr>
        <w:tblW w:w="8013" w:type="dxa"/>
        <w:jc w:val="left"/>
        <w:tblInd w:w="0" w:type="dxa"/>
        <w:tblLayout w:type="fixed"/>
        <w:tblCellMar>
          <w:top w:w="0" w:type="dxa"/>
          <w:left w:w="0" w:type="dxa"/>
          <w:bottom w:w="0" w:type="dxa"/>
          <w:right w:w="0" w:type="dxa"/>
        </w:tblCellMar>
      </w:tblPr>
      <w:tblGrid>
        <w:gridCol w:w="38"/>
        <w:gridCol w:w="170"/>
        <w:gridCol w:w="780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7805" w:type="dxa"/>
            <w:tcBorders/>
            <w:vAlign w:val="center"/>
          </w:tcPr>
          <w:p>
            <w:pPr>
              <w:pStyle w:val="TableContents"/>
              <w:bidi w:val="0"/>
              <w:spacing w:before="0" w:after="0"/>
              <w:jc w:val="both"/>
              <w:rPr>
                <w:color w:val="000000"/>
              </w:rPr>
            </w:pPr>
            <w:r>
              <w:rPr>
                <w:color w:val="000000"/>
              </w:rPr>
              <w:t>diversion of management’s and other employees’ attention from our core business;</w:t>
            </w:r>
          </w:p>
        </w:tc>
      </w:tr>
    </w:tbl>
    <w:tbl>
      <w:tblPr>
        <w:tblW w:w="6078" w:type="dxa"/>
        <w:jc w:val="left"/>
        <w:tblInd w:w="0" w:type="dxa"/>
        <w:tblLayout w:type="fixed"/>
        <w:tblCellMar>
          <w:top w:w="0" w:type="dxa"/>
          <w:left w:w="0" w:type="dxa"/>
          <w:bottom w:w="0" w:type="dxa"/>
          <w:right w:w="0" w:type="dxa"/>
        </w:tblCellMar>
      </w:tblPr>
      <w:tblGrid>
        <w:gridCol w:w="38"/>
        <w:gridCol w:w="170"/>
        <w:gridCol w:w="587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5870" w:type="dxa"/>
            <w:tcBorders/>
            <w:vAlign w:val="center"/>
          </w:tcPr>
          <w:p>
            <w:pPr>
              <w:pStyle w:val="TableContents"/>
              <w:bidi w:val="0"/>
              <w:spacing w:before="0" w:after="0"/>
              <w:jc w:val="both"/>
              <w:rPr>
                <w:color w:val="000000"/>
              </w:rPr>
            </w:pPr>
            <w:r>
              <w:rPr>
                <w:color w:val="000000"/>
              </w:rPr>
              <w:t>failure to achieve the strategic objectives of these acquisitions;</w:t>
            </w:r>
          </w:p>
        </w:tc>
      </w:tr>
    </w:tbl>
    <w:tbl>
      <w:tblPr>
        <w:tblW w:w="2253" w:type="dxa"/>
        <w:jc w:val="left"/>
        <w:tblInd w:w="0" w:type="dxa"/>
        <w:tblLayout w:type="fixed"/>
        <w:tblCellMar>
          <w:top w:w="0" w:type="dxa"/>
          <w:left w:w="0" w:type="dxa"/>
          <w:bottom w:w="0" w:type="dxa"/>
          <w:right w:w="0" w:type="dxa"/>
        </w:tblCellMar>
      </w:tblPr>
      <w:tblGrid>
        <w:gridCol w:w="38"/>
        <w:gridCol w:w="170"/>
        <w:gridCol w:w="204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2045" w:type="dxa"/>
            <w:tcBorders/>
            <w:vAlign w:val="center"/>
          </w:tcPr>
          <w:p>
            <w:pPr>
              <w:pStyle w:val="TableContents"/>
              <w:bidi w:val="0"/>
              <w:spacing w:before="0" w:after="0"/>
              <w:jc w:val="both"/>
              <w:rPr>
                <w:color w:val="000000"/>
              </w:rPr>
            </w:pPr>
            <w:r>
              <w:rPr>
                <w:color w:val="000000"/>
              </w:rPr>
              <w:t>increased fixed costs;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pPr>
            <w:r>
              <w:rPr/>
              <w:t>financing structures that dilute the interests of our stockholders and/or result in an increase in our indebtedness;</w:t>
            </w:r>
          </w:p>
        </w:tc>
      </w:tr>
    </w:tbl>
    <w:tbl>
      <w:tblPr>
        <w:tblW w:w="6033" w:type="dxa"/>
        <w:jc w:val="left"/>
        <w:tblInd w:w="0" w:type="dxa"/>
        <w:tblLayout w:type="fixed"/>
        <w:tblCellMar>
          <w:top w:w="0" w:type="dxa"/>
          <w:left w:w="0" w:type="dxa"/>
          <w:bottom w:w="0" w:type="dxa"/>
          <w:right w:w="0" w:type="dxa"/>
        </w:tblCellMar>
      </w:tblPr>
      <w:tblGrid>
        <w:gridCol w:w="38"/>
        <w:gridCol w:w="170"/>
        <w:gridCol w:w="582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5825" w:type="dxa"/>
            <w:tcBorders/>
            <w:vAlign w:val="center"/>
          </w:tcPr>
          <w:p>
            <w:pPr>
              <w:pStyle w:val="TableContents"/>
              <w:bidi w:val="0"/>
              <w:spacing w:before="0" w:after="0"/>
              <w:jc w:val="both"/>
              <w:rPr>
                <w:color w:val="000000"/>
              </w:rPr>
            </w:pPr>
            <w:r>
              <w:rPr>
                <w:color w:val="000000"/>
              </w:rPr>
              <w:t>failure of the acquired businesses to achieve projected results;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failure to accurately assess the value, strengths, weaknesses, operating characteristics or long-term profitability of an acquisition target, or to realize anticipated synergies or other expected benefits;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assumption of unexpected liabilities, including litigation risks or compliance issues not discovered during pre-acquisition diligence;</w:t>
            </w:r>
          </w:p>
        </w:tc>
      </w:tr>
    </w:tbl>
    <w:tbl>
      <w:tblPr>
        <w:tblW w:w="9078" w:type="dxa"/>
        <w:jc w:val="left"/>
        <w:tblInd w:w="0" w:type="dxa"/>
        <w:tblLayout w:type="fixed"/>
        <w:tblCellMar>
          <w:top w:w="0" w:type="dxa"/>
          <w:left w:w="0" w:type="dxa"/>
          <w:bottom w:w="0" w:type="dxa"/>
          <w:right w:w="0" w:type="dxa"/>
        </w:tblCellMar>
      </w:tblPr>
      <w:tblGrid>
        <w:gridCol w:w="38"/>
        <w:gridCol w:w="170"/>
        <w:gridCol w:w="887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8870" w:type="dxa"/>
            <w:tcBorders/>
            <w:vAlign w:val="center"/>
          </w:tcPr>
          <w:p>
            <w:pPr>
              <w:pStyle w:val="TableContents"/>
              <w:bidi w:val="0"/>
              <w:spacing w:before="0" w:after="0"/>
              <w:jc w:val="both"/>
              <w:rPr>
                <w:color w:val="000000"/>
              </w:rPr>
            </w:pPr>
            <w:r>
              <w:rPr>
                <w:color w:val="000000"/>
              </w:rPr>
              <w:t>adverse effects on existing business relationships with our suppliers, sales force or consumers;</w:t>
            </w:r>
          </w:p>
        </w:tc>
      </w:tr>
    </w:tbl>
    <w:tbl>
      <w:tblPr>
        <w:tblW w:w="8043" w:type="dxa"/>
        <w:jc w:val="left"/>
        <w:tblInd w:w="0" w:type="dxa"/>
        <w:tblLayout w:type="fixed"/>
        <w:tblCellMar>
          <w:top w:w="0" w:type="dxa"/>
          <w:left w:w="0" w:type="dxa"/>
          <w:bottom w:w="0" w:type="dxa"/>
          <w:right w:w="0" w:type="dxa"/>
        </w:tblCellMar>
      </w:tblPr>
      <w:tblGrid>
        <w:gridCol w:w="38"/>
        <w:gridCol w:w="170"/>
        <w:gridCol w:w="783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7835" w:type="dxa"/>
            <w:tcBorders/>
            <w:vAlign w:val="center"/>
          </w:tcPr>
          <w:p>
            <w:pPr>
              <w:pStyle w:val="TableContents"/>
              <w:bidi w:val="0"/>
              <w:spacing w:before="0" w:after="0"/>
              <w:jc w:val="both"/>
              <w:rPr>
                <w:color w:val="000000"/>
              </w:rPr>
            </w:pPr>
            <w:r>
              <w:rPr>
                <w:color w:val="000000"/>
              </w:rPr>
              <w:t>inability to protect intellectual property related to newly acquired technologies;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risks associated with entering markets or industries in which we have limited or no prior experience, including limited expertise in running the business, developing the technology, and selling and servicing the products.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expansion of our Rhyz business into new businesses has been viewed negatively by some of our Sales Leaders as some of these new companies sell products that are similar to those of our core business and are viewed as using our resources for non-core businesses. These perspectives of our Sales Leaders could have a material negative impact on the number or productivity of our Sales Leaders and result in a reduction in our revenue.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failure to successfully integrate an acquired business, adjust fixed costs sufficiently or timely, or manage the other risks described above could have a material adverse effect on our business, financial condition and operating results. In addition, there can be no assurance that we will be able to identify suitable acquisition candidates, consummate acquisitions on favorable terms or realize the anticipated benefits of an acquisition.</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may also make strategic divestitures from time to time. With respect to any divestiture, we may encounter difficulty finding potential acquirers or other divestiture options on favorable terms. Any divestiture could affect our profitability as a result of the gains or losses on such sale of a business or service, the loss of the operating income resulting from such sale or the costs or liabilities that are not assumed by the acquirer that may negatively impact profitability subsequent to any divestiture. We may also recognize impairment charges as a result of a divesture.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Product Legal and Regulatory Risks</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Regulations governing our products, including the formulation, registration, pre-approval, marketing and sale of our products, could harm our business.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products are subject to extensive government regulation by numerous international, federal, provincial, state, and local government agencies and authorities. Many of these laws and regulations involve a high level of subjectivity, are subject to interpretation, and vary significantly from market to market. These laws and regulations can, and often do, have several impacts on our business, including but not limited to:</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pPr>
            <w:r>
              <w:rPr/>
              <w:t>delays in, or altogether prohibitions on, introducing or selling a product or ingredient in one or more markets;</w:t>
            </w:r>
          </w:p>
        </w:tc>
      </w:tr>
    </w:tbl>
    <w:tbl>
      <w:tblPr>
        <w:tblW w:w="8508" w:type="dxa"/>
        <w:jc w:val="left"/>
        <w:tblInd w:w="0" w:type="dxa"/>
        <w:tblLayout w:type="fixed"/>
        <w:tblCellMar>
          <w:top w:w="0" w:type="dxa"/>
          <w:left w:w="0" w:type="dxa"/>
          <w:bottom w:w="0" w:type="dxa"/>
          <w:right w:w="0" w:type="dxa"/>
        </w:tblCellMar>
      </w:tblPr>
      <w:tblGrid>
        <w:gridCol w:w="38"/>
        <w:gridCol w:w="170"/>
        <w:gridCol w:w="830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8300" w:type="dxa"/>
            <w:tcBorders/>
            <w:vAlign w:val="center"/>
          </w:tcPr>
          <w:p>
            <w:pPr>
              <w:pStyle w:val="TableContents"/>
              <w:bidi w:val="0"/>
              <w:spacing w:before="0" w:after="0"/>
              <w:jc w:val="both"/>
              <w:rPr/>
            </w:pPr>
            <w:r>
              <w:rPr>
                <w:color w:val="000000"/>
              </w:rPr>
              <w:t>d</w:t>
            </w:r>
            <w:r>
              <w:rPr/>
              <w:t>elays and expenses associated with the registration and approval process for a product;</w:t>
            </w:r>
          </w:p>
        </w:tc>
      </w:tr>
    </w:tbl>
    <w:tbl>
      <w:tblPr>
        <w:tblW w:w="5673" w:type="dxa"/>
        <w:jc w:val="left"/>
        <w:tblInd w:w="0" w:type="dxa"/>
        <w:tblLayout w:type="fixed"/>
        <w:tblCellMar>
          <w:top w:w="0" w:type="dxa"/>
          <w:left w:w="0" w:type="dxa"/>
          <w:bottom w:w="0" w:type="dxa"/>
          <w:right w:w="0" w:type="dxa"/>
        </w:tblCellMar>
      </w:tblPr>
      <w:tblGrid>
        <w:gridCol w:w="38"/>
        <w:gridCol w:w="170"/>
        <w:gridCol w:w="546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5465" w:type="dxa"/>
            <w:tcBorders/>
            <w:vAlign w:val="center"/>
          </w:tcPr>
          <w:p>
            <w:pPr>
              <w:pStyle w:val="TableContents"/>
              <w:bidi w:val="0"/>
              <w:spacing w:before="0" w:after="0"/>
              <w:jc w:val="both"/>
              <w:rPr/>
            </w:pPr>
            <w:r>
              <w:rPr/>
              <w:t>limitations on our ability to import products into a market;</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pPr>
            <w:r>
              <w:rPr/>
              <w:t>delays and expenses associated with compliance, such as record keeping, documentation of the properties of certain products, labeling, and scientific substantiation;</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pPr>
            <w:r>
              <w:rPr>
                <w:color w:val="000000"/>
              </w:rPr>
              <w:t>limitations</w:t>
            </w:r>
            <w:r>
              <w:rPr/>
              <w:t xml:space="preserve"> on the claims we can make regarding our products—for example, restrictions on product claims vary from market to market, including with respect to </w:t>
            </w:r>
            <w:r>
              <w:rPr>
                <w:i/>
              </w:rPr>
              <w:t>Prysm iO</w:t>
            </w:r>
            <w:r>
              <w:rPr/>
              <w:t>, limiting our ability to market the products;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pPr>
            <w:r>
              <w:rPr>
                <w:color w:val="000000"/>
              </w:rPr>
              <w:t xml:space="preserve">product </w:t>
            </w:r>
            <w:r>
              <w:rPr/>
              <w:t xml:space="preserve">reformulations, or </w:t>
            </w:r>
            <w:r>
              <w:rPr>
                <w:color w:val="000000"/>
              </w:rPr>
              <w:t xml:space="preserve">the </w:t>
            </w:r>
            <w:r>
              <w:rPr/>
              <w:t>recall or discontinuation of certain products that cannot be reformulated to comply with new regulations.</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observed a general increase in regulatory activity and enforcement scrutiny in the United States and across many markets globally where we operate, and the regulatory landscape is becoming more complex with increasingly strict requirements. In particular, the requirements are impacting the ingredients we can include in our products, the accepted quantities of those ingredients, and the quality and characterization of the ingredients. In recent years, global regulators have become more restrictive regarding the accepted levels of active ingredients that we can use in our products, in some cases banning them outright. They have also become more restrictive regarding the permitted contaminant levels in ingredients and, in many cases, have forced complete removal of such contaminants. In certain cases, such as some pesticides which are virtually ubiquitous in nature, it has proven difficult to comply with the requirements. Further, many of the restrictions regarding ingredient quality are not directly applicable to our products, leaving the possibility that our interpretation of compliance may not match that of the enforcing authorities. Often there is a lack of an equivalent active ingredient present in the marketplace. In other cases, the removal or reduction of a technical ingredient, such as various types of parabens, leads to a significant change in the character of the product that may make it no longer desirable or safe to the consumer. If this trend in new regulations continues, we may find it necessary to alter some of the ways we have traditionally marketed our products to stay in compliance with a changing regulatory landscape and this could add to the costs of our operations and/or have an adverse impact on our business.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Many laws and regulations govern the registration, pre-market approval or other aspects of regulatory oversight of our products. For example, in the United States, some legislators and industry critics have pushed to increase the regulatory authority of the FDA over nutritional supplements. In 2011, the FDA proposed draft guidance to clarify the FDA’s interpretation of the dietary ingredient notification requirements, and in 2016, the FDA issued revised draft guidance that superseded the 2011 version. In April 2024, the FDA issued new draft guidance replacing and expanding on the 2016 revised guidance. This draft guidance is not yet final but indicates that the FDA is expanding its definition of what is considered a “new dietary ingredient.” While still in flux, if finalized substantially as proposed, this guidance could impose new and significant regulatory barriers for our nutritional supplement products or unique ingredients, which could delay or inhibit our ability to formulate, introduce and sell nutritional supplements as we have in the past.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Similarly, from time to time, efforts are made by some individuals or groups to repeal the Dietary Supplement Health and Education Act of 1994 (“DSHEA”), the U.S. law that provides a separate body of regulations for dietary supplements as compared to drugs. Such a repeal would result in significant burdens for our product development, and the costs of running our business would increase significantly. We face similar pressures in our other markets, which continue to set restrictions on ingredients and their acceptable maximum levels, as well as on ingredient characterization, quality and levels. In Europe, for example, we are unable to market supplements that contain ingredients that were not marketed in Europe prior to May 1997 (“novel foods”) without going through an extensive registration and pre-market approval process.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FDA currently does not have a pre-market approval system for cosmetics. However, cosmetic products may become subject to more extensive regulation in the future, even beyond the requirements mandated by the recently enacted Modernization of Cosmetics Regulation Act of 2022. These events could interrupt the marketing and sale of our products, severely damage our brand reputation and image in the marketplace, increase the cost of our products, cause us to fail to meet customer expectations or cause us to be unable to deliver merchandise in sufficient quantities or of sufficient quality to our stores, any of which could result in lost sales.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operations could be harmed if new laws or regulations are enacted that restrict our ability to market or distribute our products or impose additional burdens or requirements on us in order to continue selling our products. In addition, the adoption of new regulations or changes in the interpretations and enforcement of existing regulations may result in significant compliance costs or discontinuation of product sales and may impair the marketability of our products, resulting in significant loss of net sales. We cannot predict the nature of any future laws, regulations, interpretations, or applications, nor can we determine what effect additional governmental regulations or administrative orders, when and if promulgated, would have on our business. If new or existing laws and regulations restrict, inhibit or delay our ability to introduce or market our products or limit the claims we are able to make regarding our products, this could have a material adverse effect on our business, financial condition, and operating results. If we fail to comply with the laws and regulations governing our products, we could face enforcement action, and we could be fined or forced to alter or stop selling our products.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Government regulations and private party actions relating to the marketing and advertising of our products and services may restrict, inhibit or delay our ability to sell our products and harm our business.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Government authorities regulate advertising and product claims regarding the efficacy and benefits of our products. These regulatory authorities typically require adequate and reliable scientific substantiation to support any marketing claims. What constitutes such reliable scientific substantiation can vary widely from market to market and there is no assurance that the research and development efforts that we undertake to support our claims will be deemed adequate for any particular product or claim. If we are unable to show adequate and reliable scientific substantiation for our product claims, or if our marketing materials or the marketing materials of our sales force make claims that exceed the scope of allowed claims for dietary supplements, cosmetics or devices that we offer, the FDA or other regulatory authorities could take enforcement action requiring us to revise our marketing materials, amend our claims or stop selling certain products, which could harm our business.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example, in recent years, the FDA has issued warning letters to many cosmetic companies alleging improper structure/function claims regarding their cosmetic products, including, for example, product claims regarding gene activity, cellular rejuvenation, and rebuilding collagen. There is a degree of subjectivity in determining whether a claim is an improper structure/function claim. Given this subjectivity and our research and development focus on the sources of aging and the influence of certain ingredients on gene expression, there is a risk that we could receive a warning letter, be required to modify our product claims or take other actions to satisfy the FDA if the FDA determines any of our marketing materials include improper structure/function claims for our cosmetic products. In addition, plaintiffs’ lawyers have filed class action lawsuits against some of our competitors after our competitors received these FDA warning letters. There can be no assurance that we will not be subject to government actions or class action lawsuits, which could harm our business.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In the United States, the FTC’s Guides Concerning the Use of Endorsements and Testimonials in Advertising (“Guides”) require disclosure of material connections between an endorser and the company they are endorsing, and they generally do not allow marketing using atypical results. Our sales force has historically used testimonials and “before and after” photos to market and sell some of our popular products such as our spa devices and </w:t>
      </w:r>
      <w:r>
        <w:rPr>
          <w:rFonts w:ascii="Times New Roman" w:hAnsi="Times New Roman"/>
          <w:i/>
          <w:color w:val="000000"/>
          <w:sz w:val="20"/>
          <w:shd w:fill="FFFFFF" w:val="clear"/>
        </w:rPr>
        <w:t>ageLOC Tru Face</w:t>
      </w:r>
      <w:r>
        <w:rPr>
          <w:rFonts w:ascii="Times New Roman" w:hAnsi="Times New Roman"/>
          <w:color w:val="000000"/>
          <w:sz w:val="20"/>
          <w:shd w:fill="FFFFFF" w:val="clear"/>
        </w:rPr>
        <w:t xml:space="preserve"> anti-aging skin care system. We intend to continue to use testimonials for our popular products, including weight management products and beauty products. In highly regulated and scrutinized product categories such as weight management, if we or our sales force fails to comply with the Guides or makes improper product claims, the FTC could bring an enforcement action against us, and we could be fined and/or forced to alter our marketing materials. In addition, during 2023, the FTC sent notices of penalty offense to nearly 700 companies, including us, regarding the requirement of sufficient substantiation for product claims. Pursuant to the FTC’s “penalty offense authority,” companies that received the notice are expected to comply with the standards set in the FTC’s prior administrative cases on this topic, and they could incur significant civil penalties if the FTC were to determine that they or their representatives engaged in conduct inconsistent with those standards.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Additionally, state statutes throughout the United States create private rights of action for individuals claiming harm from false or misleading marketing claims that can lead to the assertion or filing of class action lawsuits. There can be no assurance that we will not be subject to class action lawsuits asserting false or misleading marketing claims, which could harm our business.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Our operations could be harmed if we or our vendors fail to comply with Good Manufacturing Practices.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Across our markets, there are regulations on a diverse range of Good Manufacturing Practices that apply to us and to our vendors covering product categories such as dietary supplements, cosmetics, foods, over-the-counter drugs and medical devices. The Good Manufacturing Practices impose stringent requirements on a variety of topics, including vendor qualifications, ingredient identification, manufacturing controls and record keeping. Ingredient identification requirements, which often require us to confirm the levels, identity and potency of ingredients listed on our product labels within a narrow range, are particularly burdensome and difficult for us because our products contain many different ingredients. Additionally, certain Good Manufacturing Practices obligate us to track and periodically report adverse events to government agencies. Compliance with these increasing regulations may further increase the cost of manufacturing certain of our products as we work with our vendors to assure they are qualified and in compliance. In addition, our operations could be harmed if regulatory authorities determine that we or our vendors are not in compliance with these regulations or if public reporting of adverse events harms our reputation for quality and safety. A finding of noncompliance may result in administrative warnings, penalties or actions impacting our ability to continue selling certain products, including public withdrawals, seizures and recalls. For example, we have had product recalls in the United States based on labeling issues. Problems associated with product recalls could be exacerbated due to the global nature of our business because a recall in one jurisdiction could lead to recalls in other jurisdictions. In addition, these risks associated with noncompliance could increase as we acquire businesses, including our current and future Rhyz businesses.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If our current or any future device products are determined to be medical devices in a particular geographic market, or if our sales force uses these products for medical purposes or makes improper medical claims, our ability to continue to market and distribute such devices could be harmed, and we could face legal or regulatory actions.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One of our strategies is to market unique and innovative products that allow our sales force to distinguish our products. As we pursue this strategy with our current and future device products, there is a risk that regulatory authorities in our markets could determine that these products must receive clearance or be registered as medical devices. Such a determination could restrict our ability to import or sell the product in such a market until registration or clearance is obtained. The process for obtaining such registrations and clearances could require us to provide documentation concerning product manufacturing and clinical utility; to make design, specification and manufacturing process modifications to meet standards imposed on medical device companies; and to modify our marketing claims regarding the registered product.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While we have not been required to register our device products as medical devices in most markets, we have registered some of them in some markets, including </w:t>
      </w:r>
      <w:r>
        <w:rPr>
          <w:rFonts w:ascii="Times New Roman" w:hAnsi="Times New Roman"/>
          <w:i/>
          <w:color w:val="000000"/>
          <w:sz w:val="20"/>
          <w:shd w:fill="FFFFFF" w:val="clear"/>
        </w:rPr>
        <w:t>ageLOC Boost</w:t>
      </w:r>
      <w:r>
        <w:rPr>
          <w:rFonts w:ascii="Times New Roman" w:hAnsi="Times New Roman"/>
          <w:color w:val="000000"/>
          <w:sz w:val="20"/>
          <w:shd w:fill="FFFFFF" w:val="clear"/>
        </w:rPr>
        <w:t xml:space="preserve"> and </w:t>
      </w:r>
      <w:r>
        <w:rPr>
          <w:rFonts w:ascii="Times New Roman" w:hAnsi="Times New Roman"/>
          <w:i/>
          <w:color w:val="000000"/>
          <w:sz w:val="20"/>
          <w:shd w:fill="FFFFFF" w:val="clear"/>
        </w:rPr>
        <w:t>Nu Skin Wellspa iO</w:t>
      </w:r>
      <w:r>
        <w:rPr>
          <w:rFonts w:ascii="Times New Roman" w:hAnsi="Times New Roman"/>
          <w:color w:val="000000"/>
          <w:sz w:val="20"/>
          <w:shd w:fill="FFFFFF" w:val="clear"/>
        </w:rPr>
        <w:t xml:space="preserve"> in Thailand and our </w:t>
      </w:r>
      <w:r>
        <w:rPr>
          <w:rFonts w:ascii="Times New Roman" w:hAnsi="Times New Roman"/>
          <w:i/>
          <w:color w:val="000000"/>
          <w:sz w:val="20"/>
          <w:shd w:fill="FFFFFF" w:val="clear"/>
        </w:rPr>
        <w:t>ageLOC Galvanic Facial Spa</w:t>
      </w:r>
      <w:r>
        <w:rPr>
          <w:rFonts w:ascii="Times New Roman" w:hAnsi="Times New Roman"/>
          <w:color w:val="000000"/>
          <w:sz w:val="20"/>
          <w:shd w:fill="FFFFFF" w:val="clear"/>
        </w:rPr>
        <w:t xml:space="preserve"> and </w:t>
      </w:r>
      <w:r>
        <w:rPr>
          <w:rFonts w:ascii="Times New Roman" w:hAnsi="Times New Roman"/>
          <w:i/>
          <w:color w:val="000000"/>
          <w:sz w:val="20"/>
          <w:shd w:fill="FFFFFF" w:val="clear"/>
        </w:rPr>
        <w:t>ageLOC Body Spa</w:t>
      </w:r>
      <w:r>
        <w:rPr>
          <w:rFonts w:ascii="Times New Roman" w:hAnsi="Times New Roman"/>
          <w:color w:val="000000"/>
          <w:sz w:val="20"/>
          <w:shd w:fill="FFFFFF" w:val="clear"/>
        </w:rPr>
        <w:t xml:space="preserve"> systems in Indonesia, Thailand, Peru and Colombia. We also sought and received clearance from the United States Food and Drug Administration to market our </w:t>
      </w:r>
      <w:r>
        <w:rPr>
          <w:rFonts w:ascii="Times New Roman" w:hAnsi="Times New Roman"/>
          <w:i/>
          <w:color w:val="000000"/>
          <w:sz w:val="20"/>
          <w:shd w:fill="FFFFFF" w:val="clear"/>
        </w:rPr>
        <w:t>Nu Skin Facial Spa</w:t>
      </w:r>
      <w:r>
        <w:rPr>
          <w:rFonts w:ascii="Times New Roman" w:hAnsi="Times New Roman"/>
          <w:color w:val="000000"/>
          <w:sz w:val="20"/>
          <w:shd w:fill="FFFFFF" w:val="clear"/>
        </w:rPr>
        <w:t xml:space="preserve"> device and, more recently, our </w:t>
      </w:r>
      <w:r>
        <w:rPr>
          <w:rFonts w:ascii="Times New Roman" w:hAnsi="Times New Roman"/>
          <w:i/>
          <w:color w:val="000000"/>
          <w:sz w:val="20"/>
          <w:shd w:fill="FFFFFF" w:val="clear"/>
        </w:rPr>
        <w:t>Nu Skin RenuSpa iO</w:t>
      </w:r>
      <w:r>
        <w:rPr>
          <w:rFonts w:ascii="Times New Roman" w:hAnsi="Times New Roman"/>
          <w:color w:val="000000"/>
          <w:sz w:val="20"/>
          <w:shd w:fill="FFFFFF" w:val="clear"/>
        </w:rPr>
        <w:t xml:space="preserve"> device for over-the-counter use.</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some cases, challenges can arise even after we have completed the required registration/clearance process or determined that a product does not need registration/clearance. This could occur if a jurisdiction changes its laws or interpretations thereof, for example. In addition, if, in violation of our policies, our sales force attempts to import or export products from one market to another, makes medical claims regarding our products, or uses our products to perform medical diagnoses or other activities limited to licensed professionals or approved medical devices (in markets where the product is not approved), it could negatively impact our ability to market or sell these products and subject us to legal or regulatory actions.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Because medical device regulations vary widely from market to market, registration or clearance in one market does not preclude challenges or delays in obtaining registration or clearance in other markets, nor does it preclude other markets from requiring us to make additional modifications or provide additional documentation as conditions to granting clearance. Furthermore, in some cases, registration or clearance to sell a product in one market may be used as precedent for requiring similar approval for the product in another market, or for similar products in the same market. These additional requirements could increase the cost associated with manufacturing and selling these products as non-medical devices in such markets.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Any of the above factors could have a material negative impact on our ability to sell products and could negatively affect our financial results.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We may incur product liability claims that could harm our business.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sell a variety of different products for human consumption and use, including cosmetics, dietary supplements, conventional foods, OTC drugs and devices. Our cosmetics and conventional foods, as well as some of our dietary supplements, are not generally subject to pre-market approval or registration processes so we cannot rely upon a government safety panel to qualify or approve our products for use, and some ingredients may not have long histories of human consumption or use. We rely upon published and unpublished safety information including clinical studies on ingredients used in our products and conduct our own clinical and safety studies on some key ingredients and products, but not all products. A product may be safe for the general population when consumed or used as directed but could cause an adverse reaction for some individuals, such as a person who has a health condition or allergies or who is taking a prescription medication. While we include what we believe are adequate instructions and warnings and we have historically had low numbers of reported reactions, previously unknown adverse reactions could occur. If we discover that our products are causing adverse reactions, or if we determine that any of our employees have not properly handled reports of adverse reactions, we could suffer further adverse publicity or government sanctions.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a result of the type of products that we sell, we may be subject to various product liability claims, including that the products fail to meet quality or manufacturing specifications, contain contaminants, include inadequate instructions as to their proper use, include inadequate warnings concerning side effects and interactions with other substances or for persons with health conditions or allergies, or cause adverse reactions or side effects. Consumer protection laws and regulations governing our business continue to expand, and in some states such as California, class-action lawsuits based on increasingly novel theories of liability are expanding. Product liability claims could increase our costs, cause negative publicity, and adversely affect our business and financial results. As we continue to offer an increasing number of new products through large product offerings our product liability risk may increase.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our sales force or employees provide improper advice regarding our products or our products’ use or safety, we may be subject to additional product liability.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generally elected to self-insure our product liability risks. We periodically evaluate whether we can and should obtain product liability insurance. Based upon our current approach to product liability risk management, if any of our products are found to cause any injury or damage or we become subject to product liability claims, we will be subject to the full amount of liability associated with any injuries or damages. This liability could be substantial and may exceed our existing reserves and harm our business.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Legal, Regulatory and Compliance Risks</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We may become involved in legal proceedings and other matters that could adversely affect our operations or financial results.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been, and regularly are, a party to litigation, government inquiries or investigations, audits or other legal matters. These legal proceedings have included, or could include, among other things, claims alleging violation of the federal securities laws or state corporate laws, or claims related to employment matters, contracts, intellectual property, consumer protection, fair-competition/anti-trust laws, our products, business opportunity or advertising, defamation, negligence, data breaches, privacy compliance, or other matters. Claims have been brought by regulators, investors, members of our sales force, consumers, employees, and other private parties and in some cases have been brought as class action lawsuits. In addition, as we have been more active during the past several years with acquisitions, divestments and other investment-related activities, we have had litigation and threats of litigation with parties involved in these transactions or businesses.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example, we currently have ongoing litigation in Washington state in which the plaintiffs claim that various aspects of our 2018 brand affiliate agreement and policies and procedures are unconscionable and in violation of Washington consumer-protection and other laws. The trial court granted partial summary judgment as to some of the plaintiffs’ claims in October 2025, and we are currently appealing that decision. This matter could ultimately result in payment of damages, attorney fees and costs, as well as injunctive relief regarding our enforcement of certain sections of our brand affiliate agreement.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general, litigation claims, regulatory actions or other legal matters are expensive and time-consuming and can result in settlements, adverse rulings or damages that could significantly affect financial results and the conduct of our business. It is not possible to predict the final resolution of any legal proceeding to which we may become party, and the impact of these matters on our business, results of operations and financial condition could be material.</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Non-compliance or alleged non-compliance with anti-corruption laws could harm our business.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international operations are subject to various anti-corruption laws in the jurisdictions where we operate, including principally the U.S. Foreign Corrupt Practices Act (the “FCPA”). The FCPA prohibits companies and their agents or intermediaries from offering, promising, giving, or authorizing others to give anything of value, either directly or indirectly, to a non-U.S. government official in order to influence official action or otherwise for the purpose of obtaining or retaining business. The FCPA also requires public companies to make and keep books and records, which, in reasonable detail, accurately and fairly reflect the transactions of the company and to devise and maintain an adequate system of internal accounting controls.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Significant international regulation of our industry and accordingly our business operations requires our employees, agents, and intermediaries to interact frequently with public officials, including officials of non-U.S. governments, in some highly regulated jurisdictions, including Mainland China. We dedicate time and resources to internal investigations of any allegation that we are not or may not be in compliance with the FCPA or other applicable international anti-corruption laws. Such allegations, even if untrue, may result in a government investigation by a foreign or U.S. regulator, including the U.S. Department of Justice and the Securities and Exchange Commission. Our corporate policies require all employees, agents and intermediaries to comply with the FCPA and other applicable anti-corruption laws, including the FCPA’s books-and-records and internal-accounting-controls requirements. Any regulatory determination, however, that our operations or activities are not in compliance with existing anti-corruption laws or regulations could result in the imposition of substantial fines and other penalties from U.S. or other regulatory entities.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Although we have implemented anti-corruption policies, controls and training globally to maintain an adequate system of books and records and internal accounting controls, we have in the past and may in the future have regulatory investigations and penalties. We cannot guarantee that our compliance efforts will prevent future investigations, fines or penalties under the FCPA or other anti-corruption laws.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Additionally, we cannot predict the nature, scope or effect of future regulatory requirements to which our international operations might be subject or the manner in which existing or new laws might be administered or interpreted. Alleged or actual violations of any such existing or future laws (either due to our own acts or our inadvertence, or due to the acts or inadvertence of others) may result in criminal or civil sanctions or reputational harm, which could have a material adverse effect on our business, financial condition and results of operations.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A failure of our internal controls over financial reporting or our regulatory compliance efforts could harm our stock price and our financial and operating results or could result in fines or penalties.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implemented internal controls to help ensure the completeness and accuracy of our financial reporting and to detect and prevent fraudulent actions within our financial and accounting processes. We have also implemented compliance policies and programs to help ensure that our employees and sales force comply with applicable laws and regulations. Our internal audit team regularly audits our internal controls and various aspects of our business and compliance program, and we regularly assess the effectiveness of our internal controls. There can be no assurance, however, that our internal or external assessments and audits will identify all fraud, misstatements in our financial reporting, and significant deficiencies or material weaknesses in our internal controls. Material weaknesses have in the past resulted in, and may in the future result in, a material misstatement of our financial results, requiring us to restate our financial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From time to time, we initiate investigations into our business operations to improve our regulatory compliance efforts or based on the results of our internal and external audits or on complaints, questions or allegations made by employees or other parties regarding our business practices and operations. In addition, our business and operations may be investigated by applicable government authorities. In the event any of these investigations identify material violations of applicable laws by our employees, sales force or affiliates, we could be subject to adverse publicity, fines, penalties or loss of licenses or permits.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39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Risks Associated with Taxes, Customs and Debt</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We are subject to changes in tax and customs laws, changes in our tax rates, the adoption of new U.S. or international tax legislation or exposure to additional tax liabilities, which could have a material and adverse impact on our effective tax rate, operating results, cash flows and financial condition.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a U.S.-based company operating internationally, we must comply with applicable tax and customs laws in all jurisdictions where we conduct business. These include rules governing intercompany pricing and transactions among our corporate entities, as well as customs valuation and classification, income taxes, value-added taxes, withholding taxes, payroll taxes, and other relevant tax obligations. Tax and customs laws, along with related regulations, administrative practices, and interpretations, may change at any time—sometimes without notice—due to economic, political, or other external factors. Any changes in the law or in regulatory interpretations could significantly increase our tax or customs costs and raise our effective tax rate.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Because our subsidiaries operate in numerous jurisdictions with evolving tax rules and interpretations, determining and estimating our income tax provisions requires significant judgment. Our future effective tax rates may be influenced by a variety of factors, including intercompany transactions, shifts in business operations, acquisitions or divestitures, expansion into new markets, the amount and geographic distribution of our earnings, recognized losses, our ability to utilize tax benefits, foreign currency fluctuations, changes in our stock price, uncertain tax positions, state tax allocation and apportionment, and changes to deferred tax assets, liabilities, and related valuation allowances. Additionally, U.S. and foreign governments may implement new tax laws or negotiate tax treaties that further alter global tax frameworks, potentially having a material impact on our operating results and financial condition.</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Government authorities may question our tax or customs positions or change their laws in a manner that could increase our effective tax rate or otherwise harm our business.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Although we strive to stay informed about and comply with all applicable tax and customs laws—including changes and differing interpretations—local authorities may still challenge our positions from time to time. We are routinely subject to audits, investigations, inquiries, and other tax or customs reviews by authorities worldwide involving income taxes, customs valuation and classification, transfer pricing, value-added taxes, withholding taxes, payroll taxes, and other relevant taxes.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resolution of these matters can take years, and outcomes are uncertain; they may result in additional taxes or customs duties, including back payments, interest, and penalties. In our consolidated financial statements, we record reserves that we believe comply with U.S. GAAP and continually evaluate the likelihood of adverse outcomes to assess the adequacy of our accruals, adjusting them as necessary. Nevertheless, developments in these matters may require additional accruals and expenses, and the final outcome could differ materially from our estimates, potentially affecting our effective tax rate and overall tax or customs expense.</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A decline in our business could adversely affect our financial position and liquidity, and our debt covenants could limit our ability to pursue transactions or other opportunities that could be beneficial to our business.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Any significant decline in our operating results could adversely affect our financial position and liquidity. Under the terms of our credit facility, we are required to maintain certain interest coverage and leverage ratios. In addition, our outstanding borrowings under our credit facility and related term loan impose debt service and amortization requirements. A significant deterioration in our results of operations, whether as a result of prevailing economic, financial and industry conditions, or other causes, could impact our ability to comply with our debt covenants and debt service and amortization obligations, which could result in an event of default under the terms of our credit facility. An event of default under our credit facility could result in an inability to access funding under the agreement and cause all outstanding amounts to become immediately due and payable, which would have a material adverse effect on our financial condition and liquidity. In addition, even if we do not default, our debt covenants could impose limitations on our ability to borrow additional funds in order to pursue transactions or other opportunities that could be beneficial to our business.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Intellectual Property Risks</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We may be subject to claims of infringement on the intellectual property rights or trade secrets of others, resulting in costly litigation.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recent years, there has been significant litigation in the United States involving patents and other intellectual property rights. In particular, there has been an increase in the filing of suits alleging infringement of intellectual property rights, which pressure defendants into entering into settlement arrangements quickly to dispose of such suits, regardless of their merit. Other companies or individuals may allege that we, or our sales force, consumers, licensees or other parties indemnified by us, infringe on their intellectual property rights. Even if we believe that such claims are without merit, defending such intellectual property litigation can be costly, distract management’s attention and resources, and the outcome is inherently uncertain. Claims of intellectual property infringement also might require us to redesign affected products, enter into costly settlement or license agreements, pay costly damage awards, or face a temporary or permanent injunction prohibiting us from marketing or selling certain of our products. Any of these results may adversely affect our financial condition.</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a result of claims against us regarding suspected infringement, our technologies may be subject to injunction, we may be required to pay damages, or we may have to seek a license to continue certain practices (which may not be available on reasonable terms, if at all), all of which may significantly increase our operating expenses or may require us to restrict our business activities and limit our ability to deliver our products and services and/or certain features, integrations, and capabilities of our platform. As a result, we may also be required to develop alternative non-infringing technology, which could require significant effort and expense and/or cause us to alter our products or services, which could negatively affect our business.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employ individuals who were previously employed at other beauty or wellness product companies, including our competitors or potential competitors. To the extent that our employees are involved in research areas that are similar to those in which they were involved with their former employers, we may be subject to claims that such employees have inadvertently or otherwise used or disclosed the alleged trade secrets or other proprietary information of the former employers. Litigation may be necessary to defend against such claims.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If we are unable to protect our intellectual property rights or our proprietary information and know-how, our ability to compete could be negatively impacted and the value of our products could be adversely affected.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market for our products depends to a significant extent upon the value associated with our product innovations and our brand equity. We rely upon patent, copyright, trademark, and trade secret laws in the United States and other markets, and non-disclosure, confidentiality, and other types of agreements with our employees, sales force, customers, suppliers and other parties, to establish, maintain and enforce our intellectual property rights. Despite these measures, any of our intellectual property rights could be challenged, invalidated, circumvented, or misappropriated, or such intellectual property rights may not be sufficient to permit us to provide competitive advantages, which could result in costly product redesign efforts, discontinuance of certain product offerings or other competitive harm. In addition, the laws of certain foreign markets where we have significant business, including markets such as Mainland China, do not protect our intellectual property rights to the same extent as the laws of the United States.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costs required to protect our patents and trademarks may be substantial. In some cases it may not even be practical to seek to register our intellectual property for various reasons, including costs and enforceability. We have filed patent and trademark applications globally to protect our intellectual property rights in our new technologies; however, there can be no assurance that our patent and trademark applications will be approved and issued, that any patents and trademarks issued will adequately protect our intellectual property, or that such patents and trademarks will not be challenged by third parties or found by a judicial authority to be invalid or unenforceable. Additionally, we cannot guarantee that our intellectual property rights will be respected and not infringed by third parties. Moreover, many of our products rely on technologies developed or licensed by third parties, and we may not be able to obtain or continue to obtain licenses and technologies from these third parties on reasonable terms or at all.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From time to time, we become aware of potential violations of our intellectual property rights. For example, we are aware of the use of and attempts to obtain trademark registrations for “Nu Skin” or phonetically similar marks and of some products that may infringe on our intellectual property related to the </w:t>
      </w:r>
      <w:r>
        <w:rPr>
          <w:rFonts w:ascii="Times New Roman" w:hAnsi="Times New Roman"/>
          <w:i/>
          <w:color w:val="000000"/>
          <w:sz w:val="20"/>
          <w:shd w:fill="FFFFFF" w:val="clear"/>
        </w:rPr>
        <w:t>ageLOC LumiSpa</w:t>
      </w:r>
      <w:r>
        <w:rPr>
          <w:rFonts w:ascii="Times New Roman" w:hAnsi="Times New Roman"/>
          <w:color w:val="000000"/>
          <w:sz w:val="20"/>
          <w:shd w:fill="FFFFFF" w:val="clear"/>
        </w:rPr>
        <w:t xml:space="preserve"> device. To enforce and protect our intellectual property rights, we may initiate actions against third parties to protect our intellectual property, such as patent, copyright, and trademark infringement lawsuits or interference proceedings, and seek indemnification by contract or otherwise. Any lawsuits that we initiate could be expensive, take significant time and divert management’s attention from other business concerns, and we may ultimately fail to prevail on or recover on any indemnification or infringement claim. Litigation also puts our patents and trademarks at risk of being invalidated or interpreted narrowly and our patent and trademark applications at risk of not issuing. Additionally, we may provoke third parties to assert claims against us. We may not prevail in any lawsuits that we initiate and the damages or other remedies awarded, if any, may not be commercially valuable. The occurrence of any of these events may adversely affect our financial condition or diminish our investments in this area.</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to patented technology, we rely on our unpatented proprietary technology, trade secrets, processes and know-how. We generally seek to protect this information by confidentiality, non-disclosure and assignment of invention agreements with our employees, consultants, scientific advisors and third parties. Our employees may leave the company to work for competitors. Our sales force members may seek other opportunities. These agreements may be breached, and we may not have adequate remedies for any such breach. In addition, our trade secrets may be disclosed to, become known by or be independently developed by competitors. To the extent that our current or former employees, sales force, consultants or contractors use intellectual property owned by others in their work for us, disputes may arise as to the rights in related or resulting know-how and inventions. If, for any of the above reasons, our intellectual property is disclosed or misappropriated, it would harm our ability to protect our rights and adversely affect our financial condition.</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Data Security and Privacy Risks</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Failure to maintain satisfactory compliance with certain privacy and data protections laws and regulations, and the integrity of company, employee, sales force, customer or guest data, could expose us to litigation, liability, substantial negative financial consequences and harm to our reputation.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collect, transmit and/or store large volumes of company, employee, sales force, customer and guest data, including payment card information, personally identifiable information, health-related data, biometric information and other sensitive personal information, for business purposes, including for transactional and promotional purposes, and our various information technology systems enter, process, summarize, report and transmit such data. The various mobile applications, connected beauty and wellness devices, and other connected tools that we have developed or are developing also collect data. The integrity and protection of this personal data is critical to our business.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bookmarkStart w:id="16" w:name="z_Hlk190095880"/>
      <w:bookmarkEnd w:id="16"/>
      <w:r>
        <w:rPr>
          <w:rFonts w:ascii="Times New Roman;Times;serif" w:hAnsi="Times New Roman;Times;serif"/>
          <w:color w:val="000000"/>
          <w:sz w:val="20"/>
          <w:shd w:fill="FFFFFF" w:val="clear"/>
        </w:rPr>
        <w:t>We are subject to various security and privacy regulations in the markets where we do business, as well as requirements imposed by the payment card industry. For example, the General Data Protection Regulation, which went into effect in the European Union in 2018, imposes increased data protection regulations, the violation of which could result in fines of up to 4% of annual consolidated revenue. Many other U.S. states and foreign jurisdictions have similarly enacted security, privacy and data use transparency regulations. These include the California Consumer Privacy Act (“CCPA”) of 2020 (as amended by the California Privacy Rights Act (“CPRA”)) and the Washington My Heath My Data Act of 2023. As of 2025, more than a dozen U.S. states have enacted privacy statutes imposing requirements related to consumer rights, data minimization, sensitive data handling, profiling, and opt-out controls, and state enforcement and rulemaking activities continue to increase. Internationally, multiple jurisdictions continue to adopt or expand privacy frameworks, including India’s Digital Personal Data Protection Act, and laws and regulations granting rights to individuals to understand and control the use of their data. We anticipate that federal, state and international regulators will continue to enact legislation and issue new rules and regulations related to data governance and privacy. These laws may impose restrictions on our ability to gather and/or transfer personal data, provide individuals with additional rights around their personal data, and place downstream obligations on our Brand Affiliates or other business partners relating to their use of information we provide. Many jurisdictions, including California and Mainland China, have increased enforcement of laws and regulations that have recently taken effect. In addition, the FTC has taken an increasingly active approach to enforcing data privacy in the U.S. and has launched investigations and taken action against several large private companies over their data privacy practices in the past year. We believe these trends will continue.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the United States, congressional committees have held preliminary hearings about the advisability of a federal data privacy law, but it is uncertain whether the federal government will adopt such a law and whether it would preempt state data privacy laws. Efforts have been made in recent years at the federal level to establish a comprehensive privacy regime including many of the concepts found in other state and federal privacy bills and laws, such as consent requirements for entities providing services to the public that collect, store, process, use or otherwise control sensitive personal information. The prospect of new data privacy laws and ambiguity regarding the interpretation of new and existing laws has resulted in significant uncertainty and compliance costs and may require us to devote additional operational, legal, and technical resources to address evolving requirements.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addition to laws specifically governing privacy and data security, in some cases, federal and state regulators and state attorneys general and administrative agencies have interpreted more general consumer protection laws to impose standards for the online collection, use, dissemination and security of data. Plaintiffs’ counsels have also put forward a number of novel theories suing companies on the basis of their collection and use of information under existing privacy-adjacent laws. For example, there has been a recent increase in class action and individual litigation applying the provisions of the California Invasion of Privacy Act, enacted in 1967, to the use of common website technology (such as tracking pixels, session-replay tools, chat features, and other analytics or advertising technologies). Although we monitor regulatory developments in this area, laws may be implemented, interpreted, or enforced in a non-uniform or inconsistent way across jurisdictions, and we may not be aware of every development that impacts our business. Any actual or perceived failure by us to comply with these requirements could subject us to significant penalties, lawsuits and negative publicity and require changes to our business practices. The costs of complying with existing or new data privacy or data protection laws and regulations may limit our ability to gather personal information needed to provide our products and services, delay or impede the development of new products and services, or negatively impact the use of or demand for our products and services, any of which could harm our business. In particular, maintaining compliance with these and other evolving regulations and requirements around the world has required changes to our information system architecture and data transfer and data storage processes. For example, data privacy laws in Mainland China, the European Union and other jurisdictions place restrictions on the cross-border transmission of personal data, which could impede our ability to perform many business functions, including calculating and paying compensation to our sales force, absent significant changes to our information system architecture. In 2023, the European Union adopted a new adequacy decision for the E.U.-U.S. Data Privacy Framework, which provides a legal mechanism for certain cross-border transfers of personal data to the United States. However, activist groups have already indicated an intent to challenge this new framework. Because of these challenges, there is constant uncertainty regarding the legal basis for data transfers to the United States from the European Union. This may result in the eventual interruption of such transfers and therefore the interruption of business functions that rely on these transfers. Changing our information system architecture and data transfer and storage processes is difficult and expensive. Investigations by the regulators of data security or protection laws across jurisdictions could also result in the payment of fines, reputational harm and an inability to continue doing business in certain jurisdictions. Class actions or other private actions by affected individuals in some jurisdictions could also result in significant monetary or reputational damage.</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additional factors also cause risks related to the use of data:</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pPr>
            <w:r>
              <w:rPr/>
              <w:t>Sales force—We share certain data with our sales force. We could face fines, investigations, lawsuits or other legal action if our sales force violates, or is perceived to violate, applicable laws and regulations, and our reputation and brand could be negatively impacted.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pPr>
            <w:r>
              <w:rPr/>
              <w:t>Payment card industry data security standards—A failure to adhere to the payment card industry’s data security standards could cause us to incur penalties from payment card associations, termination of our ability to accept credit or debit card payments, litigation and adverse publicity, any of which could have a material adverse effect on our business and financial condition.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pPr>
            <w:r>
              <w:rPr>
                <w:color w:val="000000"/>
              </w:rPr>
              <w:t>Consumer health data regulations</w:t>
            </w:r>
            <w:r>
              <w:rPr/>
              <w:t>—In addition to state comprehensive privacy laws, several states (Washington, Nevada and Connecticut) have passed targeted legislation regulating “consumer health information,” generally defined as personal information linked or reasonably linkable to a consumer that identifies their past, present, or future physical or mental health status. This broad definition likely imposes restrictions on our ability to gather this data. These new laws appear to require additional privacy policies and specific consents from consumers; compliance with these new laws may require significant time and effort. If found to be in violation of these laws, we may face regulatory scrutiny and fines. The cost of assessing and bringing company practices into compliance with these new laws can be significant, and the risk of legal claims in the event of non-compliance is increasing. For example, Washington’s “My Health, My Data” law creates a private right of action for non-compliance.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Artificial intelligence (“AI”)—As we introduce AI technologies into new or existing offerings or back-office functions, it may result in new or expanded risks and liabilities due to enhanced governmental or regulatory scrutiny, litigation, compliance issues, ethical concerns, and data privacy and security risks, all of which could adversely affect our business, reputation and financial results. In addition, several U.S. and international jurisdictions have passed laws regulating the use of AI technologies. For example, the European Union’s Artificial Intelligence Act of 2024 has provided a regulatory landscape that private businesses will need to navigate with caution. The scale of penalties for non-compliance could be up to €35 million or 7% of global turnover. In the United States, the federal regulatory and policy environment for AI has also evolved, including through executive orders and agency guidance issued in 2025 that may affect expectations for AI governance, risk management, and procurement, and may increase compliance uncertainty and costs. We anticipate regulation in this area will increase, which may impact our ability to use AI technologies in new or existing offerings or back-office functions, and new regulations may require reconstruction of technologies already in use.</w:t>
            </w:r>
          </w:p>
        </w:tc>
      </w:tr>
    </w:tbl>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The unauthorized access, use, theft or destruction of our information systems or of data that is stored in our information systems or by third parties on our behalf could impact our reputation and brand and expose us to potential liability and loss of revenues.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 breached or compromised data system or the intentional, inadvertent or negligent release, misuse or disclosure of data could result in theft, loss, or fraudulent or unlawful use of company, employee, sales force, customer or guest data. Although we take measures to protect the security, integrity, accessibility and confidentiality of our data systems, we experience cyberattacks of varying degrees and types on a regular basis. Although we use best efforts to detect and investigate all cyberattacks and data security incidents, it may be difficult to determine the scope of impact. Our infrastructure may be vulnerable to these attacks, and in some cases it could take time to discover attacks and determine their impact. Our security measures may also be breached due to employee error or malfeasance, system errors or otherwise. Additionally, outside parties may attempt to fraudulently induce employees, users, or customers to disclose confidential information to gain access to our systems, our data, or our users’ or customers’ data including through phishing, social engineering, or other forms of impersonation. Any such breach or unauthorized access could result in the unauthorized disclosure, misuse or loss of sensitive information and lead to significant legal and financial exposure, regulatory inquiries or investigations, loss of confidence by our sales force and customers, disruption of our operations, damage to our reputation, and costs associated with remediating the incident. The cost of investigation and response, including providing required breach notification obligations to individuals, regulators, and other third parties, may be significant.  The risk of legal claims in the event of a security breach is increasing. We have elected to self-insure our cybersecurity risks, so we could be subject to the full amount of liability associated with any such claims, which could be substantial and may exceed our existing reserves and harm our business. A data breach could also lead to a lack of consumer trust and negatively affect our reputation. These risks are likely to increase as we continue to expand operations and process increasing amounts of personal information, proprietary data and sensitive data.</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addition, should a threat-actor successfully breach our systems to a significant extent, they could disable our systems or take our systems offline via ransomware, and such actions could stop or significantly impair our ability to conduct business, including processing orders and tracking and timely paying sales compensation to our sales force. As noted above, we have elected to self-insure these and other cybersecurity risks. Additionally, threat-actors regularly extort money from victims as a condition to returning the victim’s systems to operation and/or to not release stolen data to the public and we may incur significant costs and operational disruption in responding to such demands, even if systems are ultimately restored.</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These risks are heightened as we implement new technologies, work with third-party providers, including providers of mobile and cloud technologies, and as our sales force uses social media, as our third-party providers and the social media platforms could be vulnerable to the same types of breaches and other risks. These risks also are heightened as a result of our recent restructurings, which affected several functions at our company, including our information technology and information security functions. Acquisition activity, which we have engaged in and which we plan to continue to engage in, may also heighten these risks, as the systems of the companies we acquire are not under our control prior to the acquisitions and it may take time to evaluate these systems and implement appropriate modifications to them.</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The use of artificial intelligence could adversely affect our business, results of operations and reputation.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Artificial intelligence (“AI”), including generative AI, is rapidly evolving and is increasingly used across digital commerce and marketing ecosystems. We and our third-party service providers use, and may increasingly use, AI-enabled tools in business operations such as digital marketing and content creation, personalization and product recommendations, e-commerce and social selling tools, customer service, analytics, fraud prevention, and supply-chain and inventory planning. As AI-enabled commerce tools and recommendation engines become more prevalent, they may enable consumers to discover, evaluate and purchase products with less reliance on independent sales representatives, including through lower-cost or more automated channels. If these developments reduce the effectiveness of, or the need for, our sales force or require us to materially modify our business model, our sales, profitability and competitive position could be adversely affected. AI technologies may not always operate as intended, may produce inaccurate, discriminatory or misleading outputs, or may reflect bias or other deficiencies due to flawed design, insufficient or biased data sets, or other limitations. Disruptions, latency, or failures of AI-enabled systems—whether operated by us or by third parties—could impair our ability to serve our customers and sales force, negatively affect customer experiences, reduce sales, increase costs, or otherwise adversely affect our business.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Because our products are marketed in a highly regulated environment and our business model relies on our independent sales force and digital communications, including social and digital platforms, AI use may also increase compliance and reputational risk. For example, we are developing and may deploy machine-learning functionality in the Nu Skin Prysm iO mobile application to generate product recommendations, and we may also use generative AI to produce narrative explanations of how those recommendations could benefit a user based on our product information. Even if we design these tools to avoid making improper product or other claims, generative AI systems may produce outputs that are inaccurate or incomplete, or that include non-approved or non-compliant representations regarding our products, their efficacy or other matters. AI-generated content or AI-assisted communications created by us, our sales force, or third parties could inadvertently include inaccurate statements or unapproved representations regarding our products, their efficacy, or other matters, or could be disseminated rapidly through online platforms. Such outcomes may expose us to increased regulatory scrutiny, require additional monitoring and enforcement efforts, lead to litigation or investigations, and cause reputational harm and loss of confidence by our consumers or sales force.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AI may also amplify privacy, data protection and cybersecurity risks. AI-enabled tools involve the collection, use, sharing or processing of personal information, including inferences drawn from consumer or sales force activity. Laws and regulations governing privacy, cross-border data transfers, automated decision-making and use of personal information for AI-related purposes are evolving and may be interpreted inconsistently across jurisdictions. Compliance with such requirements may increase our costs, restrict our ability to use data in marketing and digital operations, or require changes to our practices. In addition, the increased adoption of AI technologies may intensify cybersecurity threats, including efforts to exploit vulnerabilities, exfiltrate data or misuse confidential information. If vendors, contractors, or service providers use AI tools in connection with services they provide to us, such use could increase the risk of inadvertent disclosure of proprietary or confidential information. Any of these events could result in regulatory investigations, fines, litigation, remediation costs, operational disruption or reputational damage.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Further, we rely on third-party providers for certain AI-enabled tools and infrastructure. If these providers fail to perform as anticipated, experience outages, reach quotas or capacity limits, become unavailable to provide services to us, change their terms, do not maintain adequate controls, or use data in ways that are inconsistent with applicable law or our expectations, we may not be able to achieve the intended benefits of AI adoption and could experience business disruption, increased costs, or legal and reputational harm. Finally, our ability to compete increasingly depends on delivering effective, compliant digital tools for customers and our independent sales force; if our AI-enabled initiatives do not perform as expected or we are unable to implement them in a timely and cost-effective manner relative to competitors, our revenue and margins could be adversely affected.</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color w:val="000000"/>
          <w:sz w:val="20"/>
          <w:u w:val="single"/>
          <w:shd w:fill="FFFFFF" w:val="clear"/>
        </w:rPr>
      </w:pPr>
      <w:r>
        <w:rPr>
          <w:rFonts w:ascii="Times New Roman" w:hAnsi="Times New Roman"/>
          <w:color w:val="000000"/>
          <w:sz w:val="20"/>
          <w:u w:val="single"/>
          <w:shd w:fill="FFFFFF" w:val="clear"/>
        </w:rPr>
        <w:t>Sustainability Risks</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Our business could be negatively impacted by corporate citizenship and sustainability matters.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There are increased and increasing expectations and focus from certain investors, sales force members, consumers, employees, regulators and other stakeholders concerning corporate citizenship and sustainability matters, including environmental, social and governance matters; packaging; responsible sourcing; and diversity, equity and inclusion matters. For example, the European Union’s Packaging and Packaging Waste Regulation, which was adopted in 2024, with some of its provisions becoming effective beginning in August 2026, regulates what kind of packaging can be placed on the EU market, as well as packaging waste management and prevention measures. Packaging not meeting the standards will no longer be allowed on the EU market. In addition, the European Union’s Batteries Regulation, adopted in 2023, establishes requirements governing the full lifecycle of batteries, including design, production, use and end-of-life management. Beginning in February 2027, portable batteries incorporated into appliances placed on the EU market must be readily removable and replaceable by the end-user, which may require product redesign, changes to materials or manufacturing processes, or other compliance measures.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some jurisdictions, including California and the European Union, have enacted laws requiring public disclosure of information in sustainability-related areas, and from time to time, we announce certain initiatives and goals in these areas. We could fail, or be perceived to fail, in our achievement of such initiatives or goals or in meeting stakeholders’ expectations, or we could fail in complying with laws or accurately reporting our progress on such initiatives, goals and expectations. Moreover, the standards by which corporate citizenship and sustainability efforts and related matters are measured are developing and evolving, and certain areas are subject to assumptions. The standards or assumptions could change over time. In addition, we could be criticized for the scope of our initiatives or goals or perceived as not acting responsibly in connection with these matters, such as with our carbon footprint, recyclability of our packaging, ingredients used in our products or the sourcing of such ingredients. Any such matters, or related corporate citizenship and sustainability matters, could have a material adverse effect on our business.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Risks Related to Our Common Stock</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The market price of our Class A common stock is subject to significant fluctuations due to a number of factors that are beyond our control.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Class A common stock closed at $18.56 per share on January 31, 2024 and closed at $10.61 per share on January 30, 2026. During this two-year period, our common stock traded as low as $5.32 per share and as high as $19.12 per share. Many factors, including some we may be unable to control, could cause the market price of our Class A common stock to fall. Some of these factors include:</w:t>
      </w:r>
    </w:p>
    <w:p>
      <w:pPr>
        <w:pStyle w:val="TextBody"/>
        <w:bidi w:val="0"/>
        <w:spacing w:before="0" w:after="0"/>
        <w:jc w:val="left"/>
        <w:rPr/>
      </w:pPr>
      <w:r>
        <w:rPr/>
      </w:r>
    </w:p>
    <w:tbl>
      <w:tblPr>
        <w:tblW w:w="3618" w:type="dxa"/>
        <w:jc w:val="left"/>
        <w:tblInd w:w="0" w:type="dxa"/>
        <w:tblLayout w:type="fixed"/>
        <w:tblCellMar>
          <w:top w:w="0" w:type="dxa"/>
          <w:left w:w="0" w:type="dxa"/>
          <w:bottom w:w="0" w:type="dxa"/>
          <w:right w:w="0" w:type="dxa"/>
        </w:tblCellMar>
      </w:tblPr>
      <w:tblGrid>
        <w:gridCol w:w="38"/>
        <w:gridCol w:w="170"/>
        <w:gridCol w:w="341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3410" w:type="dxa"/>
            <w:tcBorders/>
            <w:vAlign w:val="center"/>
          </w:tcPr>
          <w:p>
            <w:pPr>
              <w:pStyle w:val="TableContents"/>
              <w:bidi w:val="0"/>
              <w:spacing w:before="0" w:after="0"/>
              <w:jc w:val="both"/>
              <w:rPr>
                <w:color w:val="000000"/>
              </w:rPr>
            </w:pPr>
            <w:r>
              <w:rPr>
                <w:color w:val="000000"/>
              </w:rPr>
              <w:t>fluctuations in our operating results;</w:t>
            </w:r>
          </w:p>
        </w:tc>
      </w:tr>
    </w:tbl>
    <w:tbl>
      <w:tblPr>
        <w:tblW w:w="4263" w:type="dxa"/>
        <w:jc w:val="left"/>
        <w:tblInd w:w="0" w:type="dxa"/>
        <w:tblLayout w:type="fixed"/>
        <w:tblCellMar>
          <w:top w:w="0" w:type="dxa"/>
          <w:left w:w="0" w:type="dxa"/>
          <w:bottom w:w="0" w:type="dxa"/>
          <w:right w:w="0" w:type="dxa"/>
        </w:tblCellMar>
      </w:tblPr>
      <w:tblGrid>
        <w:gridCol w:w="38"/>
        <w:gridCol w:w="170"/>
        <w:gridCol w:w="405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4055" w:type="dxa"/>
            <w:tcBorders/>
            <w:vAlign w:val="center"/>
          </w:tcPr>
          <w:p>
            <w:pPr>
              <w:pStyle w:val="TableContents"/>
              <w:bidi w:val="0"/>
              <w:spacing w:before="0" w:after="0"/>
              <w:jc w:val="both"/>
              <w:rPr>
                <w:color w:val="000000"/>
              </w:rPr>
            </w:pPr>
            <w:r>
              <w:rPr>
                <w:color w:val="000000"/>
              </w:rPr>
              <w:t>government investigations of our business;</w:t>
            </w:r>
          </w:p>
        </w:tc>
      </w:tr>
    </w:tbl>
    <w:tbl>
      <w:tblPr>
        <w:tblW w:w="8178" w:type="dxa"/>
        <w:jc w:val="left"/>
        <w:tblInd w:w="0" w:type="dxa"/>
        <w:tblLayout w:type="fixed"/>
        <w:tblCellMar>
          <w:top w:w="0" w:type="dxa"/>
          <w:left w:w="0" w:type="dxa"/>
          <w:bottom w:w="0" w:type="dxa"/>
          <w:right w:w="0" w:type="dxa"/>
        </w:tblCellMar>
      </w:tblPr>
      <w:tblGrid>
        <w:gridCol w:w="38"/>
        <w:gridCol w:w="170"/>
        <w:gridCol w:w="797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7970" w:type="dxa"/>
            <w:tcBorders/>
            <w:vAlign w:val="center"/>
          </w:tcPr>
          <w:p>
            <w:pPr>
              <w:pStyle w:val="TableContents"/>
              <w:bidi w:val="0"/>
              <w:spacing w:before="0" w:after="0"/>
              <w:jc w:val="both"/>
              <w:rPr>
                <w:color w:val="000000"/>
              </w:rPr>
            </w:pPr>
            <w:r>
              <w:rPr>
                <w:color w:val="000000"/>
              </w:rPr>
              <w:t>trends or adverse publicity related to our business, products, industry or competitors;</w:t>
            </w:r>
          </w:p>
        </w:tc>
      </w:tr>
    </w:tbl>
    <w:tbl>
      <w:tblPr>
        <w:tblW w:w="6993" w:type="dxa"/>
        <w:jc w:val="left"/>
        <w:tblInd w:w="0" w:type="dxa"/>
        <w:tblLayout w:type="fixed"/>
        <w:tblCellMar>
          <w:top w:w="0" w:type="dxa"/>
          <w:left w:w="0" w:type="dxa"/>
          <w:bottom w:w="0" w:type="dxa"/>
          <w:right w:w="0" w:type="dxa"/>
        </w:tblCellMar>
      </w:tblPr>
      <w:tblGrid>
        <w:gridCol w:w="38"/>
        <w:gridCol w:w="170"/>
        <w:gridCol w:w="678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6785" w:type="dxa"/>
            <w:tcBorders/>
            <w:vAlign w:val="center"/>
          </w:tcPr>
          <w:p>
            <w:pPr>
              <w:pStyle w:val="TableContents"/>
              <w:bidi w:val="0"/>
              <w:spacing w:before="0" w:after="0"/>
              <w:jc w:val="both"/>
              <w:rPr>
                <w:color w:val="000000"/>
              </w:rPr>
            </w:pPr>
            <w:r>
              <w:rPr>
                <w:color w:val="000000"/>
              </w:rPr>
              <w:t>the sale of shares of Class A common stock by significant stockholders;</w:t>
            </w:r>
          </w:p>
        </w:tc>
      </w:tr>
    </w:tbl>
    <w:tbl>
      <w:tblPr>
        <w:tblW w:w="2148" w:type="dxa"/>
        <w:jc w:val="left"/>
        <w:tblInd w:w="0" w:type="dxa"/>
        <w:tblLayout w:type="fixed"/>
        <w:tblCellMar>
          <w:top w:w="0" w:type="dxa"/>
          <w:left w:w="0" w:type="dxa"/>
          <w:bottom w:w="0" w:type="dxa"/>
          <w:right w:w="0" w:type="dxa"/>
        </w:tblCellMar>
      </w:tblPr>
      <w:tblGrid>
        <w:gridCol w:w="38"/>
        <w:gridCol w:w="170"/>
        <w:gridCol w:w="194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1940" w:type="dxa"/>
            <w:tcBorders/>
            <w:vAlign w:val="center"/>
          </w:tcPr>
          <w:p>
            <w:pPr>
              <w:pStyle w:val="TableContents"/>
              <w:bidi w:val="0"/>
              <w:spacing w:before="0" w:after="0"/>
              <w:jc w:val="both"/>
              <w:rPr>
                <w:color w:val="000000"/>
              </w:rPr>
            </w:pPr>
            <w:r>
              <w:rPr>
                <w:color w:val="000000"/>
              </w:rPr>
              <w:t>our dividend policy;</w:t>
            </w:r>
          </w:p>
        </w:tc>
      </w:tr>
    </w:tbl>
    <w:tbl>
      <w:tblPr>
        <w:tblW w:w="5823" w:type="dxa"/>
        <w:jc w:val="left"/>
        <w:tblInd w:w="0" w:type="dxa"/>
        <w:tblLayout w:type="fixed"/>
        <w:tblCellMar>
          <w:top w:w="0" w:type="dxa"/>
          <w:left w:w="0" w:type="dxa"/>
          <w:bottom w:w="0" w:type="dxa"/>
          <w:right w:w="0" w:type="dxa"/>
        </w:tblCellMar>
      </w:tblPr>
      <w:tblGrid>
        <w:gridCol w:w="38"/>
        <w:gridCol w:w="170"/>
        <w:gridCol w:w="561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5615" w:type="dxa"/>
            <w:tcBorders/>
            <w:vAlign w:val="center"/>
          </w:tcPr>
          <w:p>
            <w:pPr>
              <w:pStyle w:val="TableContents"/>
              <w:bidi w:val="0"/>
              <w:spacing w:before="0" w:after="0"/>
              <w:jc w:val="both"/>
              <w:rPr>
                <w:color w:val="000000"/>
              </w:rPr>
            </w:pPr>
            <w:r>
              <w:rPr>
                <w:color w:val="000000"/>
              </w:rPr>
              <w:t>demand, and general trends in the market, for our products;</w:t>
            </w:r>
          </w:p>
        </w:tc>
      </w:tr>
    </w:tbl>
    <w:tbl>
      <w:tblPr>
        <w:tblW w:w="3768" w:type="dxa"/>
        <w:jc w:val="left"/>
        <w:tblInd w:w="0" w:type="dxa"/>
        <w:tblLayout w:type="fixed"/>
        <w:tblCellMar>
          <w:top w:w="0" w:type="dxa"/>
          <w:left w:w="0" w:type="dxa"/>
          <w:bottom w:w="0" w:type="dxa"/>
          <w:right w:w="0" w:type="dxa"/>
        </w:tblCellMar>
      </w:tblPr>
      <w:tblGrid>
        <w:gridCol w:w="38"/>
        <w:gridCol w:w="170"/>
        <w:gridCol w:w="356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3560" w:type="dxa"/>
            <w:tcBorders/>
            <w:vAlign w:val="center"/>
          </w:tcPr>
          <w:p>
            <w:pPr>
              <w:pStyle w:val="TableContents"/>
              <w:bidi w:val="0"/>
              <w:spacing w:before="0" w:after="0"/>
              <w:jc w:val="both"/>
              <w:rPr>
                <w:color w:val="000000"/>
              </w:rPr>
            </w:pPr>
            <w:r>
              <w:rPr>
                <w:color w:val="000000"/>
              </w:rPr>
              <w:t>acquisitions by us or our competitors;</w:t>
            </w:r>
          </w:p>
        </w:tc>
      </w:tr>
    </w:tbl>
    <w:tbl>
      <w:tblPr>
        <w:tblW w:w="6948" w:type="dxa"/>
        <w:jc w:val="left"/>
        <w:tblInd w:w="0" w:type="dxa"/>
        <w:tblLayout w:type="fixed"/>
        <w:tblCellMar>
          <w:top w:w="0" w:type="dxa"/>
          <w:left w:w="0" w:type="dxa"/>
          <w:bottom w:w="0" w:type="dxa"/>
          <w:right w:w="0" w:type="dxa"/>
        </w:tblCellMar>
      </w:tblPr>
      <w:tblGrid>
        <w:gridCol w:w="38"/>
        <w:gridCol w:w="170"/>
        <w:gridCol w:w="674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6740" w:type="dxa"/>
            <w:tcBorders/>
            <w:vAlign w:val="center"/>
          </w:tcPr>
          <w:p>
            <w:pPr>
              <w:pStyle w:val="TableContents"/>
              <w:bidi w:val="0"/>
              <w:spacing w:before="0" w:after="0"/>
              <w:jc w:val="both"/>
              <w:rPr>
                <w:color w:val="000000"/>
              </w:rPr>
            </w:pPr>
            <w:r>
              <w:rPr>
                <w:color w:val="000000"/>
              </w:rPr>
              <w:t>economic or currency exchange issues in markets in which we operate;</w:t>
            </w:r>
          </w:p>
        </w:tc>
      </w:tr>
    </w:tbl>
    <w:tbl>
      <w:tblPr>
        <w:tblW w:w="10128" w:type="dxa"/>
        <w:jc w:val="left"/>
        <w:tblInd w:w="0" w:type="dxa"/>
        <w:tblLayout w:type="fixed"/>
        <w:tblCellMar>
          <w:top w:w="0" w:type="dxa"/>
          <w:left w:w="0" w:type="dxa"/>
          <w:bottom w:w="0" w:type="dxa"/>
          <w:right w:w="0" w:type="dxa"/>
        </w:tblCellMar>
      </w:tblPr>
      <w:tblGrid>
        <w:gridCol w:w="38"/>
        <w:gridCol w:w="170"/>
        <w:gridCol w:w="992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20" w:type="dxa"/>
            <w:tcBorders/>
            <w:vAlign w:val="center"/>
          </w:tcPr>
          <w:p>
            <w:pPr>
              <w:pStyle w:val="TableContents"/>
              <w:bidi w:val="0"/>
              <w:spacing w:before="0" w:after="0"/>
              <w:jc w:val="both"/>
              <w:rPr>
                <w:color w:val="000000"/>
              </w:rPr>
            </w:pPr>
            <w:r>
              <w:rPr>
                <w:color w:val="000000"/>
              </w:rPr>
              <w:t>changes in estimates of our operating performance or changes in recommendations by securities analysts;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speculative trading, including short selling and options trading, as well as stockholder activism and takeover activity, all of which may be more likely after a stock price decline such as ours in recent years; and</w:t>
            </w:r>
          </w:p>
        </w:tc>
      </w:tr>
    </w:tbl>
    <w:tbl>
      <w:tblPr>
        <w:tblW w:w="6213" w:type="dxa"/>
        <w:jc w:val="left"/>
        <w:tblInd w:w="0" w:type="dxa"/>
        <w:tblLayout w:type="fixed"/>
        <w:tblCellMar>
          <w:top w:w="0" w:type="dxa"/>
          <w:left w:w="0" w:type="dxa"/>
          <w:bottom w:w="0" w:type="dxa"/>
          <w:right w:w="0" w:type="dxa"/>
        </w:tblCellMar>
      </w:tblPr>
      <w:tblGrid>
        <w:gridCol w:w="38"/>
        <w:gridCol w:w="170"/>
        <w:gridCol w:w="600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6005" w:type="dxa"/>
            <w:tcBorders/>
            <w:vAlign w:val="center"/>
          </w:tcPr>
          <w:p>
            <w:pPr>
              <w:pStyle w:val="TableContents"/>
              <w:bidi w:val="0"/>
              <w:spacing w:before="0" w:after="0"/>
              <w:jc w:val="both"/>
              <w:rPr>
                <w:color w:val="000000"/>
              </w:rPr>
            </w:pPr>
            <w:r>
              <w:rPr>
                <w:color w:val="000000"/>
              </w:rPr>
              <w:t>general economic, business, regulatory and political conditions.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Broad market fluctuations could also lower the market price of our Class A common stock regardless of our actual operating performance.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7" w:name="ITEM1B"/>
      <w:bookmarkStart w:id="18" w:name="ITEM1B"/>
      <w:bookmarkEnd w:id="18"/>
    </w:p>
    <w:tbl>
      <w:tblPr>
        <w:tblW w:w="5185" w:type="dxa"/>
        <w:jc w:val="left"/>
        <w:tblInd w:w="0" w:type="dxa"/>
        <w:tblLayout w:type="fixed"/>
        <w:tblCellMar>
          <w:top w:w="0" w:type="dxa"/>
          <w:left w:w="0" w:type="dxa"/>
          <w:bottom w:w="0" w:type="dxa"/>
          <w:right w:w="0" w:type="dxa"/>
        </w:tblCellMar>
      </w:tblPr>
      <w:tblGrid>
        <w:gridCol w:w="1085"/>
        <w:gridCol w:w="4100"/>
      </w:tblGrid>
      <w:tr>
        <w:trPr/>
        <w:tc>
          <w:tcPr>
            <w:tcW w:w="1085" w:type="dxa"/>
            <w:tcBorders/>
            <w:vAlign w:val="center"/>
          </w:tcPr>
          <w:p>
            <w:pPr>
              <w:pStyle w:val="TableContents"/>
              <w:bidi w:val="0"/>
              <w:spacing w:before="0" w:after="283"/>
              <w:jc w:val="left"/>
              <w:rPr>
                <w:b/>
                <w:color w:val="000000"/>
              </w:rPr>
            </w:pPr>
            <w:r>
              <w:rPr>
                <w:b/>
                <w:color w:val="000000"/>
              </w:rPr>
              <w:t>ITEM 1B.</w:t>
            </w:r>
          </w:p>
        </w:tc>
        <w:tc>
          <w:tcPr>
            <w:tcW w:w="4100" w:type="dxa"/>
            <w:tcBorders/>
            <w:vAlign w:val="center"/>
          </w:tcPr>
          <w:p>
            <w:pPr>
              <w:pStyle w:val="TableContents"/>
              <w:bidi w:val="0"/>
              <w:spacing w:before="0" w:after="0"/>
              <w:jc w:val="both"/>
              <w:rPr>
                <w:b/>
                <w:color w:val="000000"/>
                <w:u w:val="single"/>
              </w:rPr>
            </w:pPr>
            <w:r>
              <w:rPr>
                <w:b/>
                <w:color w:val="000000"/>
                <w:u w:val="single"/>
              </w:rPr>
              <w:t>UNRESOLVED STAFF COMMENTS</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Normal"/>
        <w:bidi w:val="0"/>
        <w:spacing w:before="0" w:after="0"/>
        <w:jc w:val="left"/>
        <w:rPr>
          <w:sz w:val="4"/>
          <w:szCs w:val="4"/>
        </w:rPr>
      </w:pPr>
      <w:r>
        <w:rPr>
          <w:sz w:val="4"/>
          <w:szCs w:val="4"/>
        </w:rPr>
      </w:r>
      <w:bookmarkStart w:id="19" w:name="ITEM1C."/>
      <w:bookmarkStart w:id="20" w:name="ITEM1C."/>
      <w:bookmarkEnd w:id="20"/>
    </w:p>
    <w:tbl>
      <w:tblPr>
        <w:tblW w:w="2590" w:type="dxa"/>
        <w:jc w:val="left"/>
        <w:tblInd w:w="0" w:type="dxa"/>
        <w:tblLayout w:type="fixed"/>
        <w:tblCellMar>
          <w:top w:w="0" w:type="dxa"/>
          <w:left w:w="0" w:type="dxa"/>
          <w:bottom w:w="0" w:type="dxa"/>
          <w:right w:w="0" w:type="dxa"/>
        </w:tblCellMar>
      </w:tblPr>
      <w:tblGrid>
        <w:gridCol w:w="890"/>
        <w:gridCol w:w="1700"/>
      </w:tblGrid>
      <w:tr>
        <w:trPr/>
        <w:tc>
          <w:tcPr>
            <w:tcW w:w="890" w:type="dxa"/>
            <w:tcBorders/>
            <w:vAlign w:val="center"/>
          </w:tcPr>
          <w:p>
            <w:pPr>
              <w:pStyle w:val="TableContents"/>
              <w:bidi w:val="0"/>
              <w:spacing w:before="0" w:after="283"/>
              <w:jc w:val="lef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ITEM 1C.</w:t>
            </w:r>
          </w:p>
        </w:tc>
        <w:tc>
          <w:tcPr>
            <w:tcW w:w="1700" w:type="dxa"/>
            <w:tcBorders/>
            <w:vAlign w:val="center"/>
          </w:tcPr>
          <w:p>
            <w:pPr>
              <w:pStyle w:val="TableContents"/>
              <w:bidi w:val="0"/>
              <w:spacing w:before="0" w:after="0"/>
              <w:jc w:val="both"/>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CYBERSECURITY</w:t>
            </w:r>
          </w:p>
        </w:tc>
      </w:tr>
    </w:tbl>
    <w:p>
      <w:pPr>
        <w:pStyle w:val="TextBody"/>
        <w:bidi w:val="0"/>
        <w:spacing w:before="0" w:after="0"/>
        <w:jc w:val="left"/>
        <w:rPr/>
      </w:pPr>
      <w:r>
        <w:rPr/>
      </w:r>
    </w:p>
    <w:p>
      <w:pPr>
        <w:pStyle w:val="TextBody"/>
        <w:bidi w:val="0"/>
        <w:spacing w:before="0" w:after="0"/>
        <w:jc w:val="both"/>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t>Our company is exposed to a variety of evolving cybersecurity risks. We invest in our cybersecurity program to manage and mitigate these risks. On an annual basis, we utilize our Enterprise Risk Management (“ERM”) program to estimate our annual loss potential based on our defined control framework and its overall effectiveness. In conjunction with our ERM program, the cybersecurity program references the CIS Critical Security Controls and the NIST Cybersecurity Framework (CSF) to guide our organization’s risk identification and mitigation procedures. In addition, we undergo an annual third-party external PCI penetration test, as well as third-party attack-surface monitoring to understand our potential vulnerabilities, threat vectors, and additional impacts to critical assets and operations. Our cybersecurity team also performs procedures to identify risks that inform our annual security roadmap. We also periodically review our cybersecurity policies and require cybersecurity training for our employees.</w:t>
      </w:r>
    </w:p>
    <w:p>
      <w:pPr>
        <w:pStyle w:val="TextBody"/>
        <w:bidi w:val="0"/>
        <w:spacing w:before="0" w:after="0"/>
        <w:jc w:val="left"/>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r>
    </w:p>
    <w:p>
      <w:pPr>
        <w:pStyle w:val="TextBody"/>
        <w:bidi w:val="0"/>
        <w:spacing w:before="0" w:after="0"/>
        <w:jc w:val="both"/>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t>We periodically engage third-party cybersecurity experts to provide independent assessments of our cybersecurity readiness and control effectiveness. Our goal in collaborating with external cybersecurity firms is to gain insights and knowledge into emerging threats and vulnerabilities, industry trends and best practices to inform our risk remediation efforts. Additionally, we engage with our internal teams to perform tabletop exercises that inform our cybersecurity response capabilities and resilience.</w:t>
      </w:r>
    </w:p>
    <w:p>
      <w:pPr>
        <w:pStyle w:val="TextBody"/>
        <w:bidi w:val="0"/>
        <w:spacing w:before="0" w:after="0"/>
        <w:jc w:val="left"/>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r>
    </w:p>
    <w:p>
      <w:pPr>
        <w:pStyle w:val="TextBody"/>
        <w:bidi w:val="0"/>
        <w:spacing w:before="0" w:after="0"/>
        <w:jc w:val="both"/>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t>We also maintain processes to perform a risk assessment of new third parties, inclusive of new third-party contracts, which provides an additional layer of oversight in identifying material risks associated with the use of particular external service providers.</w:t>
      </w:r>
    </w:p>
    <w:p>
      <w:pPr>
        <w:pStyle w:val="TextBody"/>
        <w:bidi w:val="0"/>
        <w:spacing w:before="0" w:after="0"/>
        <w:jc w:val="left"/>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r>
    </w:p>
    <w:p>
      <w:pPr>
        <w:pStyle w:val="TextBody"/>
        <w:bidi w:val="0"/>
        <w:spacing w:before="0" w:after="0"/>
        <w:jc w:val="both"/>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t>At this time, we have not identified risks from known cybersecurity threats, including as a result of any previous cybersecurity incidents, that have materially affected our business strategy, results of operations or financial condition, but we cannot provide assurance that such risks or future material incidents will not materially affect us in the future. For more information regarding the risks we face from cybersecurity threats, please see Item 1A. Risk Factors.</w:t>
      </w:r>
    </w:p>
    <w:p>
      <w:pPr>
        <w:pStyle w:val="TextBody"/>
        <w:bidi w:val="0"/>
        <w:spacing w:before="0" w:after="0"/>
        <w:jc w:val="left"/>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r>
    </w:p>
    <w:p>
      <w:pPr>
        <w:pStyle w:val="TextBody"/>
        <w:bidi w:val="0"/>
        <w:spacing w:before="0" w:after="0"/>
        <w:jc w:val="both"/>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t>Our management plays a pivotal role in assessing and managing material risks from cybersecurity threats. Our management has implemented a broad and continuous process for cyber event monitoring, analysis of emerging threats, and the development and implementation of risk mitigation strategies. Led by our Chief Technology Officer (“CTO”) and Chief Information Security Officer (“CISO”), we implement cybersecurity policies, procedures and strategies, including employee training programs, security assessments and attack detection alerts designed to address the constantly evolving threat landscape. Our CTO has over 20 years of technology experience, including roles at Amazon Web Services, Dell EMC, and Ball Aerospace. Our CISO has over 30 years of cybersecurity and IT leadership experience.</w:t>
      </w:r>
    </w:p>
    <w:p>
      <w:pPr>
        <w:pStyle w:val="TextBody"/>
        <w:bidi w:val="0"/>
        <w:spacing w:before="0" w:after="0"/>
        <w:jc w:val="left"/>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r>
    </w:p>
    <w:p>
      <w:pPr>
        <w:pStyle w:val="TextBody"/>
        <w:bidi w:val="0"/>
        <w:spacing w:before="0" w:after="0"/>
        <w:jc w:val="both"/>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t>At the Board of Directors level, our Audit Committee oversees our risks related to information security and privacy. To accomplish this responsibility, the Audit Committee meets quarterly with our CTO and CISO to receive and discuss updates on our cybersecurity program. Top risks, key initiatives, any material cyber incidents, remediation activity and security metrics are shared to report the overall loss potential, program effectiveness, risk management conditions and current threat landscape. Our Board of Directors is committed to maintaining a well-informed and security-aware business by regularly engaging through updates on the organization’s roadmap and evolving threat landscape.</w:t>
      </w:r>
    </w:p>
    <w:p>
      <w:pPr>
        <w:pStyle w:val="TextBody"/>
        <w:bidi w:val="0"/>
        <w:spacing w:before="0" w:after="0"/>
        <w:jc w:val="left"/>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r>
    </w:p>
    <w:p>
      <w:pPr>
        <w:pStyle w:val="Normal"/>
        <w:bidi w:val="0"/>
        <w:spacing w:before="0" w:after="0"/>
        <w:jc w:val="left"/>
        <w:rPr>
          <w:sz w:val="4"/>
          <w:szCs w:val="4"/>
        </w:rPr>
      </w:pPr>
      <w:r>
        <w:rPr>
          <w:sz w:val="4"/>
          <w:szCs w:val="4"/>
        </w:rPr>
      </w:r>
      <w:bookmarkStart w:id="21" w:name="PROPERTIES"/>
      <w:bookmarkStart w:id="22" w:name="PROPERTIES"/>
      <w:bookmarkEnd w:id="22"/>
    </w:p>
    <w:tbl>
      <w:tblPr>
        <w:tblW w:w="2515" w:type="dxa"/>
        <w:jc w:val="left"/>
        <w:tblInd w:w="0" w:type="dxa"/>
        <w:tblLayout w:type="fixed"/>
        <w:tblCellMar>
          <w:top w:w="0" w:type="dxa"/>
          <w:left w:w="0" w:type="dxa"/>
          <w:bottom w:w="0" w:type="dxa"/>
          <w:right w:w="0" w:type="dxa"/>
        </w:tblCellMar>
      </w:tblPr>
      <w:tblGrid>
        <w:gridCol w:w="920"/>
        <w:gridCol w:w="1595"/>
      </w:tblGrid>
      <w:tr>
        <w:trPr/>
        <w:tc>
          <w:tcPr>
            <w:tcW w:w="920" w:type="dxa"/>
            <w:tcBorders/>
            <w:vAlign w:val="center"/>
          </w:tcPr>
          <w:p>
            <w:pPr>
              <w:pStyle w:val="TableContents"/>
              <w:bidi w:val="0"/>
              <w:spacing w:before="0" w:after="283"/>
              <w:jc w:val="left"/>
              <w:rPr>
                <w:b/>
                <w:color w:val="000000"/>
              </w:rPr>
            </w:pPr>
            <w:r>
              <w:rPr>
                <w:b/>
                <w:color w:val="000000"/>
              </w:rPr>
              <w:t>ITEM 2.</w:t>
            </w:r>
          </w:p>
        </w:tc>
        <w:tc>
          <w:tcPr>
            <w:tcW w:w="1595" w:type="dxa"/>
            <w:tcBorders/>
            <w:vAlign w:val="center"/>
          </w:tcPr>
          <w:p>
            <w:pPr>
              <w:pStyle w:val="TableContents"/>
              <w:bidi w:val="0"/>
              <w:spacing w:before="0" w:after="0"/>
              <w:jc w:val="both"/>
              <w:rPr>
                <w:b/>
                <w:color w:val="000000"/>
                <w:u w:val="single"/>
              </w:rPr>
            </w:pPr>
            <w:r>
              <w:rPr>
                <w:b/>
                <w:color w:val="000000"/>
                <w:u w:val="single"/>
              </w:rPr>
              <w:t>PROPERTIES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principal properties consist of the following:</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pPr>
            <w:r>
              <w:rPr>
                <w:color w:val="000000"/>
              </w:rPr>
              <w:t xml:space="preserve">Offices—Our principal administrative </w:t>
            </w:r>
            <w:r>
              <w:rPr/>
              <w:t>offices</w:t>
            </w:r>
            <w:r>
              <w:rPr>
                <w:color w:val="000000"/>
              </w:rPr>
              <w:t xml:space="preserve"> are our corporate headquarters in Provo, Utah and our offices in Shanghai, China.</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Distribution Centers—We distribute our products through distribution centers and warehouses in many of our markets, with our principal facilities being in Provo, Utah and Mainland China.</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pPr>
            <w:r>
              <w:rPr>
                <w:color w:val="000000"/>
              </w:rPr>
              <w:t xml:space="preserve">Research and Development Centers—We </w:t>
            </w:r>
            <w:r>
              <w:rPr/>
              <w:t>operate</w:t>
            </w:r>
            <w:r>
              <w:rPr>
                <w:color w:val="000000"/>
              </w:rPr>
              <w:t xml:space="preserve"> research and development centers in Provo, Utah and Shanghai, China.</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pPr>
            <w:r>
              <w:rPr>
                <w:color w:val="000000"/>
              </w:rPr>
              <w:t xml:space="preserve">Manufacturing Facilities—We operate manufacturing facilities in Mainland China, and two of our Rhyz companies (Manufacturing segment) operate manufacturing </w:t>
            </w:r>
            <w:r>
              <w:rPr/>
              <w:t>facilities</w:t>
            </w:r>
            <w:r>
              <w:rPr>
                <w:color w:val="000000"/>
              </w:rPr>
              <w:t xml:space="preserve"> in Provo, Utah, Draper, Utah and West Valley City, Utah.</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own the above properties, except we lease the manufacturing facilities in Provo, Utah and West Valley City, Utah, certain of the manufacturing facilities in China, and the land for our facilities in Shanghai, China.</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3" w:name="LEGALPROCEEDINGS"/>
      <w:bookmarkStart w:id="24" w:name="LEGALPROCEEDINGS"/>
      <w:bookmarkEnd w:id="24"/>
    </w:p>
    <w:tbl>
      <w:tblPr>
        <w:tblW w:w="3655" w:type="dxa"/>
        <w:jc w:val="left"/>
        <w:tblInd w:w="0" w:type="dxa"/>
        <w:tblLayout w:type="fixed"/>
        <w:tblCellMar>
          <w:top w:w="0" w:type="dxa"/>
          <w:left w:w="0" w:type="dxa"/>
          <w:bottom w:w="0" w:type="dxa"/>
          <w:right w:w="0" w:type="dxa"/>
        </w:tblCellMar>
      </w:tblPr>
      <w:tblGrid>
        <w:gridCol w:w="920"/>
        <w:gridCol w:w="2735"/>
      </w:tblGrid>
      <w:tr>
        <w:trPr/>
        <w:tc>
          <w:tcPr>
            <w:tcW w:w="920" w:type="dxa"/>
            <w:tcBorders/>
            <w:vAlign w:val="center"/>
          </w:tcPr>
          <w:p>
            <w:pPr>
              <w:pStyle w:val="TableContents"/>
              <w:bidi w:val="0"/>
              <w:spacing w:before="0" w:after="283"/>
              <w:jc w:val="left"/>
              <w:rPr>
                <w:b/>
                <w:color w:val="000000"/>
              </w:rPr>
            </w:pPr>
            <w:r>
              <w:rPr>
                <w:b/>
                <w:color w:val="000000"/>
              </w:rPr>
              <w:t>ITEM 3.</w:t>
            </w:r>
          </w:p>
        </w:tc>
        <w:tc>
          <w:tcPr>
            <w:tcW w:w="2735" w:type="dxa"/>
            <w:tcBorders/>
            <w:vAlign w:val="center"/>
          </w:tcPr>
          <w:p>
            <w:pPr>
              <w:pStyle w:val="TableContents"/>
              <w:bidi w:val="0"/>
              <w:spacing w:before="0" w:after="0"/>
              <w:jc w:val="both"/>
              <w:rPr>
                <w:b/>
                <w:color w:val="000000"/>
                <w:u w:val="single"/>
              </w:rPr>
            </w:pPr>
            <w:r>
              <w:rPr>
                <w:b/>
                <w:color w:val="000000"/>
                <w:u w:val="single"/>
              </w:rPr>
              <w:t>LEGAL PROCEEDINGS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From time to time, we are involved in legal proceedings arising in the ordinary course of business.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5" w:name="MINESAFETY"/>
      <w:bookmarkStart w:id="26" w:name="MINESAFETY"/>
      <w:bookmarkEnd w:id="26"/>
    </w:p>
    <w:tbl>
      <w:tblPr>
        <w:tblW w:w="4435" w:type="dxa"/>
        <w:jc w:val="left"/>
        <w:tblInd w:w="0" w:type="dxa"/>
        <w:tblLayout w:type="fixed"/>
        <w:tblCellMar>
          <w:top w:w="0" w:type="dxa"/>
          <w:left w:w="0" w:type="dxa"/>
          <w:bottom w:w="0" w:type="dxa"/>
          <w:right w:w="0" w:type="dxa"/>
        </w:tblCellMar>
      </w:tblPr>
      <w:tblGrid>
        <w:gridCol w:w="920"/>
        <w:gridCol w:w="3515"/>
      </w:tblGrid>
      <w:tr>
        <w:trPr/>
        <w:tc>
          <w:tcPr>
            <w:tcW w:w="920" w:type="dxa"/>
            <w:tcBorders/>
            <w:vAlign w:val="center"/>
          </w:tcPr>
          <w:p>
            <w:pPr>
              <w:pStyle w:val="TableContents"/>
              <w:bidi w:val="0"/>
              <w:spacing w:before="0" w:after="283"/>
              <w:jc w:val="left"/>
              <w:rPr>
                <w:b/>
                <w:color w:val="000000"/>
              </w:rPr>
            </w:pPr>
            <w:r>
              <w:rPr>
                <w:b/>
                <w:color w:val="000000"/>
              </w:rPr>
              <w:t>ITEM 4.</w:t>
            </w:r>
          </w:p>
        </w:tc>
        <w:tc>
          <w:tcPr>
            <w:tcW w:w="3515" w:type="dxa"/>
            <w:tcBorders/>
            <w:vAlign w:val="center"/>
          </w:tcPr>
          <w:p>
            <w:pPr>
              <w:pStyle w:val="TableContents"/>
              <w:bidi w:val="0"/>
              <w:spacing w:before="0" w:after="0"/>
              <w:jc w:val="both"/>
              <w:rPr>
                <w:b/>
                <w:color w:val="000000"/>
                <w:u w:val="single"/>
              </w:rPr>
            </w:pPr>
            <w:r>
              <w:rPr>
                <w:b/>
                <w:color w:val="000000"/>
                <w:u w:val="single"/>
              </w:rPr>
              <w:t>MINE SAFETY DISCLOSURES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27" w:name="PARTII"/>
      <w:bookmarkEnd w:id="27"/>
      <w:r>
        <w:rPr>
          <w:rFonts w:ascii="Times New Roman" w:hAnsi="Times New Roman"/>
          <w:b/>
          <w:color w:val="000000"/>
          <w:sz w:val="20"/>
          <w:shd w:fill="FFFFFF" w:val="clear"/>
        </w:rPr>
        <w:t>PART II</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MARKETFORREGISTRANTSCOMMO"/>
      <w:bookmarkStart w:id="29" w:name="MARKETFORREGISTRANTSCOMMO"/>
      <w:bookmarkEnd w:id="29"/>
    </w:p>
    <w:tbl>
      <w:tblPr>
        <w:tblW w:w="10205" w:type="dxa"/>
        <w:jc w:val="left"/>
        <w:tblInd w:w="0" w:type="dxa"/>
        <w:tblLayout w:type="fixed"/>
        <w:tblCellMar>
          <w:top w:w="0" w:type="dxa"/>
          <w:left w:w="0" w:type="dxa"/>
          <w:bottom w:w="0" w:type="dxa"/>
          <w:right w:w="0" w:type="dxa"/>
        </w:tblCellMar>
      </w:tblPr>
      <w:tblGrid>
        <w:gridCol w:w="803"/>
        <w:gridCol w:w="9402"/>
      </w:tblGrid>
      <w:tr>
        <w:trPr/>
        <w:tc>
          <w:tcPr>
            <w:tcW w:w="803" w:type="dxa"/>
            <w:tcBorders/>
            <w:vAlign w:val="center"/>
          </w:tcPr>
          <w:p>
            <w:pPr>
              <w:pStyle w:val="TableContents"/>
              <w:bidi w:val="0"/>
              <w:spacing w:before="0" w:after="283"/>
              <w:jc w:val="left"/>
              <w:rPr>
                <w:b/>
                <w:color w:val="000000"/>
              </w:rPr>
            </w:pPr>
            <w:r>
              <w:rPr>
                <w:b/>
                <w:color w:val="000000"/>
              </w:rPr>
              <w:t>ITEM 5.</w:t>
            </w:r>
          </w:p>
        </w:tc>
        <w:tc>
          <w:tcPr>
            <w:tcW w:w="9402" w:type="dxa"/>
            <w:tcBorders/>
            <w:vAlign w:val="center"/>
          </w:tcPr>
          <w:p>
            <w:pPr>
              <w:pStyle w:val="TableContents"/>
              <w:bidi w:val="0"/>
              <w:spacing w:before="0" w:after="0"/>
              <w:jc w:val="left"/>
              <w:rPr>
                <w:b/>
                <w:color w:val="000000"/>
                <w:u w:val="single"/>
              </w:rPr>
            </w:pPr>
            <w:r>
              <w:rPr>
                <w:b/>
                <w:color w:val="000000"/>
                <w:u w:val="single"/>
              </w:rPr>
              <w:t>MARKET FOR REGISTRANT’S COMMON EQUITY, RELATED STOCKHOLDER MATTERS AND ISSUER PURCHASES OF EQUITY SECURITIES</w:t>
            </w:r>
          </w:p>
        </w:tc>
      </w:tr>
    </w:tbl>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Market Information and Holders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Class A common stock is listed on the New York Stock Exchange and trades under the symbol “NUS.” The approximate number of holders of record of our Class A common stock as of January 31, 2026 was 192. This number of holders of record does not represent the actual number of beneficial owners of shares of our Class A common stock because shares are frequently held in “street name” by securities dealers and others for the benefit of individual owners who have the right to vote their shares.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Purchases of Equity Securities by the Issuer</w:t>
      </w:r>
    </w:p>
    <w:p>
      <w:pPr>
        <w:pStyle w:val="TextBody"/>
        <w:bidi w:val="0"/>
        <w:spacing w:before="0" w:after="0"/>
        <w:jc w:val="left"/>
        <w:rPr/>
      </w:pPr>
      <w:r>
        <w:rPr/>
      </w:r>
    </w:p>
    <w:tbl>
      <w:tblPr>
        <w:tblW w:w="9429" w:type="dxa"/>
        <w:jc w:val="left"/>
        <w:tblInd w:w="0" w:type="dxa"/>
        <w:tblLayout w:type="fixed"/>
        <w:tblCellMar>
          <w:top w:w="0" w:type="dxa"/>
          <w:left w:w="0" w:type="dxa"/>
          <w:bottom w:w="0" w:type="dxa"/>
          <w:right w:w="0" w:type="dxa"/>
        </w:tblCellMar>
      </w:tblPr>
      <w:tblGrid>
        <w:gridCol w:w="2285"/>
        <w:gridCol w:w="60"/>
        <w:gridCol w:w="76"/>
        <w:gridCol w:w="1024"/>
        <w:gridCol w:w="60"/>
        <w:gridCol w:w="60"/>
        <w:gridCol w:w="214"/>
        <w:gridCol w:w="856"/>
        <w:gridCol w:w="60"/>
        <w:gridCol w:w="60"/>
        <w:gridCol w:w="131"/>
        <w:gridCol w:w="1748"/>
        <w:gridCol w:w="60"/>
        <w:gridCol w:w="60"/>
        <w:gridCol w:w="523"/>
        <w:gridCol w:w="2092"/>
        <w:gridCol w:w="60"/>
      </w:tblGrid>
      <w:tr>
        <w:trPr/>
        <w:tc>
          <w:tcPr>
            <w:tcW w:w="2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bottom"/>
          </w:tcPr>
          <w:p>
            <w:pPr>
              <w:pStyle w:val="TableContents"/>
              <w:bidi w:val="0"/>
              <w:spacing w:before="0" w:after="0"/>
              <w:jc w:val="center"/>
              <w:rPr>
                <w:b/>
              </w:rPr>
            </w:pPr>
            <w:r>
              <w:rPr>
                <w:b/>
              </w:rPr>
              <w:t>(b)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9" w:type="dxa"/>
            <w:gridSpan w:val="2"/>
            <w:tcBorders>
              <w:bottom w:val="single" w:sz="12" w:space="0" w:color="000000"/>
            </w:tcBorders>
            <w:tcMar>
              <w:bottom w:w="28" w:type="dxa"/>
            </w:tcMar>
            <w:vAlign w:val="bottom"/>
          </w:tcPr>
          <w:p>
            <w:pPr>
              <w:pStyle w:val="TableContents"/>
              <w:bidi w:val="0"/>
              <w:spacing w:before="0" w:after="0"/>
              <w:jc w:val="center"/>
              <w:rPr>
                <w:b/>
              </w:rPr>
            </w:pPr>
            <w:r>
              <w:rPr>
                <w:b/>
              </w:rPr>
              <w:t>(c)</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5" w:type="dxa"/>
            <w:gridSpan w:val="2"/>
            <w:tcBorders>
              <w:bottom w:val="single" w:sz="12" w:space="0" w:color="000000"/>
            </w:tcBorders>
            <w:tcMar>
              <w:bottom w:w="28" w:type="dxa"/>
            </w:tcMar>
            <w:vAlign w:val="bottom"/>
          </w:tcPr>
          <w:p>
            <w:pPr>
              <w:pStyle w:val="TableContents"/>
              <w:bidi w:val="0"/>
              <w:spacing w:before="0" w:after="0"/>
              <w:jc w:val="center"/>
              <w:rPr>
                <w:b/>
              </w:rPr>
            </w:pPr>
            <w:r>
              <w:rPr>
                <w:b/>
              </w:rPr>
              <w:t>(d)</w:t>
            </w:r>
          </w:p>
        </w:tc>
        <w:tc>
          <w:tcPr>
            <w:tcW w:w="60" w:type="dxa"/>
            <w:tcBorders/>
            <w:vAlign w:val="bottom"/>
          </w:tcPr>
          <w:p>
            <w:pPr>
              <w:pStyle w:val="TableContents"/>
              <w:bidi w:val="0"/>
              <w:spacing w:before="0" w:after="283"/>
              <w:jc w:val="left"/>
              <w:rPr/>
            </w:pPr>
            <w:r>
              <w:rPr/>
              <w:t> </w:t>
            </w:r>
          </w:p>
        </w:tc>
      </w:tr>
      <w:tr>
        <w:trPr/>
        <w:tc>
          <w:tcPr>
            <w:tcW w:w="2285" w:type="dxa"/>
            <w:tcBorders>
              <w:bottom w:val="single" w:sz="12" w:space="0" w:color="000000"/>
            </w:tcBorders>
            <w:tcMar>
              <w:bottom w:w="28" w:type="dxa"/>
            </w:tcMar>
            <w:vAlign w:val="bottom"/>
          </w:tcPr>
          <w:p>
            <w:pPr>
              <w:pStyle w:val="TableContents"/>
              <w:bidi w:val="0"/>
              <w:spacing w:before="0" w:after="0"/>
              <w:ind w:left="144" w:right="0" w:hanging="144"/>
              <w:jc w:val="center"/>
              <w:rPr>
                <w:b/>
              </w:rPr>
            </w:pPr>
            <w:r>
              <w:rPr>
                <w:b/>
              </w:rPr>
              <w:t>Period</w:t>
            </w:r>
          </w:p>
        </w:tc>
        <w:tc>
          <w:tcPr>
            <w:tcW w:w="6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Total</w:t>
            </w:r>
          </w:p>
          <w:p>
            <w:pPr>
              <w:pStyle w:val="TableContents"/>
              <w:bidi w:val="0"/>
              <w:spacing w:before="0" w:after="0"/>
              <w:jc w:val="center"/>
              <w:rPr>
                <w:b/>
              </w:rPr>
            </w:pPr>
            <w:r>
              <w:rPr>
                <w:b/>
              </w:rPr>
              <w:t>Number</w:t>
            </w:r>
          </w:p>
          <w:p>
            <w:pPr>
              <w:pStyle w:val="TableContents"/>
              <w:bidi w:val="0"/>
              <w:spacing w:before="0" w:after="0"/>
              <w:jc w:val="center"/>
              <w:rPr>
                <w:b/>
              </w:rPr>
            </w:pPr>
            <w:r>
              <w:rPr>
                <w:b/>
              </w:rPr>
              <w:t>of Shares</w:t>
            </w:r>
          </w:p>
          <w:p>
            <w:pPr>
              <w:pStyle w:val="TableContents"/>
              <w:bidi w:val="0"/>
              <w:spacing w:before="0" w:after="0"/>
              <w:jc w:val="center"/>
              <w:rPr>
                <w:b/>
              </w:rPr>
            </w:pPr>
            <w:r>
              <w:rPr>
                <w:b/>
              </w:rPr>
              <w:t>Purchased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bottom"/>
          </w:tcPr>
          <w:p>
            <w:pPr>
              <w:pStyle w:val="TableContents"/>
              <w:bidi w:val="0"/>
              <w:spacing w:before="0" w:after="0"/>
              <w:jc w:val="center"/>
              <w:rPr>
                <w:b/>
              </w:rPr>
            </w:pPr>
            <w:r>
              <w:rPr>
                <w:b/>
              </w:rPr>
              <w:t>Average</w:t>
            </w:r>
          </w:p>
          <w:p>
            <w:pPr>
              <w:pStyle w:val="TableContents"/>
              <w:bidi w:val="0"/>
              <w:spacing w:before="0" w:after="0"/>
              <w:jc w:val="center"/>
              <w:rPr>
                <w:b/>
              </w:rPr>
            </w:pPr>
            <w:r>
              <w:rPr>
                <w:b/>
              </w:rPr>
              <w:t>Price Paid</w:t>
            </w:r>
          </w:p>
          <w:p>
            <w:pPr>
              <w:pStyle w:val="TableContents"/>
              <w:bidi w:val="0"/>
              <w:spacing w:before="0" w:after="0"/>
              <w:jc w:val="center"/>
              <w:rPr>
                <w:b/>
              </w:rPr>
            </w:pPr>
            <w:r>
              <w:rPr>
                <w:b/>
              </w:rPr>
              <w:t>per Share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9" w:type="dxa"/>
            <w:gridSpan w:val="2"/>
            <w:tcBorders>
              <w:bottom w:val="single" w:sz="12" w:space="0" w:color="000000"/>
            </w:tcBorders>
            <w:tcMar>
              <w:bottom w:w="28" w:type="dxa"/>
            </w:tcMar>
            <w:vAlign w:val="bottom"/>
          </w:tcPr>
          <w:p>
            <w:pPr>
              <w:pStyle w:val="TableContents"/>
              <w:bidi w:val="0"/>
              <w:spacing w:before="0" w:after="0"/>
              <w:jc w:val="center"/>
              <w:rPr>
                <w:b/>
              </w:rPr>
            </w:pPr>
            <w:r>
              <w:rPr>
                <w:b/>
              </w:rPr>
              <w:t>Total Number of</w:t>
            </w:r>
          </w:p>
          <w:p>
            <w:pPr>
              <w:pStyle w:val="TableContents"/>
              <w:bidi w:val="0"/>
              <w:spacing w:before="0" w:after="0"/>
              <w:jc w:val="center"/>
              <w:rPr>
                <w:b/>
              </w:rPr>
            </w:pPr>
            <w:r>
              <w:rPr>
                <w:b/>
              </w:rPr>
              <w:t>Shares Purchased</w:t>
            </w:r>
          </w:p>
          <w:p>
            <w:pPr>
              <w:pStyle w:val="TableContents"/>
              <w:bidi w:val="0"/>
              <w:spacing w:before="0" w:after="0"/>
              <w:jc w:val="center"/>
              <w:rPr>
                <w:b/>
              </w:rPr>
            </w:pPr>
            <w:r>
              <w:rPr>
                <w:b/>
              </w:rPr>
              <w:t>as Part of Publicly</w:t>
            </w:r>
          </w:p>
          <w:p>
            <w:pPr>
              <w:pStyle w:val="TableContents"/>
              <w:bidi w:val="0"/>
              <w:spacing w:before="0" w:after="0"/>
              <w:jc w:val="center"/>
              <w:rPr>
                <w:b/>
              </w:rPr>
            </w:pPr>
            <w:r>
              <w:rPr>
                <w:b/>
              </w:rPr>
              <w:t>Announced Plans</w:t>
            </w:r>
          </w:p>
          <w:p>
            <w:pPr>
              <w:pStyle w:val="TableContents"/>
              <w:bidi w:val="0"/>
              <w:spacing w:before="0" w:after="0"/>
              <w:jc w:val="center"/>
              <w:rPr>
                <w:b/>
              </w:rPr>
            </w:pPr>
            <w:r>
              <w:rPr>
                <w:b/>
              </w:rPr>
              <w:t>or Programs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5" w:type="dxa"/>
            <w:gridSpan w:val="2"/>
            <w:tcBorders>
              <w:bottom w:val="single" w:sz="12" w:space="0" w:color="000000"/>
            </w:tcBorders>
            <w:tcMar>
              <w:bottom w:w="28" w:type="dxa"/>
            </w:tcMar>
            <w:vAlign w:val="bottom"/>
          </w:tcPr>
          <w:p>
            <w:pPr>
              <w:pStyle w:val="TableContents"/>
              <w:bidi w:val="0"/>
              <w:spacing w:before="0" w:after="0"/>
              <w:jc w:val="center"/>
              <w:rPr>
                <w:b/>
              </w:rPr>
            </w:pPr>
            <w:r>
              <w:rPr>
                <w:b/>
              </w:rPr>
              <w:t>Approximate Dollar</w:t>
            </w:r>
          </w:p>
          <w:p>
            <w:pPr>
              <w:pStyle w:val="TableContents"/>
              <w:bidi w:val="0"/>
              <w:spacing w:before="0" w:after="0"/>
              <w:jc w:val="center"/>
              <w:rPr>
                <w:b/>
              </w:rPr>
            </w:pPr>
            <w:r>
              <w:rPr>
                <w:b/>
              </w:rPr>
              <w:t>Value of Shares that May</w:t>
            </w:r>
          </w:p>
          <w:p>
            <w:pPr>
              <w:pStyle w:val="TableContents"/>
              <w:bidi w:val="0"/>
              <w:spacing w:before="0" w:after="0"/>
              <w:jc w:val="center"/>
              <w:rPr>
                <w:b/>
              </w:rPr>
            </w:pPr>
            <w:r>
              <w:rPr>
                <w:b/>
              </w:rPr>
              <w:t>Yet Be Purchased Under</w:t>
            </w:r>
          </w:p>
          <w:p>
            <w:pPr>
              <w:pStyle w:val="TableContents"/>
              <w:bidi w:val="0"/>
              <w:spacing w:before="0" w:after="0"/>
              <w:jc w:val="center"/>
              <w:rPr>
                <w:b/>
              </w:rPr>
            </w:pPr>
            <w:r>
              <w:rPr>
                <w:b/>
              </w:rPr>
              <w:t>the Plans or Programs</w:t>
            </w:r>
          </w:p>
          <w:p>
            <w:pPr>
              <w:pStyle w:val="TableContents"/>
              <w:bidi w:val="0"/>
              <w:spacing w:lineRule="auto" w:line="240" w:before="0" w:after="0"/>
              <w:jc w:val="center"/>
              <w:rPr/>
            </w:pPr>
            <w:r>
              <w:rPr/>
              <w:t>(in millions)(1)</w:t>
            </w:r>
          </w:p>
        </w:tc>
        <w:tc>
          <w:tcPr>
            <w:tcW w:w="60" w:type="dxa"/>
            <w:tcBorders/>
            <w:vAlign w:val="bottom"/>
          </w:tcPr>
          <w:p>
            <w:pPr>
              <w:pStyle w:val="TableContents"/>
              <w:bidi w:val="0"/>
              <w:spacing w:before="0" w:after="283"/>
              <w:jc w:val="left"/>
              <w:rPr/>
            </w:pPr>
            <w:r>
              <w:rPr/>
              <w:t> </w:t>
            </w:r>
          </w:p>
        </w:tc>
      </w:tr>
      <w:tr>
        <w:trPr/>
        <w:tc>
          <w:tcPr>
            <w:tcW w:w="2285" w:type="dxa"/>
            <w:tcBorders/>
            <w:shd w:fill="CCEEFF" w:val="clear"/>
            <w:vAlign w:val="bottom"/>
          </w:tcPr>
          <w:p>
            <w:pPr>
              <w:pStyle w:val="TableContents"/>
              <w:bidi w:val="0"/>
              <w:spacing w:before="0" w:after="0"/>
              <w:ind w:left="144" w:right="0" w:hanging="144"/>
              <w:jc w:val="left"/>
              <w:rPr>
                <w:color w:val="000000"/>
              </w:rPr>
            </w:pPr>
            <w:r>
              <w:rPr>
                <w:color w:val="000000"/>
              </w:rPr>
              <w:t>October 1 – 31, 2025</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0"/>
              <w:jc w:val="right"/>
              <w:rPr/>
            </w:pPr>
            <w:r>
              <w:rPr/>
              <w:t>336,341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0"/>
              <w:jc w:val="left"/>
              <w:rPr/>
            </w:pPr>
            <w:r>
              <w:rPr/>
              <w:t>$</w:t>
            </w:r>
          </w:p>
        </w:tc>
        <w:tc>
          <w:tcPr>
            <w:tcW w:w="856" w:type="dxa"/>
            <w:tcBorders/>
            <w:shd w:fill="CCEEFF" w:val="clear"/>
            <w:vAlign w:val="bottom"/>
          </w:tcPr>
          <w:p>
            <w:pPr>
              <w:pStyle w:val="TableContents"/>
              <w:bidi w:val="0"/>
              <w:spacing w:before="0" w:after="0"/>
              <w:jc w:val="right"/>
              <w:rPr/>
            </w:pPr>
            <w:r>
              <w:rPr/>
              <w:t>10.85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748" w:type="dxa"/>
            <w:tcBorders/>
            <w:shd w:fill="CCEEFF" w:val="clear"/>
            <w:vAlign w:val="bottom"/>
          </w:tcPr>
          <w:p>
            <w:pPr>
              <w:pStyle w:val="TableContents"/>
              <w:bidi w:val="0"/>
              <w:spacing w:before="0" w:after="0"/>
              <w:jc w:val="right"/>
              <w:rPr/>
            </w:pPr>
            <w:r>
              <w:rPr/>
              <w:t>336,341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0"/>
              <w:jc w:val="left"/>
              <w:rPr/>
            </w:pPr>
            <w:r>
              <w:rPr/>
              <w:t>$</w:t>
            </w:r>
          </w:p>
        </w:tc>
        <w:tc>
          <w:tcPr>
            <w:tcW w:w="2092" w:type="dxa"/>
            <w:tcBorders/>
            <w:shd w:fill="CCEEFF" w:val="clear"/>
            <w:vAlign w:val="bottom"/>
          </w:tcPr>
          <w:p>
            <w:pPr>
              <w:pStyle w:val="TableContents"/>
              <w:bidi w:val="0"/>
              <w:spacing w:before="0" w:after="0"/>
              <w:jc w:val="right"/>
              <w:rPr/>
            </w:pPr>
            <w:r>
              <w:rPr/>
              <w:t>148.7</w:t>
            </w:r>
          </w:p>
        </w:tc>
        <w:tc>
          <w:tcPr>
            <w:tcW w:w="60" w:type="dxa"/>
            <w:tcBorders/>
            <w:shd w:fill="CCEEFF" w:val="clear"/>
            <w:vAlign w:val="bottom"/>
          </w:tcPr>
          <w:p>
            <w:pPr>
              <w:pStyle w:val="TableContents"/>
              <w:bidi w:val="0"/>
              <w:spacing w:before="0" w:after="283"/>
              <w:jc w:val="left"/>
              <w:rPr/>
            </w:pPr>
            <w:r>
              <w:rPr/>
              <w:t> </w:t>
            </w:r>
          </w:p>
        </w:tc>
      </w:tr>
      <w:tr>
        <w:trPr/>
        <w:tc>
          <w:tcPr>
            <w:tcW w:w="2285" w:type="dxa"/>
            <w:tcBorders/>
            <w:vAlign w:val="bottom"/>
          </w:tcPr>
          <w:p>
            <w:pPr>
              <w:pStyle w:val="TableContents"/>
              <w:bidi w:val="0"/>
              <w:spacing w:before="0" w:after="0"/>
              <w:ind w:left="144" w:right="0" w:hanging="144"/>
              <w:jc w:val="left"/>
              <w:rPr>
                <w:color w:val="000000"/>
              </w:rPr>
            </w:pPr>
            <w:r>
              <w:rPr>
                <w:color w:val="000000"/>
              </w:rPr>
              <w:t>November 1 – 30, 2025</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0"/>
              <w:jc w:val="right"/>
              <w:rPr/>
            </w:pPr>
            <w:r>
              <w:rPr/>
              <w:t>338,082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0"/>
              <w:jc w:val="right"/>
              <w:rPr/>
            </w:pPr>
            <w:r>
              <w:rPr/>
              <w:t>9.91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748" w:type="dxa"/>
            <w:tcBorders/>
            <w:vAlign w:val="bottom"/>
          </w:tcPr>
          <w:p>
            <w:pPr>
              <w:pStyle w:val="TableContents"/>
              <w:bidi w:val="0"/>
              <w:spacing w:before="0" w:after="0"/>
              <w:jc w:val="right"/>
              <w:rPr/>
            </w:pPr>
            <w:r>
              <w:rPr/>
              <w:t>338,082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0"/>
              <w:jc w:val="left"/>
              <w:rPr/>
            </w:pPr>
            <w:r>
              <w:rPr/>
              <w:t>$</w:t>
            </w:r>
          </w:p>
        </w:tc>
        <w:tc>
          <w:tcPr>
            <w:tcW w:w="2092" w:type="dxa"/>
            <w:tcBorders/>
            <w:vAlign w:val="bottom"/>
          </w:tcPr>
          <w:p>
            <w:pPr>
              <w:pStyle w:val="TableContents"/>
              <w:bidi w:val="0"/>
              <w:spacing w:before="0" w:after="0"/>
              <w:jc w:val="right"/>
              <w:rPr/>
            </w:pPr>
            <w:r>
              <w:rPr/>
              <w:t>145.3</w:t>
            </w:r>
          </w:p>
        </w:tc>
        <w:tc>
          <w:tcPr>
            <w:tcW w:w="60" w:type="dxa"/>
            <w:tcBorders/>
            <w:vAlign w:val="bottom"/>
          </w:tcPr>
          <w:p>
            <w:pPr>
              <w:pStyle w:val="TableContents"/>
              <w:bidi w:val="0"/>
              <w:spacing w:before="0" w:after="283"/>
              <w:jc w:val="left"/>
              <w:rPr/>
            </w:pPr>
            <w:r>
              <w:rPr/>
              <w:t> </w:t>
            </w:r>
          </w:p>
        </w:tc>
      </w:tr>
      <w:tr>
        <w:trPr/>
        <w:tc>
          <w:tcPr>
            <w:tcW w:w="2285" w:type="dxa"/>
            <w:tcBorders/>
            <w:shd w:fill="CCEEFF" w:val="clear"/>
            <w:vAlign w:val="bottom"/>
          </w:tcPr>
          <w:p>
            <w:pPr>
              <w:pStyle w:val="TableContents"/>
              <w:bidi w:val="0"/>
              <w:spacing w:before="0" w:after="0"/>
              <w:ind w:left="144" w:right="0" w:hanging="144"/>
              <w:jc w:val="left"/>
              <w:rPr>
                <w:color w:val="000000"/>
              </w:rPr>
            </w:pPr>
            <w:r>
              <w:rPr>
                <w:color w:val="000000"/>
              </w:rPr>
              <w:t>December 1 – 31, 2025</w:t>
            </w:r>
          </w:p>
        </w:tc>
        <w:tc>
          <w:tcPr>
            <w:tcW w:w="60" w:type="dxa"/>
            <w:tcBorders/>
            <w:shd w:fill="CCEEFF" w:val="clear"/>
            <w:vAlign w:val="bottom"/>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4" w:type="dxa"/>
            <w:tcBorders>
              <w:bottom w:val="single" w:sz="12" w:space="0" w:color="000000"/>
            </w:tcBorders>
            <w:shd w:fill="CCEEFF" w:val="clear"/>
            <w:tcMar>
              <w:bottom w:w="28" w:type="dxa"/>
            </w:tcMar>
            <w:vAlign w:val="bottom"/>
          </w:tcPr>
          <w:p>
            <w:pPr>
              <w:pStyle w:val="TableContents"/>
              <w:bidi w:val="0"/>
              <w:spacing w:before="0" w:after="0"/>
              <w:jc w:val="right"/>
              <w:rPr/>
            </w:pPr>
            <w:r>
              <w:rPr/>
              <w:t>296,745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0"/>
              <w:jc w:val="right"/>
              <w:rPr/>
            </w:pPr>
            <w:r>
              <w:rPr/>
              <w:t>10.17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48" w:type="dxa"/>
            <w:tcBorders>
              <w:bottom w:val="single" w:sz="12" w:space="0" w:color="000000"/>
            </w:tcBorders>
            <w:shd w:fill="CCEEFF" w:val="clear"/>
            <w:tcMar>
              <w:bottom w:w="28" w:type="dxa"/>
            </w:tcMar>
            <w:vAlign w:val="bottom"/>
          </w:tcPr>
          <w:p>
            <w:pPr>
              <w:pStyle w:val="TableContents"/>
              <w:bidi w:val="0"/>
              <w:spacing w:before="0" w:after="0"/>
              <w:jc w:val="right"/>
              <w:rPr/>
            </w:pPr>
            <w:r>
              <w:rPr/>
              <w:t>296,745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0"/>
              <w:jc w:val="left"/>
              <w:rPr/>
            </w:pPr>
            <w:r>
              <w:rPr/>
              <w:t>$</w:t>
            </w:r>
          </w:p>
        </w:tc>
        <w:tc>
          <w:tcPr>
            <w:tcW w:w="2092" w:type="dxa"/>
            <w:tcBorders/>
            <w:shd w:fill="CCEEFF" w:val="clear"/>
            <w:vAlign w:val="bottom"/>
          </w:tcPr>
          <w:p>
            <w:pPr>
              <w:pStyle w:val="TableContents"/>
              <w:bidi w:val="0"/>
              <w:spacing w:before="0" w:after="0"/>
              <w:jc w:val="right"/>
              <w:rPr/>
            </w:pPr>
            <w:r>
              <w:rPr/>
              <w:t>142.3</w:t>
            </w:r>
          </w:p>
        </w:tc>
        <w:tc>
          <w:tcPr>
            <w:tcW w:w="60" w:type="dxa"/>
            <w:tcBorders/>
            <w:shd w:fill="CCEEFF" w:val="clear"/>
            <w:vAlign w:val="bottom"/>
          </w:tcPr>
          <w:p>
            <w:pPr>
              <w:pStyle w:val="TableContents"/>
              <w:bidi w:val="0"/>
              <w:spacing w:before="0" w:after="283"/>
              <w:jc w:val="left"/>
              <w:rPr/>
            </w:pPr>
            <w:r>
              <w:rPr/>
              <w:t> </w:t>
            </w:r>
          </w:p>
        </w:tc>
      </w:tr>
      <w:tr>
        <w:trPr/>
        <w:tc>
          <w:tcPr>
            <w:tcW w:w="2285" w:type="dxa"/>
            <w:tcBorders/>
            <w:vAlign w:val="bottom"/>
          </w:tcPr>
          <w:p>
            <w:pPr>
              <w:pStyle w:val="TableContents"/>
              <w:bidi w:val="0"/>
              <w:spacing w:before="0" w:after="0"/>
              <w:ind w:left="324" w:right="0" w:hanging="144"/>
              <w:jc w:val="left"/>
              <w:rPr/>
            </w:pPr>
            <w:r>
              <w:rPr/>
              <w:t>Total</w:t>
            </w:r>
          </w:p>
        </w:tc>
        <w:tc>
          <w:tcPr>
            <w:tcW w:w="60" w:type="dxa"/>
            <w:tcBorders/>
            <w:vAlign w:val="bottom"/>
          </w:tcPr>
          <w:p>
            <w:pPr>
              <w:pStyle w:val="TableContents"/>
              <w:bidi w:val="0"/>
              <w:spacing w:before="0" w:after="283"/>
              <w:jc w:val="left"/>
              <w:rPr/>
            </w:pPr>
            <w:r>
              <w:rPr/>
              <w:t> </w:t>
            </w:r>
          </w:p>
        </w:tc>
        <w:tc>
          <w:tcPr>
            <w:tcW w:w="76" w:type="dxa"/>
            <w:tcBorders>
              <w:bottom w:val="double" w:sz="8" w:space="0" w:color="000000"/>
            </w:tcBorders>
            <w:tcMar>
              <w:bottom w:w="28" w:type="dxa"/>
            </w:tcMar>
            <w:vAlign w:val="bottom"/>
          </w:tcPr>
          <w:p>
            <w:pPr>
              <w:pStyle w:val="TableContents"/>
              <w:bidi w:val="0"/>
              <w:spacing w:before="0" w:after="283"/>
              <w:jc w:val="left"/>
              <w:rPr/>
            </w:pPr>
            <w:r>
              <w:rPr/>
              <w:t> </w:t>
            </w:r>
          </w:p>
        </w:tc>
        <w:tc>
          <w:tcPr>
            <w:tcW w:w="1024" w:type="dxa"/>
            <w:tcBorders>
              <w:bottom w:val="double" w:sz="8" w:space="0" w:color="000000"/>
            </w:tcBorders>
            <w:tcMar>
              <w:bottom w:w="28" w:type="dxa"/>
            </w:tcMar>
            <w:vAlign w:val="bottom"/>
          </w:tcPr>
          <w:p>
            <w:pPr>
              <w:pStyle w:val="TableContents"/>
              <w:bidi w:val="0"/>
              <w:spacing w:before="0" w:after="0"/>
              <w:jc w:val="right"/>
              <w:rPr/>
            </w:pPr>
            <w:r>
              <w:rPr/>
              <w:t>971,168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0"/>
              <w:jc w:val="left"/>
              <w:rPr/>
            </w:pPr>
            <w:r>
              <w:rPr/>
              <w:t>$</w:t>
            </w:r>
          </w:p>
        </w:tc>
        <w:tc>
          <w:tcPr>
            <w:tcW w:w="856" w:type="dxa"/>
            <w:tcBorders/>
            <w:vAlign w:val="bottom"/>
          </w:tcPr>
          <w:p>
            <w:pPr>
              <w:pStyle w:val="TableContents"/>
              <w:bidi w:val="0"/>
              <w:spacing w:before="0" w:after="0"/>
              <w:jc w:val="right"/>
              <w:rPr/>
            </w:pPr>
            <w:r>
              <w:rPr/>
              <w:t>10.32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bottom w:val="double" w:sz="8" w:space="0" w:color="000000"/>
            </w:tcBorders>
            <w:tcMar>
              <w:bottom w:w="28" w:type="dxa"/>
            </w:tcMar>
            <w:vAlign w:val="bottom"/>
          </w:tcPr>
          <w:p>
            <w:pPr>
              <w:pStyle w:val="TableContents"/>
              <w:bidi w:val="0"/>
              <w:spacing w:before="0" w:after="283"/>
              <w:jc w:val="left"/>
              <w:rPr/>
            </w:pPr>
            <w:r>
              <w:rPr/>
              <w:t> </w:t>
            </w:r>
          </w:p>
        </w:tc>
        <w:tc>
          <w:tcPr>
            <w:tcW w:w="1748" w:type="dxa"/>
            <w:tcBorders>
              <w:bottom w:val="double" w:sz="8" w:space="0" w:color="000000"/>
            </w:tcBorders>
            <w:tcMar>
              <w:bottom w:w="28" w:type="dxa"/>
            </w:tcMar>
            <w:vAlign w:val="bottom"/>
          </w:tcPr>
          <w:p>
            <w:pPr>
              <w:pStyle w:val="TableContents"/>
              <w:bidi w:val="0"/>
              <w:spacing w:before="0" w:after="0"/>
              <w:jc w:val="right"/>
              <w:rPr/>
            </w:pPr>
            <w:r>
              <w:rPr/>
              <w:t>971,168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 </w:t>
            </w:r>
          </w:p>
        </w:tc>
        <w:tc>
          <w:tcPr>
            <w:tcW w:w="209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color w:val="000000"/>
              </w:rPr>
            </w:pPr>
            <w:r>
              <w:rPr>
                <w:color w:val="000000"/>
              </w:rPr>
              <w:t>(1)</w:t>
            </w:r>
          </w:p>
        </w:tc>
        <w:tc>
          <w:tcPr>
            <w:tcW w:w="995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 August 2018, we announced that our board of directors approved a stock repurchase plan. Under this plan, our board of directors authorized the repurchase of up to $500 million of our outstanding Class A common stock on the open market or in privately negotiated transactions. The program has no expiration date and may be utilized over time, with no obligation to repurchase any specific number of shares. We may suspend or discontinue the program at any time.</w:t>
            </w:r>
          </w:p>
        </w:tc>
      </w:tr>
    </w:tbl>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Recent Sales of Unregistered Securities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Stock Performance Graph</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following graph shows the changes in value over the five-year period ended December 31, 2025 of an assumed $100 investment in our Class A common stock, the S&amp;P SmallCap 600 Consumer Staples Index (the “SmallCap Index”) and the S&amp;P 500 Index.</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COMPARISON OF 5 YEAR CUMULATIVE TOTAL RETURN</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Among Nu Skin Enterprises, Inc., the S&amp;P 500 Index, and the S&amp;P SmallCap 600 Consumer Staples Index</w:t>
      </w:r>
    </w:p>
    <w:p>
      <w:pPr>
        <w:pStyle w:val="TextBody"/>
        <w:bidi w:val="0"/>
        <w:spacing w:before="0" w:after="0"/>
        <w:jc w:val="left"/>
        <w:rPr/>
      </w:pPr>
      <w:r>
        <w:rPr/>
      </w:r>
    </w:p>
    <w:p>
      <w:pPr>
        <w:pStyle w:val="TextBody"/>
        <w:bidi w:val="0"/>
        <w:spacing w:before="0" w:after="0"/>
        <w:jc w:val="center"/>
        <w:rPr>
          <w:color w:val="000000"/>
          <w:shd w:fill="FFFFFF" w:val="clear"/>
        </w:rPr>
      </w:pPr>
      <w:r>
        <w:rPr>
          <w:color w:val="000000"/>
          <w:shd w:fill="FFFFFF" w:val="clear"/>
        </w:rPr>
        <w:drawing>
          <wp:inline distT="0" distB="0" distL="0" distR="0">
            <wp:extent cx="5838825" cy="3267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838825" cy="3267075"/>
                    </a:xfrm>
                    <a:prstGeom prst="rect">
                      <a:avLst/>
                    </a:prstGeom>
                  </pic:spPr>
                </pic:pic>
              </a:graphicData>
            </a:graphic>
          </wp:inline>
        </w:drawing>
      </w:r>
    </w:p>
    <w:p>
      <w:pPr>
        <w:pStyle w:val="TextBody"/>
        <w:bidi w:val="0"/>
        <w:spacing w:before="0" w:after="0"/>
        <w:jc w:val="left"/>
        <w:rPr/>
      </w:pPr>
      <w:r>
        <w:rPr/>
      </w:r>
    </w:p>
    <w:tbl>
      <w:tblPr>
        <w:tblW w:w="7187" w:type="dxa"/>
        <w:jc w:val="left"/>
        <w:tblInd w:w="0" w:type="dxa"/>
        <w:tblLayout w:type="fixed"/>
        <w:tblCellMar>
          <w:top w:w="0" w:type="dxa"/>
          <w:left w:w="0" w:type="dxa"/>
          <w:bottom w:w="28" w:type="dxa"/>
          <w:right w:w="0" w:type="dxa"/>
        </w:tblCellMar>
      </w:tblPr>
      <w:tblGrid>
        <w:gridCol w:w="1895"/>
        <w:gridCol w:w="60"/>
        <w:gridCol w:w="69"/>
        <w:gridCol w:w="790"/>
        <w:gridCol w:w="60"/>
        <w:gridCol w:w="60"/>
        <w:gridCol w:w="126"/>
        <w:gridCol w:w="1438"/>
        <w:gridCol w:w="60"/>
        <w:gridCol w:w="60"/>
        <w:gridCol w:w="201"/>
        <w:gridCol w:w="2308"/>
        <w:gridCol w:w="60"/>
      </w:tblGrid>
      <w:tr>
        <w:trPr/>
        <w:tc>
          <w:tcPr>
            <w:tcW w:w="1895" w:type="dxa"/>
            <w:tcBorders>
              <w:bottom w:val="single" w:sz="12" w:space="0" w:color="000000"/>
            </w:tcBorders>
            <w:vAlign w:val="bottom"/>
          </w:tcPr>
          <w:p>
            <w:pPr>
              <w:pStyle w:val="TableContents"/>
              <w:bidi w:val="0"/>
              <w:spacing w:before="0" w:after="0"/>
              <w:ind w:left="144" w:right="0" w:hanging="144"/>
              <w:jc w:val="center"/>
              <w:rPr>
                <w:b/>
                <w:color w:val="000000"/>
              </w:rPr>
            </w:pPr>
            <w:r>
              <w:rPr>
                <w:b/>
                <w:color w:val="000000"/>
              </w:rPr>
              <w:t>Measured Period</w:t>
            </w:r>
          </w:p>
        </w:tc>
        <w:tc>
          <w:tcPr>
            <w:tcW w:w="60" w:type="dxa"/>
            <w:tcBorders/>
            <w:tcMar>
              <w:bottom w:w="0" w:type="dxa"/>
            </w:tcMar>
            <w:vAlign w:val="bottom"/>
          </w:tcPr>
          <w:p>
            <w:pPr>
              <w:pStyle w:val="TableContents"/>
              <w:bidi w:val="0"/>
              <w:spacing w:before="0" w:after="283"/>
              <w:jc w:val="left"/>
              <w:rPr/>
            </w:pPr>
            <w:r>
              <w:rPr/>
              <w:t> </w:t>
            </w:r>
          </w:p>
        </w:tc>
        <w:tc>
          <w:tcPr>
            <w:tcW w:w="859" w:type="dxa"/>
            <w:gridSpan w:val="2"/>
            <w:tcBorders>
              <w:bottom w:val="single" w:sz="12" w:space="0" w:color="000000"/>
            </w:tcBorders>
            <w:vAlign w:val="bottom"/>
          </w:tcPr>
          <w:p>
            <w:pPr>
              <w:pStyle w:val="TableContents"/>
              <w:bidi w:val="0"/>
              <w:spacing w:before="0" w:after="0"/>
              <w:jc w:val="center"/>
              <w:rPr>
                <w:b/>
                <w:color w:val="000000"/>
              </w:rPr>
            </w:pPr>
            <w:r>
              <w:rPr>
                <w:b/>
                <w:color w:val="000000"/>
              </w:rPr>
              <w:t>Nu Skin</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64" w:type="dxa"/>
            <w:gridSpan w:val="2"/>
            <w:tcBorders>
              <w:bottom w:val="single" w:sz="12" w:space="0" w:color="000000"/>
            </w:tcBorders>
            <w:vAlign w:val="bottom"/>
          </w:tcPr>
          <w:p>
            <w:pPr>
              <w:pStyle w:val="TableContents"/>
              <w:bidi w:val="0"/>
              <w:spacing w:before="0" w:after="0"/>
              <w:jc w:val="center"/>
              <w:rPr>
                <w:b/>
                <w:color w:val="000000"/>
              </w:rPr>
            </w:pPr>
            <w:r>
              <w:rPr>
                <w:b/>
                <w:color w:val="000000"/>
              </w:rPr>
              <w:t>S&amp;P 500 Index</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509" w:type="dxa"/>
            <w:gridSpan w:val="2"/>
            <w:tcBorders>
              <w:bottom w:val="single" w:sz="12" w:space="0" w:color="000000"/>
            </w:tcBorders>
            <w:vAlign w:val="bottom"/>
          </w:tcPr>
          <w:p>
            <w:pPr>
              <w:pStyle w:val="TableContents"/>
              <w:bidi w:val="0"/>
              <w:spacing w:before="0" w:after="0"/>
              <w:jc w:val="center"/>
              <w:rPr>
                <w:b/>
                <w:color w:val="000000"/>
              </w:rPr>
            </w:pPr>
            <w:r>
              <w:rPr>
                <w:b/>
                <w:color w:val="000000"/>
              </w:rPr>
              <w:t>S&amp;P SmallCap 600</w:t>
            </w:r>
          </w:p>
          <w:p>
            <w:pPr>
              <w:pStyle w:val="TableContents"/>
              <w:bidi w:val="0"/>
              <w:spacing w:before="0" w:after="0"/>
              <w:jc w:val="center"/>
              <w:rPr>
                <w:b/>
                <w:color w:val="000000"/>
              </w:rPr>
            </w:pPr>
            <w:r>
              <w:rPr>
                <w:b/>
                <w:color w:val="000000"/>
              </w:rPr>
              <w:t>Consumer Staples Index</w:t>
            </w:r>
          </w:p>
        </w:tc>
        <w:tc>
          <w:tcPr>
            <w:tcW w:w="60" w:type="dxa"/>
            <w:tcBorders/>
            <w:tcMar>
              <w:bottom w:w="0" w:type="dxa"/>
            </w:tcMar>
            <w:vAlign w:val="bottom"/>
          </w:tcPr>
          <w:p>
            <w:pPr>
              <w:pStyle w:val="TableContents"/>
              <w:bidi w:val="0"/>
              <w:spacing w:before="0" w:after="283"/>
              <w:jc w:val="left"/>
              <w:rPr/>
            </w:pPr>
            <w:r>
              <w:rPr/>
              <w:t> </w:t>
            </w:r>
          </w:p>
        </w:tc>
      </w:tr>
      <w:tr>
        <w:trPr/>
        <w:tc>
          <w:tcPr>
            <w:tcW w:w="1895" w:type="dxa"/>
            <w:tcBorders/>
            <w:shd w:fill="CCEEFF" w:val="clear"/>
            <w:tcMar>
              <w:bottom w:w="0" w:type="dxa"/>
            </w:tcMar>
            <w:vAlign w:val="bottom"/>
          </w:tcPr>
          <w:p>
            <w:pPr>
              <w:pStyle w:val="TableContents"/>
              <w:bidi w:val="0"/>
              <w:spacing w:before="0" w:after="0"/>
              <w:ind w:left="144" w:right="0" w:hanging="144"/>
              <w:jc w:val="left"/>
              <w:rPr>
                <w:color w:val="000000"/>
              </w:rPr>
            </w:pPr>
            <w:r>
              <w:rPr>
                <w:color w:val="000000"/>
              </w:rPr>
              <w:t>December 31, 2020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9" w:type="dxa"/>
            <w:tcBorders/>
            <w:shd w:fill="CCEEFF" w:val="clear"/>
            <w:tcMar>
              <w:bottom w:w="0" w:type="dxa"/>
            </w:tcMar>
            <w:vAlign w:val="bottom"/>
          </w:tcPr>
          <w:p>
            <w:pPr>
              <w:pStyle w:val="TableContents"/>
              <w:bidi w:val="0"/>
              <w:spacing w:before="0" w:after="283"/>
              <w:jc w:val="left"/>
              <w:rPr/>
            </w:pPr>
            <w:r>
              <w:rPr/>
              <w:t> </w:t>
            </w:r>
          </w:p>
        </w:tc>
        <w:tc>
          <w:tcPr>
            <w:tcW w:w="790" w:type="dxa"/>
            <w:tcBorders/>
            <w:shd w:fill="CCEEFF" w:val="clear"/>
            <w:tcMar>
              <w:bottom w:w="0" w:type="dxa"/>
            </w:tcMar>
            <w:vAlign w:val="bottom"/>
          </w:tcPr>
          <w:p>
            <w:pPr>
              <w:pStyle w:val="TableContents"/>
              <w:bidi w:val="0"/>
              <w:spacing w:before="0" w:after="0"/>
              <w:jc w:val="center"/>
              <w:rPr>
                <w:color w:val="000000"/>
              </w:rPr>
            </w:pPr>
            <w:r>
              <w:rPr>
                <w:color w:val="000000"/>
              </w:rPr>
              <w:t>100.00</w:t>
            </w:r>
          </w:p>
        </w:tc>
        <w:tc>
          <w:tcPr>
            <w:tcW w:w="60" w:type="dxa"/>
            <w:tcBorders/>
            <w:shd w:fill="CCEEFF" w:val="clear"/>
            <w:tcMar>
              <w:bottom w:w="0" w:type="dxa"/>
            </w:tcMar>
            <w:vAlign w:val="bottom"/>
          </w:tcPr>
          <w:p>
            <w:pPr>
              <w:pStyle w:val="TableContents"/>
              <w:bidi w:val="0"/>
              <w:spacing w:before="0" w:after="283"/>
              <w:jc w:val="center"/>
              <w:rPr/>
            </w:pPr>
            <w:r>
              <w:rPr/>
              <w:t> </w:t>
            </w:r>
          </w:p>
        </w:tc>
        <w:tc>
          <w:tcPr>
            <w:tcW w:w="60" w:type="dxa"/>
            <w:tcBorders/>
            <w:shd w:fill="CCEEFF" w:val="clear"/>
            <w:tcMar>
              <w:bottom w:w="0" w:type="dxa"/>
            </w:tcMar>
            <w:vAlign w:val="bottom"/>
          </w:tcPr>
          <w:p>
            <w:pPr>
              <w:pStyle w:val="TableContents"/>
              <w:bidi w:val="0"/>
              <w:spacing w:before="0" w:after="283"/>
              <w:jc w:val="center"/>
              <w:rPr/>
            </w:pPr>
            <w:r>
              <w:rPr/>
              <w:t> </w:t>
            </w:r>
          </w:p>
        </w:tc>
        <w:tc>
          <w:tcPr>
            <w:tcW w:w="126" w:type="dxa"/>
            <w:tcBorders/>
            <w:shd w:fill="CCEEFF" w:val="clear"/>
            <w:tcMar>
              <w:bottom w:w="0" w:type="dxa"/>
            </w:tcMar>
            <w:vAlign w:val="bottom"/>
          </w:tcPr>
          <w:p>
            <w:pPr>
              <w:pStyle w:val="TableContents"/>
              <w:bidi w:val="0"/>
              <w:spacing w:before="0" w:after="283"/>
              <w:jc w:val="center"/>
              <w:rPr/>
            </w:pPr>
            <w:r>
              <w:rPr/>
              <w:t> </w:t>
            </w:r>
          </w:p>
        </w:tc>
        <w:tc>
          <w:tcPr>
            <w:tcW w:w="1438" w:type="dxa"/>
            <w:tcBorders/>
            <w:shd w:fill="CCEEFF" w:val="clear"/>
            <w:tcMar>
              <w:bottom w:w="0" w:type="dxa"/>
            </w:tcMar>
            <w:vAlign w:val="bottom"/>
          </w:tcPr>
          <w:p>
            <w:pPr>
              <w:pStyle w:val="TableContents"/>
              <w:bidi w:val="0"/>
              <w:spacing w:before="0" w:after="0"/>
              <w:jc w:val="center"/>
              <w:rPr>
                <w:color w:val="000000"/>
              </w:rPr>
            </w:pPr>
            <w:r>
              <w:rPr>
                <w:color w:val="000000"/>
              </w:rPr>
              <w:t>100.00</w:t>
            </w:r>
          </w:p>
        </w:tc>
        <w:tc>
          <w:tcPr>
            <w:tcW w:w="60" w:type="dxa"/>
            <w:tcBorders/>
            <w:shd w:fill="CCEEFF" w:val="clear"/>
            <w:tcMar>
              <w:bottom w:w="0" w:type="dxa"/>
            </w:tcMar>
            <w:vAlign w:val="bottom"/>
          </w:tcPr>
          <w:p>
            <w:pPr>
              <w:pStyle w:val="TableContents"/>
              <w:bidi w:val="0"/>
              <w:spacing w:before="0" w:after="283"/>
              <w:jc w:val="center"/>
              <w:rPr/>
            </w:pPr>
            <w:r>
              <w:rPr/>
              <w:t> </w:t>
            </w:r>
          </w:p>
        </w:tc>
        <w:tc>
          <w:tcPr>
            <w:tcW w:w="60" w:type="dxa"/>
            <w:tcBorders/>
            <w:shd w:fill="CCEEFF" w:val="clear"/>
            <w:tcMar>
              <w:bottom w:w="0" w:type="dxa"/>
            </w:tcMar>
            <w:vAlign w:val="bottom"/>
          </w:tcPr>
          <w:p>
            <w:pPr>
              <w:pStyle w:val="TableContents"/>
              <w:bidi w:val="0"/>
              <w:spacing w:before="0" w:after="283"/>
              <w:jc w:val="center"/>
              <w:rPr/>
            </w:pPr>
            <w:r>
              <w:rPr/>
              <w:t> </w:t>
            </w:r>
          </w:p>
        </w:tc>
        <w:tc>
          <w:tcPr>
            <w:tcW w:w="201" w:type="dxa"/>
            <w:tcBorders/>
            <w:shd w:fill="CCEEFF" w:val="clear"/>
            <w:tcMar>
              <w:bottom w:w="0" w:type="dxa"/>
            </w:tcMar>
            <w:vAlign w:val="bottom"/>
          </w:tcPr>
          <w:p>
            <w:pPr>
              <w:pStyle w:val="TableContents"/>
              <w:bidi w:val="0"/>
              <w:spacing w:before="0" w:after="283"/>
              <w:jc w:val="center"/>
              <w:rPr/>
            </w:pPr>
            <w:r>
              <w:rPr/>
              <w:t> </w:t>
            </w:r>
          </w:p>
        </w:tc>
        <w:tc>
          <w:tcPr>
            <w:tcW w:w="2308" w:type="dxa"/>
            <w:tcBorders/>
            <w:shd w:fill="CCEEFF" w:val="clear"/>
            <w:tcMar>
              <w:bottom w:w="0" w:type="dxa"/>
            </w:tcMar>
            <w:vAlign w:val="bottom"/>
          </w:tcPr>
          <w:p>
            <w:pPr>
              <w:pStyle w:val="TableContents"/>
              <w:bidi w:val="0"/>
              <w:spacing w:before="0" w:after="0"/>
              <w:jc w:val="center"/>
              <w:rPr>
                <w:color w:val="000000"/>
              </w:rPr>
            </w:pPr>
            <w:r>
              <w:rPr>
                <w:color w:val="000000"/>
              </w:rPr>
              <w:t>100.00</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1895" w:type="dxa"/>
            <w:tcBorders/>
            <w:tcMar>
              <w:bottom w:w="0" w:type="dxa"/>
            </w:tcMar>
            <w:vAlign w:val="bottom"/>
          </w:tcPr>
          <w:p>
            <w:pPr>
              <w:pStyle w:val="TableContents"/>
              <w:bidi w:val="0"/>
              <w:spacing w:before="0" w:after="0"/>
              <w:ind w:left="144" w:right="0" w:hanging="144"/>
              <w:jc w:val="left"/>
              <w:rPr>
                <w:color w:val="000000"/>
              </w:rPr>
            </w:pPr>
            <w:r>
              <w:rPr>
                <w:color w:val="000000"/>
              </w:rPr>
              <w:t>December 31, 2021</w:t>
            </w:r>
          </w:p>
        </w:tc>
        <w:tc>
          <w:tcPr>
            <w:tcW w:w="60" w:type="dxa"/>
            <w:tcBorders/>
            <w:tcMar>
              <w:bottom w:w="0" w:type="dxa"/>
            </w:tcMar>
            <w:vAlign w:val="bottom"/>
          </w:tcPr>
          <w:p>
            <w:pPr>
              <w:pStyle w:val="TableContents"/>
              <w:bidi w:val="0"/>
              <w:spacing w:before="0" w:after="283"/>
              <w:jc w:val="left"/>
              <w:rPr/>
            </w:pPr>
            <w:r>
              <w:rPr/>
              <w:t> </w:t>
            </w:r>
          </w:p>
        </w:tc>
        <w:tc>
          <w:tcPr>
            <w:tcW w:w="69" w:type="dxa"/>
            <w:tcBorders/>
            <w:tcMar>
              <w:bottom w:w="0" w:type="dxa"/>
            </w:tcMar>
            <w:vAlign w:val="bottom"/>
          </w:tcPr>
          <w:p>
            <w:pPr>
              <w:pStyle w:val="TableContents"/>
              <w:bidi w:val="0"/>
              <w:spacing w:before="0" w:after="283"/>
              <w:jc w:val="left"/>
              <w:rPr/>
            </w:pPr>
            <w:r>
              <w:rPr/>
              <w:t> </w:t>
            </w:r>
          </w:p>
        </w:tc>
        <w:tc>
          <w:tcPr>
            <w:tcW w:w="790" w:type="dxa"/>
            <w:tcBorders/>
            <w:tcMar>
              <w:bottom w:w="0" w:type="dxa"/>
            </w:tcMar>
            <w:vAlign w:val="bottom"/>
          </w:tcPr>
          <w:p>
            <w:pPr>
              <w:pStyle w:val="TableContents"/>
              <w:bidi w:val="0"/>
              <w:spacing w:before="0" w:after="0"/>
              <w:jc w:val="center"/>
              <w:rPr>
                <w:color w:val="000000"/>
              </w:rPr>
            </w:pPr>
            <w:r>
              <w:rPr>
                <w:color w:val="000000"/>
              </w:rPr>
              <w:t>95.67</w:t>
            </w:r>
          </w:p>
        </w:tc>
        <w:tc>
          <w:tcPr>
            <w:tcW w:w="60" w:type="dxa"/>
            <w:tcBorders/>
            <w:tcMar>
              <w:bottom w:w="0" w:type="dxa"/>
            </w:tcMar>
            <w:vAlign w:val="bottom"/>
          </w:tcPr>
          <w:p>
            <w:pPr>
              <w:pStyle w:val="TableContents"/>
              <w:bidi w:val="0"/>
              <w:spacing w:before="0" w:after="283"/>
              <w:jc w:val="center"/>
              <w:rPr/>
            </w:pPr>
            <w:r>
              <w:rPr/>
              <w:t> </w:t>
            </w:r>
          </w:p>
        </w:tc>
        <w:tc>
          <w:tcPr>
            <w:tcW w:w="60" w:type="dxa"/>
            <w:tcBorders/>
            <w:tcMar>
              <w:bottom w:w="0" w:type="dxa"/>
            </w:tcMar>
            <w:vAlign w:val="bottom"/>
          </w:tcPr>
          <w:p>
            <w:pPr>
              <w:pStyle w:val="TableContents"/>
              <w:bidi w:val="0"/>
              <w:spacing w:before="0" w:after="283"/>
              <w:jc w:val="center"/>
              <w:rPr/>
            </w:pPr>
            <w:r>
              <w:rPr/>
              <w:t> </w:t>
            </w:r>
          </w:p>
        </w:tc>
        <w:tc>
          <w:tcPr>
            <w:tcW w:w="126" w:type="dxa"/>
            <w:tcBorders/>
            <w:tcMar>
              <w:bottom w:w="0" w:type="dxa"/>
            </w:tcMar>
            <w:vAlign w:val="bottom"/>
          </w:tcPr>
          <w:p>
            <w:pPr>
              <w:pStyle w:val="TableContents"/>
              <w:bidi w:val="0"/>
              <w:spacing w:before="0" w:after="283"/>
              <w:jc w:val="center"/>
              <w:rPr/>
            </w:pPr>
            <w:r>
              <w:rPr/>
              <w:t> </w:t>
            </w:r>
          </w:p>
        </w:tc>
        <w:tc>
          <w:tcPr>
            <w:tcW w:w="1438" w:type="dxa"/>
            <w:tcBorders/>
            <w:tcMar>
              <w:bottom w:w="0" w:type="dxa"/>
            </w:tcMar>
            <w:vAlign w:val="bottom"/>
          </w:tcPr>
          <w:p>
            <w:pPr>
              <w:pStyle w:val="TableContents"/>
              <w:bidi w:val="0"/>
              <w:spacing w:before="0" w:after="0"/>
              <w:jc w:val="center"/>
              <w:rPr>
                <w:color w:val="000000"/>
              </w:rPr>
            </w:pPr>
            <w:r>
              <w:rPr>
                <w:color w:val="000000"/>
              </w:rPr>
              <w:t>128.71</w:t>
            </w:r>
          </w:p>
        </w:tc>
        <w:tc>
          <w:tcPr>
            <w:tcW w:w="60" w:type="dxa"/>
            <w:tcBorders/>
            <w:tcMar>
              <w:bottom w:w="0" w:type="dxa"/>
            </w:tcMar>
            <w:vAlign w:val="bottom"/>
          </w:tcPr>
          <w:p>
            <w:pPr>
              <w:pStyle w:val="TableContents"/>
              <w:bidi w:val="0"/>
              <w:spacing w:before="0" w:after="283"/>
              <w:jc w:val="center"/>
              <w:rPr/>
            </w:pPr>
            <w:r>
              <w:rPr/>
              <w:t> </w:t>
            </w:r>
          </w:p>
        </w:tc>
        <w:tc>
          <w:tcPr>
            <w:tcW w:w="60" w:type="dxa"/>
            <w:tcBorders/>
            <w:tcMar>
              <w:bottom w:w="0" w:type="dxa"/>
            </w:tcMar>
            <w:vAlign w:val="bottom"/>
          </w:tcPr>
          <w:p>
            <w:pPr>
              <w:pStyle w:val="TableContents"/>
              <w:bidi w:val="0"/>
              <w:spacing w:before="0" w:after="283"/>
              <w:jc w:val="center"/>
              <w:rPr/>
            </w:pPr>
            <w:r>
              <w:rPr/>
              <w:t> </w:t>
            </w:r>
          </w:p>
        </w:tc>
        <w:tc>
          <w:tcPr>
            <w:tcW w:w="201" w:type="dxa"/>
            <w:tcBorders/>
            <w:tcMar>
              <w:bottom w:w="0" w:type="dxa"/>
            </w:tcMar>
            <w:vAlign w:val="bottom"/>
          </w:tcPr>
          <w:p>
            <w:pPr>
              <w:pStyle w:val="TableContents"/>
              <w:bidi w:val="0"/>
              <w:spacing w:before="0" w:after="283"/>
              <w:jc w:val="center"/>
              <w:rPr/>
            </w:pPr>
            <w:r>
              <w:rPr/>
              <w:t> </w:t>
            </w:r>
          </w:p>
        </w:tc>
        <w:tc>
          <w:tcPr>
            <w:tcW w:w="2308" w:type="dxa"/>
            <w:tcBorders/>
            <w:tcMar>
              <w:bottom w:w="0" w:type="dxa"/>
            </w:tcMar>
            <w:vAlign w:val="bottom"/>
          </w:tcPr>
          <w:p>
            <w:pPr>
              <w:pStyle w:val="TableContents"/>
              <w:bidi w:val="0"/>
              <w:spacing w:before="0" w:after="0"/>
              <w:jc w:val="center"/>
              <w:rPr>
                <w:color w:val="000000"/>
              </w:rPr>
            </w:pPr>
            <w:r>
              <w:rPr>
                <w:color w:val="000000"/>
              </w:rPr>
              <w:t>128.79</w:t>
            </w:r>
          </w:p>
        </w:tc>
        <w:tc>
          <w:tcPr>
            <w:tcW w:w="60" w:type="dxa"/>
            <w:tcBorders/>
            <w:tcMar>
              <w:bottom w:w="0" w:type="dxa"/>
            </w:tcMar>
            <w:vAlign w:val="bottom"/>
          </w:tcPr>
          <w:p>
            <w:pPr>
              <w:pStyle w:val="TableContents"/>
              <w:bidi w:val="0"/>
              <w:spacing w:before="0" w:after="283"/>
              <w:jc w:val="left"/>
              <w:rPr/>
            </w:pPr>
            <w:r>
              <w:rPr/>
              <w:t> </w:t>
            </w:r>
          </w:p>
        </w:tc>
      </w:tr>
      <w:tr>
        <w:trPr/>
        <w:tc>
          <w:tcPr>
            <w:tcW w:w="1895" w:type="dxa"/>
            <w:tcBorders/>
            <w:shd w:fill="CCEEFF" w:val="clear"/>
            <w:tcMar>
              <w:bottom w:w="0" w:type="dxa"/>
            </w:tcMar>
            <w:vAlign w:val="bottom"/>
          </w:tcPr>
          <w:p>
            <w:pPr>
              <w:pStyle w:val="TableContents"/>
              <w:bidi w:val="0"/>
              <w:spacing w:before="0" w:after="0"/>
              <w:ind w:left="144" w:right="0" w:hanging="144"/>
              <w:jc w:val="left"/>
              <w:rPr>
                <w:color w:val="000000"/>
              </w:rPr>
            </w:pPr>
            <w:r>
              <w:rPr>
                <w:color w:val="000000"/>
              </w:rPr>
              <w:t>December 31, 2022</w:t>
            </w:r>
          </w:p>
        </w:tc>
        <w:tc>
          <w:tcPr>
            <w:tcW w:w="60" w:type="dxa"/>
            <w:tcBorders/>
            <w:shd w:fill="CCEEFF" w:val="clear"/>
            <w:tcMar>
              <w:bottom w:w="0" w:type="dxa"/>
            </w:tcMar>
            <w:vAlign w:val="bottom"/>
          </w:tcPr>
          <w:p>
            <w:pPr>
              <w:pStyle w:val="TableContents"/>
              <w:bidi w:val="0"/>
              <w:spacing w:before="0" w:after="283"/>
              <w:jc w:val="left"/>
              <w:rPr/>
            </w:pPr>
            <w:r>
              <w:rPr/>
              <w:t> </w:t>
            </w:r>
          </w:p>
        </w:tc>
        <w:tc>
          <w:tcPr>
            <w:tcW w:w="69" w:type="dxa"/>
            <w:tcBorders/>
            <w:shd w:fill="CCEEFF" w:val="clear"/>
            <w:tcMar>
              <w:bottom w:w="0" w:type="dxa"/>
            </w:tcMar>
            <w:vAlign w:val="bottom"/>
          </w:tcPr>
          <w:p>
            <w:pPr>
              <w:pStyle w:val="TableContents"/>
              <w:bidi w:val="0"/>
              <w:spacing w:before="0" w:after="283"/>
              <w:jc w:val="left"/>
              <w:rPr/>
            </w:pPr>
            <w:r>
              <w:rPr/>
              <w:t> </w:t>
            </w:r>
          </w:p>
        </w:tc>
        <w:tc>
          <w:tcPr>
            <w:tcW w:w="790" w:type="dxa"/>
            <w:tcBorders/>
            <w:shd w:fill="CCEEFF" w:val="clear"/>
            <w:tcMar>
              <w:bottom w:w="0" w:type="dxa"/>
            </w:tcMar>
            <w:vAlign w:val="bottom"/>
          </w:tcPr>
          <w:p>
            <w:pPr>
              <w:pStyle w:val="TableContents"/>
              <w:bidi w:val="0"/>
              <w:spacing w:before="0" w:after="0"/>
              <w:jc w:val="center"/>
              <w:rPr>
                <w:color w:val="000000"/>
              </w:rPr>
            </w:pPr>
            <w:r>
              <w:rPr>
                <w:color w:val="000000"/>
              </w:rPr>
              <w:t>82.33</w:t>
            </w:r>
          </w:p>
        </w:tc>
        <w:tc>
          <w:tcPr>
            <w:tcW w:w="60" w:type="dxa"/>
            <w:tcBorders/>
            <w:shd w:fill="CCEEFF" w:val="clear"/>
            <w:tcMar>
              <w:bottom w:w="0" w:type="dxa"/>
            </w:tcMar>
            <w:vAlign w:val="bottom"/>
          </w:tcPr>
          <w:p>
            <w:pPr>
              <w:pStyle w:val="TableContents"/>
              <w:bidi w:val="0"/>
              <w:spacing w:before="0" w:after="283"/>
              <w:jc w:val="center"/>
              <w:rPr/>
            </w:pPr>
            <w:r>
              <w:rPr/>
              <w:t> </w:t>
            </w:r>
          </w:p>
        </w:tc>
        <w:tc>
          <w:tcPr>
            <w:tcW w:w="60" w:type="dxa"/>
            <w:tcBorders/>
            <w:shd w:fill="CCEEFF" w:val="clear"/>
            <w:tcMar>
              <w:bottom w:w="0" w:type="dxa"/>
            </w:tcMar>
            <w:vAlign w:val="bottom"/>
          </w:tcPr>
          <w:p>
            <w:pPr>
              <w:pStyle w:val="TableContents"/>
              <w:bidi w:val="0"/>
              <w:spacing w:before="0" w:after="283"/>
              <w:jc w:val="center"/>
              <w:rPr/>
            </w:pPr>
            <w:r>
              <w:rPr/>
              <w:t> </w:t>
            </w:r>
          </w:p>
        </w:tc>
        <w:tc>
          <w:tcPr>
            <w:tcW w:w="126" w:type="dxa"/>
            <w:tcBorders/>
            <w:shd w:fill="CCEEFF" w:val="clear"/>
            <w:tcMar>
              <w:bottom w:w="0" w:type="dxa"/>
            </w:tcMar>
            <w:vAlign w:val="bottom"/>
          </w:tcPr>
          <w:p>
            <w:pPr>
              <w:pStyle w:val="TableContents"/>
              <w:bidi w:val="0"/>
              <w:spacing w:before="0" w:after="283"/>
              <w:jc w:val="center"/>
              <w:rPr/>
            </w:pPr>
            <w:r>
              <w:rPr/>
              <w:t> </w:t>
            </w:r>
          </w:p>
        </w:tc>
        <w:tc>
          <w:tcPr>
            <w:tcW w:w="1438" w:type="dxa"/>
            <w:tcBorders/>
            <w:shd w:fill="CCEEFF" w:val="clear"/>
            <w:tcMar>
              <w:bottom w:w="0" w:type="dxa"/>
            </w:tcMar>
            <w:vAlign w:val="bottom"/>
          </w:tcPr>
          <w:p>
            <w:pPr>
              <w:pStyle w:val="TableContents"/>
              <w:bidi w:val="0"/>
              <w:spacing w:before="0" w:after="0"/>
              <w:jc w:val="center"/>
              <w:rPr>
                <w:color w:val="000000"/>
              </w:rPr>
            </w:pPr>
            <w:r>
              <w:rPr>
                <w:color w:val="000000"/>
              </w:rPr>
              <w:t>105.40</w:t>
            </w:r>
          </w:p>
        </w:tc>
        <w:tc>
          <w:tcPr>
            <w:tcW w:w="60" w:type="dxa"/>
            <w:tcBorders/>
            <w:shd w:fill="CCEEFF" w:val="clear"/>
            <w:tcMar>
              <w:bottom w:w="0" w:type="dxa"/>
            </w:tcMar>
            <w:vAlign w:val="bottom"/>
          </w:tcPr>
          <w:p>
            <w:pPr>
              <w:pStyle w:val="TableContents"/>
              <w:bidi w:val="0"/>
              <w:spacing w:before="0" w:after="283"/>
              <w:jc w:val="center"/>
              <w:rPr/>
            </w:pPr>
            <w:r>
              <w:rPr/>
              <w:t> </w:t>
            </w:r>
          </w:p>
        </w:tc>
        <w:tc>
          <w:tcPr>
            <w:tcW w:w="60" w:type="dxa"/>
            <w:tcBorders/>
            <w:shd w:fill="CCEEFF" w:val="clear"/>
            <w:tcMar>
              <w:bottom w:w="0" w:type="dxa"/>
            </w:tcMar>
            <w:vAlign w:val="bottom"/>
          </w:tcPr>
          <w:p>
            <w:pPr>
              <w:pStyle w:val="TableContents"/>
              <w:bidi w:val="0"/>
              <w:spacing w:before="0" w:after="283"/>
              <w:jc w:val="center"/>
              <w:rPr/>
            </w:pPr>
            <w:r>
              <w:rPr/>
              <w:t> </w:t>
            </w:r>
          </w:p>
        </w:tc>
        <w:tc>
          <w:tcPr>
            <w:tcW w:w="201" w:type="dxa"/>
            <w:tcBorders/>
            <w:shd w:fill="CCEEFF" w:val="clear"/>
            <w:tcMar>
              <w:bottom w:w="0" w:type="dxa"/>
            </w:tcMar>
            <w:vAlign w:val="bottom"/>
          </w:tcPr>
          <w:p>
            <w:pPr>
              <w:pStyle w:val="TableContents"/>
              <w:bidi w:val="0"/>
              <w:spacing w:before="0" w:after="283"/>
              <w:jc w:val="center"/>
              <w:rPr/>
            </w:pPr>
            <w:r>
              <w:rPr/>
              <w:t> </w:t>
            </w:r>
          </w:p>
        </w:tc>
        <w:tc>
          <w:tcPr>
            <w:tcW w:w="2308" w:type="dxa"/>
            <w:tcBorders/>
            <w:shd w:fill="CCEEFF" w:val="clear"/>
            <w:tcMar>
              <w:bottom w:w="0" w:type="dxa"/>
            </w:tcMar>
            <w:vAlign w:val="bottom"/>
          </w:tcPr>
          <w:p>
            <w:pPr>
              <w:pStyle w:val="TableContents"/>
              <w:bidi w:val="0"/>
              <w:spacing w:before="0" w:after="0"/>
              <w:jc w:val="center"/>
              <w:rPr>
                <w:color w:val="000000"/>
              </w:rPr>
            </w:pPr>
            <w:r>
              <w:rPr>
                <w:color w:val="000000"/>
              </w:rPr>
              <w:t>120.46</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1895" w:type="dxa"/>
            <w:tcBorders/>
            <w:tcMar>
              <w:bottom w:w="0" w:type="dxa"/>
            </w:tcMar>
            <w:vAlign w:val="bottom"/>
          </w:tcPr>
          <w:p>
            <w:pPr>
              <w:pStyle w:val="TableContents"/>
              <w:bidi w:val="0"/>
              <w:spacing w:before="0" w:after="0"/>
              <w:ind w:left="144" w:right="0" w:hanging="144"/>
              <w:jc w:val="left"/>
              <w:rPr>
                <w:color w:val="000000"/>
              </w:rPr>
            </w:pPr>
            <w:r>
              <w:rPr>
                <w:color w:val="000000"/>
              </w:rPr>
              <w:t>December 31, 2023</w:t>
            </w:r>
          </w:p>
        </w:tc>
        <w:tc>
          <w:tcPr>
            <w:tcW w:w="60" w:type="dxa"/>
            <w:tcBorders/>
            <w:tcMar>
              <w:bottom w:w="0" w:type="dxa"/>
            </w:tcMar>
            <w:vAlign w:val="bottom"/>
          </w:tcPr>
          <w:p>
            <w:pPr>
              <w:pStyle w:val="TableContents"/>
              <w:bidi w:val="0"/>
              <w:spacing w:before="0" w:after="283"/>
              <w:jc w:val="left"/>
              <w:rPr/>
            </w:pPr>
            <w:r>
              <w:rPr/>
              <w:t> </w:t>
            </w:r>
          </w:p>
        </w:tc>
        <w:tc>
          <w:tcPr>
            <w:tcW w:w="69" w:type="dxa"/>
            <w:tcBorders/>
            <w:tcMar>
              <w:bottom w:w="0" w:type="dxa"/>
            </w:tcMar>
            <w:vAlign w:val="bottom"/>
          </w:tcPr>
          <w:p>
            <w:pPr>
              <w:pStyle w:val="TableContents"/>
              <w:bidi w:val="0"/>
              <w:spacing w:before="0" w:after="283"/>
              <w:jc w:val="left"/>
              <w:rPr/>
            </w:pPr>
            <w:r>
              <w:rPr/>
              <w:t> </w:t>
            </w:r>
          </w:p>
        </w:tc>
        <w:tc>
          <w:tcPr>
            <w:tcW w:w="790" w:type="dxa"/>
            <w:tcBorders/>
            <w:tcMar>
              <w:bottom w:w="0" w:type="dxa"/>
            </w:tcMar>
            <w:vAlign w:val="bottom"/>
          </w:tcPr>
          <w:p>
            <w:pPr>
              <w:pStyle w:val="TableContents"/>
              <w:bidi w:val="0"/>
              <w:spacing w:before="0" w:after="0"/>
              <w:jc w:val="center"/>
              <w:rPr>
                <w:color w:val="000000"/>
              </w:rPr>
            </w:pPr>
            <w:r>
              <w:rPr>
                <w:color w:val="000000"/>
              </w:rPr>
              <w:t>40.27</w:t>
            </w:r>
          </w:p>
        </w:tc>
        <w:tc>
          <w:tcPr>
            <w:tcW w:w="60" w:type="dxa"/>
            <w:tcBorders/>
            <w:tcMar>
              <w:bottom w:w="0" w:type="dxa"/>
            </w:tcMar>
            <w:vAlign w:val="bottom"/>
          </w:tcPr>
          <w:p>
            <w:pPr>
              <w:pStyle w:val="TableContents"/>
              <w:bidi w:val="0"/>
              <w:spacing w:before="0" w:after="283"/>
              <w:jc w:val="center"/>
              <w:rPr/>
            </w:pPr>
            <w:r>
              <w:rPr/>
              <w:t> </w:t>
            </w:r>
          </w:p>
        </w:tc>
        <w:tc>
          <w:tcPr>
            <w:tcW w:w="60" w:type="dxa"/>
            <w:tcBorders/>
            <w:tcMar>
              <w:bottom w:w="0" w:type="dxa"/>
            </w:tcMar>
            <w:vAlign w:val="bottom"/>
          </w:tcPr>
          <w:p>
            <w:pPr>
              <w:pStyle w:val="TableContents"/>
              <w:bidi w:val="0"/>
              <w:spacing w:before="0" w:after="283"/>
              <w:jc w:val="center"/>
              <w:rPr/>
            </w:pPr>
            <w:r>
              <w:rPr/>
              <w:t> </w:t>
            </w:r>
          </w:p>
        </w:tc>
        <w:tc>
          <w:tcPr>
            <w:tcW w:w="126" w:type="dxa"/>
            <w:tcBorders/>
            <w:tcMar>
              <w:bottom w:w="0" w:type="dxa"/>
            </w:tcMar>
            <w:vAlign w:val="bottom"/>
          </w:tcPr>
          <w:p>
            <w:pPr>
              <w:pStyle w:val="TableContents"/>
              <w:bidi w:val="0"/>
              <w:spacing w:before="0" w:after="283"/>
              <w:jc w:val="center"/>
              <w:rPr/>
            </w:pPr>
            <w:r>
              <w:rPr/>
              <w:t> </w:t>
            </w:r>
          </w:p>
        </w:tc>
        <w:tc>
          <w:tcPr>
            <w:tcW w:w="1438" w:type="dxa"/>
            <w:tcBorders/>
            <w:tcMar>
              <w:bottom w:w="0" w:type="dxa"/>
            </w:tcMar>
            <w:vAlign w:val="bottom"/>
          </w:tcPr>
          <w:p>
            <w:pPr>
              <w:pStyle w:val="TableContents"/>
              <w:bidi w:val="0"/>
              <w:spacing w:before="0" w:after="0"/>
              <w:jc w:val="center"/>
              <w:rPr>
                <w:color w:val="000000"/>
              </w:rPr>
            </w:pPr>
            <w:r>
              <w:rPr>
                <w:color w:val="000000"/>
              </w:rPr>
              <w:t>133.10</w:t>
            </w:r>
          </w:p>
        </w:tc>
        <w:tc>
          <w:tcPr>
            <w:tcW w:w="60" w:type="dxa"/>
            <w:tcBorders/>
            <w:tcMar>
              <w:bottom w:w="0" w:type="dxa"/>
            </w:tcMar>
            <w:vAlign w:val="bottom"/>
          </w:tcPr>
          <w:p>
            <w:pPr>
              <w:pStyle w:val="TableContents"/>
              <w:bidi w:val="0"/>
              <w:spacing w:before="0" w:after="283"/>
              <w:jc w:val="center"/>
              <w:rPr/>
            </w:pPr>
            <w:r>
              <w:rPr/>
              <w:t> </w:t>
            </w:r>
          </w:p>
        </w:tc>
        <w:tc>
          <w:tcPr>
            <w:tcW w:w="60" w:type="dxa"/>
            <w:tcBorders/>
            <w:tcMar>
              <w:bottom w:w="0" w:type="dxa"/>
            </w:tcMar>
            <w:vAlign w:val="bottom"/>
          </w:tcPr>
          <w:p>
            <w:pPr>
              <w:pStyle w:val="TableContents"/>
              <w:bidi w:val="0"/>
              <w:spacing w:before="0" w:after="283"/>
              <w:jc w:val="center"/>
              <w:rPr/>
            </w:pPr>
            <w:r>
              <w:rPr/>
              <w:t> </w:t>
            </w:r>
          </w:p>
        </w:tc>
        <w:tc>
          <w:tcPr>
            <w:tcW w:w="201" w:type="dxa"/>
            <w:tcBorders/>
            <w:tcMar>
              <w:bottom w:w="0" w:type="dxa"/>
            </w:tcMar>
            <w:vAlign w:val="bottom"/>
          </w:tcPr>
          <w:p>
            <w:pPr>
              <w:pStyle w:val="TableContents"/>
              <w:bidi w:val="0"/>
              <w:spacing w:before="0" w:after="283"/>
              <w:jc w:val="center"/>
              <w:rPr/>
            </w:pPr>
            <w:r>
              <w:rPr/>
              <w:t> </w:t>
            </w:r>
          </w:p>
        </w:tc>
        <w:tc>
          <w:tcPr>
            <w:tcW w:w="2308" w:type="dxa"/>
            <w:tcBorders/>
            <w:tcMar>
              <w:bottom w:w="0" w:type="dxa"/>
            </w:tcMar>
            <w:vAlign w:val="bottom"/>
          </w:tcPr>
          <w:p>
            <w:pPr>
              <w:pStyle w:val="TableContents"/>
              <w:bidi w:val="0"/>
              <w:spacing w:before="0" w:after="0"/>
              <w:jc w:val="center"/>
              <w:rPr>
                <w:color w:val="000000"/>
              </w:rPr>
            </w:pPr>
            <w:r>
              <w:rPr>
                <w:color w:val="000000"/>
              </w:rPr>
              <w:t>138.51</w:t>
            </w:r>
          </w:p>
        </w:tc>
        <w:tc>
          <w:tcPr>
            <w:tcW w:w="60" w:type="dxa"/>
            <w:tcBorders/>
            <w:tcMar>
              <w:bottom w:w="0" w:type="dxa"/>
            </w:tcMar>
            <w:vAlign w:val="bottom"/>
          </w:tcPr>
          <w:p>
            <w:pPr>
              <w:pStyle w:val="TableContents"/>
              <w:bidi w:val="0"/>
              <w:spacing w:before="0" w:after="283"/>
              <w:jc w:val="left"/>
              <w:rPr/>
            </w:pPr>
            <w:r>
              <w:rPr/>
              <w:t> </w:t>
            </w:r>
          </w:p>
        </w:tc>
      </w:tr>
      <w:tr>
        <w:trPr/>
        <w:tc>
          <w:tcPr>
            <w:tcW w:w="1895" w:type="dxa"/>
            <w:tcBorders/>
            <w:shd w:fill="CCEEFF" w:val="clear"/>
            <w:tcMar>
              <w:bottom w:w="0" w:type="dxa"/>
            </w:tcMar>
            <w:vAlign w:val="bottom"/>
          </w:tcPr>
          <w:p>
            <w:pPr>
              <w:pStyle w:val="TableContents"/>
              <w:bidi w:val="0"/>
              <w:spacing w:before="0" w:after="0"/>
              <w:ind w:left="144" w:right="0" w:hanging="144"/>
              <w:jc w:val="left"/>
              <w:rPr>
                <w:color w:val="000000"/>
              </w:rPr>
            </w:pPr>
            <w:r>
              <w:rPr>
                <w:color w:val="000000"/>
              </w:rPr>
              <w:t>December 31, 2024</w:t>
            </w:r>
          </w:p>
        </w:tc>
        <w:tc>
          <w:tcPr>
            <w:tcW w:w="60" w:type="dxa"/>
            <w:tcBorders/>
            <w:shd w:fill="CCEEFF" w:val="clear"/>
            <w:tcMar>
              <w:bottom w:w="0" w:type="dxa"/>
            </w:tcMar>
            <w:vAlign w:val="bottom"/>
          </w:tcPr>
          <w:p>
            <w:pPr>
              <w:pStyle w:val="TableContents"/>
              <w:bidi w:val="0"/>
              <w:spacing w:before="0" w:after="283"/>
              <w:jc w:val="left"/>
              <w:rPr/>
            </w:pPr>
            <w:r>
              <w:rPr/>
              <w:t> </w:t>
            </w:r>
          </w:p>
        </w:tc>
        <w:tc>
          <w:tcPr>
            <w:tcW w:w="69" w:type="dxa"/>
            <w:tcBorders/>
            <w:shd w:fill="CCEEFF" w:val="clear"/>
            <w:tcMar>
              <w:bottom w:w="0" w:type="dxa"/>
            </w:tcMar>
            <w:vAlign w:val="bottom"/>
          </w:tcPr>
          <w:p>
            <w:pPr>
              <w:pStyle w:val="TableContents"/>
              <w:bidi w:val="0"/>
              <w:spacing w:before="0" w:after="283"/>
              <w:jc w:val="left"/>
              <w:rPr/>
            </w:pPr>
            <w:r>
              <w:rPr/>
              <w:t> </w:t>
            </w:r>
          </w:p>
        </w:tc>
        <w:tc>
          <w:tcPr>
            <w:tcW w:w="790" w:type="dxa"/>
            <w:tcBorders/>
            <w:shd w:fill="CCEEFF" w:val="clear"/>
            <w:tcMar>
              <w:bottom w:w="0" w:type="dxa"/>
            </w:tcMar>
            <w:vAlign w:val="bottom"/>
          </w:tcPr>
          <w:p>
            <w:pPr>
              <w:pStyle w:val="TableContents"/>
              <w:bidi w:val="0"/>
              <w:spacing w:before="0" w:after="0"/>
              <w:jc w:val="center"/>
              <w:rPr>
                <w:color w:val="000000"/>
              </w:rPr>
            </w:pPr>
            <w:r>
              <w:rPr>
                <w:color w:val="000000"/>
              </w:rPr>
              <w:t>14.63</w:t>
            </w:r>
          </w:p>
        </w:tc>
        <w:tc>
          <w:tcPr>
            <w:tcW w:w="60" w:type="dxa"/>
            <w:tcBorders/>
            <w:shd w:fill="CCEEFF" w:val="clear"/>
            <w:tcMar>
              <w:bottom w:w="0" w:type="dxa"/>
            </w:tcMar>
            <w:vAlign w:val="bottom"/>
          </w:tcPr>
          <w:p>
            <w:pPr>
              <w:pStyle w:val="TableContents"/>
              <w:bidi w:val="0"/>
              <w:spacing w:before="0" w:after="283"/>
              <w:jc w:val="center"/>
              <w:rPr/>
            </w:pPr>
            <w:r>
              <w:rPr/>
              <w:t> </w:t>
            </w:r>
          </w:p>
        </w:tc>
        <w:tc>
          <w:tcPr>
            <w:tcW w:w="60" w:type="dxa"/>
            <w:tcBorders/>
            <w:shd w:fill="CCEEFF" w:val="clear"/>
            <w:tcMar>
              <w:bottom w:w="0" w:type="dxa"/>
            </w:tcMar>
            <w:vAlign w:val="bottom"/>
          </w:tcPr>
          <w:p>
            <w:pPr>
              <w:pStyle w:val="TableContents"/>
              <w:bidi w:val="0"/>
              <w:spacing w:before="0" w:after="283"/>
              <w:jc w:val="center"/>
              <w:rPr/>
            </w:pPr>
            <w:r>
              <w:rPr/>
              <w:t> </w:t>
            </w:r>
          </w:p>
        </w:tc>
        <w:tc>
          <w:tcPr>
            <w:tcW w:w="126" w:type="dxa"/>
            <w:tcBorders/>
            <w:shd w:fill="CCEEFF" w:val="clear"/>
            <w:tcMar>
              <w:bottom w:w="0" w:type="dxa"/>
            </w:tcMar>
            <w:vAlign w:val="bottom"/>
          </w:tcPr>
          <w:p>
            <w:pPr>
              <w:pStyle w:val="TableContents"/>
              <w:bidi w:val="0"/>
              <w:spacing w:before="0" w:after="283"/>
              <w:jc w:val="center"/>
              <w:rPr/>
            </w:pPr>
            <w:r>
              <w:rPr/>
              <w:t> </w:t>
            </w:r>
          </w:p>
        </w:tc>
        <w:tc>
          <w:tcPr>
            <w:tcW w:w="1438" w:type="dxa"/>
            <w:tcBorders/>
            <w:shd w:fill="CCEEFF" w:val="clear"/>
            <w:tcMar>
              <w:bottom w:w="0" w:type="dxa"/>
            </w:tcMar>
            <w:vAlign w:val="bottom"/>
          </w:tcPr>
          <w:p>
            <w:pPr>
              <w:pStyle w:val="TableContents"/>
              <w:bidi w:val="0"/>
              <w:spacing w:before="0" w:after="0"/>
              <w:jc w:val="center"/>
              <w:rPr>
                <w:color w:val="000000"/>
              </w:rPr>
            </w:pPr>
            <w:r>
              <w:rPr>
                <w:color w:val="000000"/>
              </w:rPr>
              <w:t>166.40</w:t>
            </w:r>
          </w:p>
        </w:tc>
        <w:tc>
          <w:tcPr>
            <w:tcW w:w="60" w:type="dxa"/>
            <w:tcBorders/>
            <w:shd w:fill="CCEEFF" w:val="clear"/>
            <w:tcMar>
              <w:bottom w:w="0" w:type="dxa"/>
            </w:tcMar>
            <w:vAlign w:val="bottom"/>
          </w:tcPr>
          <w:p>
            <w:pPr>
              <w:pStyle w:val="TableContents"/>
              <w:bidi w:val="0"/>
              <w:spacing w:before="0" w:after="283"/>
              <w:jc w:val="center"/>
              <w:rPr/>
            </w:pPr>
            <w:r>
              <w:rPr/>
              <w:t> </w:t>
            </w:r>
          </w:p>
        </w:tc>
        <w:tc>
          <w:tcPr>
            <w:tcW w:w="60" w:type="dxa"/>
            <w:tcBorders/>
            <w:shd w:fill="CCEEFF" w:val="clear"/>
            <w:tcMar>
              <w:bottom w:w="0" w:type="dxa"/>
            </w:tcMar>
            <w:vAlign w:val="bottom"/>
          </w:tcPr>
          <w:p>
            <w:pPr>
              <w:pStyle w:val="TableContents"/>
              <w:bidi w:val="0"/>
              <w:spacing w:before="0" w:after="283"/>
              <w:jc w:val="center"/>
              <w:rPr/>
            </w:pPr>
            <w:r>
              <w:rPr/>
              <w:t> </w:t>
            </w:r>
          </w:p>
        </w:tc>
        <w:tc>
          <w:tcPr>
            <w:tcW w:w="201" w:type="dxa"/>
            <w:tcBorders/>
            <w:shd w:fill="CCEEFF" w:val="clear"/>
            <w:tcMar>
              <w:bottom w:w="0" w:type="dxa"/>
            </w:tcMar>
            <w:vAlign w:val="bottom"/>
          </w:tcPr>
          <w:p>
            <w:pPr>
              <w:pStyle w:val="TableContents"/>
              <w:bidi w:val="0"/>
              <w:spacing w:before="0" w:after="283"/>
              <w:jc w:val="center"/>
              <w:rPr/>
            </w:pPr>
            <w:r>
              <w:rPr/>
              <w:t> </w:t>
            </w:r>
          </w:p>
        </w:tc>
        <w:tc>
          <w:tcPr>
            <w:tcW w:w="2308" w:type="dxa"/>
            <w:tcBorders/>
            <w:shd w:fill="CCEEFF" w:val="clear"/>
            <w:tcMar>
              <w:bottom w:w="0" w:type="dxa"/>
            </w:tcMar>
            <w:vAlign w:val="bottom"/>
          </w:tcPr>
          <w:p>
            <w:pPr>
              <w:pStyle w:val="TableContents"/>
              <w:bidi w:val="0"/>
              <w:spacing w:before="0" w:after="0"/>
              <w:jc w:val="center"/>
              <w:rPr>
                <w:color w:val="000000"/>
              </w:rPr>
            </w:pPr>
            <w:r>
              <w:rPr>
                <w:color w:val="000000"/>
              </w:rPr>
              <w:t>140.20</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1895" w:type="dxa"/>
            <w:tcBorders/>
            <w:tcMar>
              <w:bottom w:w="0" w:type="dxa"/>
            </w:tcMar>
            <w:vAlign w:val="bottom"/>
          </w:tcPr>
          <w:p>
            <w:pPr>
              <w:pStyle w:val="TableContents"/>
              <w:bidi w:val="0"/>
              <w:spacing w:before="0" w:after="0"/>
              <w:ind w:left="144" w:right="0" w:hanging="144"/>
              <w:jc w:val="left"/>
              <w:rPr>
                <w:color w:val="000000"/>
              </w:rPr>
            </w:pPr>
            <w:r>
              <w:rPr>
                <w:color w:val="000000"/>
              </w:rPr>
              <w:t>December 31, 2025</w:t>
            </w:r>
          </w:p>
        </w:tc>
        <w:tc>
          <w:tcPr>
            <w:tcW w:w="60" w:type="dxa"/>
            <w:tcBorders/>
            <w:tcMar>
              <w:bottom w:w="0" w:type="dxa"/>
            </w:tcMar>
            <w:vAlign w:val="bottom"/>
          </w:tcPr>
          <w:p>
            <w:pPr>
              <w:pStyle w:val="TableContents"/>
              <w:bidi w:val="0"/>
              <w:spacing w:before="0" w:after="283"/>
              <w:jc w:val="left"/>
              <w:rPr/>
            </w:pPr>
            <w:r>
              <w:rPr/>
              <w:t> </w:t>
            </w:r>
          </w:p>
        </w:tc>
        <w:tc>
          <w:tcPr>
            <w:tcW w:w="69" w:type="dxa"/>
            <w:tcBorders/>
            <w:tcMar>
              <w:bottom w:w="0" w:type="dxa"/>
            </w:tcMar>
            <w:vAlign w:val="bottom"/>
          </w:tcPr>
          <w:p>
            <w:pPr>
              <w:pStyle w:val="TableContents"/>
              <w:bidi w:val="0"/>
              <w:spacing w:before="0" w:after="283"/>
              <w:jc w:val="left"/>
              <w:rPr/>
            </w:pPr>
            <w:r>
              <w:rPr/>
              <w:t> </w:t>
            </w:r>
          </w:p>
        </w:tc>
        <w:tc>
          <w:tcPr>
            <w:tcW w:w="790" w:type="dxa"/>
            <w:tcBorders/>
            <w:tcMar>
              <w:bottom w:w="0" w:type="dxa"/>
            </w:tcMar>
            <w:vAlign w:val="bottom"/>
          </w:tcPr>
          <w:p>
            <w:pPr>
              <w:pStyle w:val="TableContents"/>
              <w:bidi w:val="0"/>
              <w:spacing w:before="0" w:after="0"/>
              <w:jc w:val="center"/>
              <w:rPr>
                <w:color w:val="000000"/>
              </w:rPr>
            </w:pPr>
            <w:r>
              <w:rPr>
                <w:color w:val="000000"/>
              </w:rPr>
              <w:t>20.95</w:t>
            </w:r>
          </w:p>
        </w:tc>
        <w:tc>
          <w:tcPr>
            <w:tcW w:w="60" w:type="dxa"/>
            <w:tcBorders/>
            <w:tcMar>
              <w:bottom w:w="0" w:type="dxa"/>
            </w:tcMar>
            <w:vAlign w:val="bottom"/>
          </w:tcPr>
          <w:p>
            <w:pPr>
              <w:pStyle w:val="TableContents"/>
              <w:bidi w:val="0"/>
              <w:spacing w:before="0" w:after="283"/>
              <w:jc w:val="center"/>
              <w:rPr/>
            </w:pPr>
            <w:r>
              <w:rPr/>
              <w:t> </w:t>
            </w:r>
          </w:p>
        </w:tc>
        <w:tc>
          <w:tcPr>
            <w:tcW w:w="60" w:type="dxa"/>
            <w:tcBorders/>
            <w:tcMar>
              <w:bottom w:w="0" w:type="dxa"/>
            </w:tcMar>
            <w:vAlign w:val="bottom"/>
          </w:tcPr>
          <w:p>
            <w:pPr>
              <w:pStyle w:val="TableContents"/>
              <w:bidi w:val="0"/>
              <w:spacing w:before="0" w:after="283"/>
              <w:jc w:val="center"/>
              <w:rPr/>
            </w:pPr>
            <w:r>
              <w:rPr/>
              <w:t> </w:t>
            </w:r>
          </w:p>
        </w:tc>
        <w:tc>
          <w:tcPr>
            <w:tcW w:w="126" w:type="dxa"/>
            <w:tcBorders/>
            <w:tcMar>
              <w:bottom w:w="0" w:type="dxa"/>
            </w:tcMar>
            <w:vAlign w:val="bottom"/>
          </w:tcPr>
          <w:p>
            <w:pPr>
              <w:pStyle w:val="TableContents"/>
              <w:bidi w:val="0"/>
              <w:spacing w:before="0" w:after="283"/>
              <w:jc w:val="center"/>
              <w:rPr/>
            </w:pPr>
            <w:r>
              <w:rPr/>
              <w:t> </w:t>
            </w:r>
          </w:p>
        </w:tc>
        <w:tc>
          <w:tcPr>
            <w:tcW w:w="1438" w:type="dxa"/>
            <w:tcBorders/>
            <w:tcMar>
              <w:bottom w:w="0" w:type="dxa"/>
            </w:tcMar>
            <w:vAlign w:val="bottom"/>
          </w:tcPr>
          <w:p>
            <w:pPr>
              <w:pStyle w:val="TableContents"/>
              <w:bidi w:val="0"/>
              <w:spacing w:before="0" w:after="0"/>
              <w:jc w:val="center"/>
              <w:rPr>
                <w:color w:val="000000"/>
              </w:rPr>
            </w:pPr>
            <w:r>
              <w:rPr>
                <w:color w:val="000000"/>
              </w:rPr>
              <w:t>196.16</w:t>
            </w:r>
          </w:p>
        </w:tc>
        <w:tc>
          <w:tcPr>
            <w:tcW w:w="60" w:type="dxa"/>
            <w:tcBorders/>
            <w:tcMar>
              <w:bottom w:w="0" w:type="dxa"/>
            </w:tcMar>
            <w:vAlign w:val="bottom"/>
          </w:tcPr>
          <w:p>
            <w:pPr>
              <w:pStyle w:val="TableContents"/>
              <w:bidi w:val="0"/>
              <w:spacing w:before="0" w:after="283"/>
              <w:jc w:val="center"/>
              <w:rPr/>
            </w:pPr>
            <w:r>
              <w:rPr/>
              <w:t> </w:t>
            </w:r>
          </w:p>
        </w:tc>
        <w:tc>
          <w:tcPr>
            <w:tcW w:w="60" w:type="dxa"/>
            <w:tcBorders/>
            <w:tcMar>
              <w:bottom w:w="0" w:type="dxa"/>
            </w:tcMar>
            <w:vAlign w:val="bottom"/>
          </w:tcPr>
          <w:p>
            <w:pPr>
              <w:pStyle w:val="TableContents"/>
              <w:bidi w:val="0"/>
              <w:spacing w:before="0" w:after="283"/>
              <w:jc w:val="center"/>
              <w:rPr/>
            </w:pPr>
            <w:r>
              <w:rPr/>
              <w:t> </w:t>
            </w:r>
          </w:p>
        </w:tc>
        <w:tc>
          <w:tcPr>
            <w:tcW w:w="201" w:type="dxa"/>
            <w:tcBorders/>
            <w:tcMar>
              <w:bottom w:w="0" w:type="dxa"/>
            </w:tcMar>
            <w:vAlign w:val="bottom"/>
          </w:tcPr>
          <w:p>
            <w:pPr>
              <w:pStyle w:val="TableContents"/>
              <w:bidi w:val="0"/>
              <w:spacing w:before="0" w:after="283"/>
              <w:jc w:val="center"/>
              <w:rPr/>
            </w:pPr>
            <w:r>
              <w:rPr/>
              <w:t> </w:t>
            </w:r>
          </w:p>
        </w:tc>
        <w:tc>
          <w:tcPr>
            <w:tcW w:w="2308" w:type="dxa"/>
            <w:tcBorders/>
            <w:tcMar>
              <w:bottom w:w="0" w:type="dxa"/>
            </w:tcMar>
            <w:vAlign w:val="bottom"/>
          </w:tcPr>
          <w:p>
            <w:pPr>
              <w:pStyle w:val="TableContents"/>
              <w:bidi w:val="0"/>
              <w:spacing w:before="0" w:after="0"/>
              <w:jc w:val="center"/>
              <w:rPr>
                <w:color w:val="000000"/>
              </w:rPr>
            </w:pPr>
            <w:r>
              <w:rPr>
                <w:color w:val="000000"/>
              </w:rPr>
              <w:t>116.43</w:t>
            </w:r>
          </w:p>
        </w:tc>
        <w:tc>
          <w:tcPr>
            <w:tcW w:w="60" w:type="dxa"/>
            <w:tcBorders/>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stock performance graph above shall not be deemed to be “soliciting material” or to be “filed” with the U.S. Securities and Exchange Commission or subject to the liabilities of Section 18 under the Securities Exchange Act of 1934, as amended (the “Exchange Act”). In addition, it shall not be deemed incorporated by reference by any statement that incorporates this Annual Report on Form 10-K by reference into any filing under the Securities Act of 1933 (the “Securities Act”) or the Exchange Act, except to the extent that we specifically incorporate this information by reference.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RESERVED"/>
      <w:bookmarkStart w:id="31" w:name="RESERVED"/>
      <w:bookmarkEnd w:id="31"/>
    </w:p>
    <w:tbl>
      <w:tblPr>
        <w:tblW w:w="2305" w:type="dxa"/>
        <w:jc w:val="left"/>
        <w:tblInd w:w="0" w:type="dxa"/>
        <w:tblLayout w:type="fixed"/>
        <w:tblCellMar>
          <w:top w:w="0" w:type="dxa"/>
          <w:left w:w="0" w:type="dxa"/>
          <w:bottom w:w="0" w:type="dxa"/>
          <w:right w:w="0" w:type="dxa"/>
        </w:tblCellMar>
      </w:tblPr>
      <w:tblGrid>
        <w:gridCol w:w="920"/>
        <w:gridCol w:w="1385"/>
      </w:tblGrid>
      <w:tr>
        <w:trPr/>
        <w:tc>
          <w:tcPr>
            <w:tcW w:w="920" w:type="dxa"/>
            <w:tcBorders/>
            <w:vAlign w:val="center"/>
          </w:tcPr>
          <w:p>
            <w:pPr>
              <w:pStyle w:val="TableContents"/>
              <w:bidi w:val="0"/>
              <w:spacing w:before="0" w:after="283"/>
              <w:jc w:val="left"/>
              <w:rPr>
                <w:b/>
                <w:color w:val="000000"/>
              </w:rPr>
            </w:pPr>
            <w:r>
              <w:rPr>
                <w:b/>
                <w:color w:val="000000"/>
              </w:rPr>
              <w:t>ITEM 6.</w:t>
            </w:r>
          </w:p>
        </w:tc>
        <w:tc>
          <w:tcPr>
            <w:tcW w:w="1385" w:type="dxa"/>
            <w:tcBorders/>
            <w:vAlign w:val="center"/>
          </w:tcPr>
          <w:p>
            <w:pPr>
              <w:pStyle w:val="TableContents"/>
              <w:bidi w:val="0"/>
              <w:spacing w:before="0" w:after="0"/>
              <w:jc w:val="left"/>
              <w:rPr>
                <w:b/>
                <w:color w:val="000000"/>
                <w:u w:val="single"/>
              </w:rPr>
            </w:pPr>
            <w:r>
              <w:rPr>
                <w:b/>
                <w:color w:val="000000"/>
                <w:u w:val="single"/>
              </w:rPr>
              <w:t>RESERVED</w:t>
            </w:r>
          </w:p>
        </w:tc>
      </w:tr>
    </w:tbl>
    <w:p>
      <w:pPr>
        <w:pStyle w:val="TextBody"/>
        <w:bidi w:val="0"/>
        <w:spacing w:before="0" w:after="0"/>
        <w:jc w:val="left"/>
        <w:rPr/>
      </w:pPr>
      <w:r>
        <w:rPr/>
      </w:r>
    </w:p>
    <w:p>
      <w:pPr>
        <w:pStyle w:val="TextBody"/>
        <w:bidi w:val="0"/>
        <w:spacing w:before="0" w:after="0"/>
        <w:ind w:left="360" w:right="0" w:hanging="360"/>
        <w:jc w:val="both"/>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Normal"/>
        <w:bidi w:val="0"/>
        <w:spacing w:before="0" w:after="0"/>
        <w:jc w:val="left"/>
        <w:rPr>
          <w:sz w:val="4"/>
          <w:szCs w:val="4"/>
        </w:rPr>
      </w:pPr>
      <w:r>
        <w:rPr>
          <w:sz w:val="4"/>
          <w:szCs w:val="4"/>
        </w:rPr>
      </w:r>
      <w:bookmarkStart w:id="32" w:name="MANAGEMENTSDISCUSSION"/>
      <w:bookmarkStart w:id="33" w:name="MANAGEMENTSDISCUSSION"/>
      <w:bookmarkEnd w:id="33"/>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color w:val="000000"/>
              </w:rPr>
            </w:pPr>
            <w:r>
              <w:rPr>
                <w:b/>
                <w:color w:val="000000"/>
              </w:rPr>
              <w:t>ITEM 7.</w:t>
            </w:r>
          </w:p>
        </w:tc>
        <w:tc>
          <w:tcPr>
            <w:tcW w:w="9361" w:type="dxa"/>
            <w:tcBorders/>
            <w:vAlign w:val="center"/>
          </w:tcPr>
          <w:p>
            <w:pPr>
              <w:pStyle w:val="TableContents"/>
              <w:bidi w:val="0"/>
              <w:spacing w:before="0" w:after="0"/>
              <w:jc w:val="both"/>
              <w:rPr>
                <w:b/>
                <w:color w:val="000000"/>
                <w:u w:val="single"/>
              </w:rPr>
            </w:pPr>
            <w:r>
              <w:rPr>
                <w:b/>
                <w:color w:val="000000"/>
                <w:u w:val="single"/>
              </w:rPr>
              <w:t>MANAGEMENT’S DISCUSSION AND ANALYSIS OF FINANCIAL CONDITION AND RESULTS OF OPERATIONS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discussion of our financial condition and results of operations should be read in conjunction with the consolidated financial statements and related notes, which are included in this Annual Report on Form 10-K.</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Business Overview</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Our Products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Nu Skin Enterprises, Inc. develops and distributes a comprehensive line of premium-quality beauty and wellness solutions in nearly 50 markets worldwide. In 2025, our revenue of $1.5 billion was primarily generated by our two primary product categories: beauty products and wellness products. We operate in the direct selling channel, primarily utilizing person-to-person marketing to promote and sell our products, including through the use of social and digital platforms.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addition to our core Nu Skin business, we also explore new areas of synergistic and adjacent growth through our strategic investment arm known as Rhyz Inc., which we formed in 2018. Our Rhyz businesses primarily consist of consumer, technology and manufacturing companies. In 2025, the Rhyz companies generated $223.6 million, or 15%, of our 2025 reported revenue (excluding sales to our core Nu Skin business). As discussed further in “Rhyz Companies,” below, in January 2025 we sold one of our Rhyz businesses that accounted for $69.6 million of our 2024 reported revenue. Our Rhyz companies enable us to optimize our cost of goods, improve lead times, diversify our revenue mix, and create synergies for our brands.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Our Global Operations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2025, we generated approximately 26% of our revenue from the United States (consisting of our Nu Skin United States and Rhyz businesses) and the remainder from our international markets. Given the size of our international operations, our results, as reported in U.S. dollars, are often impacted by foreign-currency fluctuations; in 2025, our revenue was negatively impacted 0.8% from foreign-currency fluctuations compared to 2024. Our results also can be impacted by global economic, political, demographic and business trends and conditions.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A Global Network of Customers, Paid Affiliates and Sales Leaders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December 31, 2025, we had 748,796 persons who purchased directly from the company during the previous three months (“Customers”). Our Customer numbers include members of our sales force who made such a purchase, including Paid Affiliates and those who qualify as Sales Leaders, but they do not include consumers who purchase directly from members of our sales force. We believe a significant majority of Customers purchase our products primarily for personal or family consumption but are not actively pursuing the opportunity to generate supplemental income by actively and consistently marketing and reselling products.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revenue is highly influenced by the number and productivity of our Sales Leaders. “Sales Leaders” are our Brand Affiliates, as well as sales employees and independent marketers in Mainland China, who achieve certain qualification requirements. Our reported Sales Leaders number is the three-month average of our monthly Sales Leaders as of the end of each month of the quarter.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we continue to focus on customer acquisition and social commerce, we believe our number of Paid Affiliates is an important indicator of consumer purchasing activity in our business. “Paid Affiliates” are any Brand Affiliates, as well as members of our sales force in Mainland China, who earned sales compensation during the previous three months. Paid Affiliates power our social commerce model and are a bridge to attracting new customers and nurturing relationships and community.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been successful in attracting and motivating our sales force by:</w:t>
      </w:r>
    </w:p>
    <w:p>
      <w:pPr>
        <w:pStyle w:val="TextBody"/>
        <w:bidi w:val="0"/>
        <w:spacing w:before="0" w:after="0"/>
        <w:jc w:val="left"/>
        <w:rPr/>
      </w:pPr>
      <w:r>
        <w:rPr/>
      </w:r>
    </w:p>
    <w:tbl>
      <w:tblPr>
        <w:tblW w:w="8853" w:type="dxa"/>
        <w:jc w:val="left"/>
        <w:tblInd w:w="0" w:type="dxa"/>
        <w:tblLayout w:type="fixed"/>
        <w:tblCellMar>
          <w:top w:w="0" w:type="dxa"/>
          <w:left w:w="0" w:type="dxa"/>
          <w:bottom w:w="0" w:type="dxa"/>
          <w:right w:w="0" w:type="dxa"/>
        </w:tblCellMar>
      </w:tblPr>
      <w:tblGrid>
        <w:gridCol w:w="38"/>
        <w:gridCol w:w="170"/>
        <w:gridCol w:w="864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8645" w:type="dxa"/>
            <w:tcBorders/>
            <w:vAlign w:val="center"/>
          </w:tcPr>
          <w:p>
            <w:pPr>
              <w:pStyle w:val="TableContents"/>
              <w:bidi w:val="0"/>
              <w:spacing w:before="0" w:after="0"/>
              <w:jc w:val="both"/>
              <w:rPr>
                <w:color w:val="000000"/>
              </w:rPr>
            </w:pPr>
            <w:r>
              <w:rPr>
                <w:color w:val="000000"/>
              </w:rPr>
              <w:t>developing and marketing innovative, technologically and scientifically advanced products;</w:t>
            </w:r>
          </w:p>
        </w:tc>
      </w:tr>
    </w:tbl>
    <w:tbl>
      <w:tblPr>
        <w:tblW w:w="5508" w:type="dxa"/>
        <w:jc w:val="left"/>
        <w:tblInd w:w="0" w:type="dxa"/>
        <w:tblLayout w:type="fixed"/>
        <w:tblCellMar>
          <w:top w:w="0" w:type="dxa"/>
          <w:left w:w="0" w:type="dxa"/>
          <w:bottom w:w="0" w:type="dxa"/>
          <w:right w:w="0" w:type="dxa"/>
        </w:tblCellMar>
      </w:tblPr>
      <w:tblGrid>
        <w:gridCol w:w="38"/>
        <w:gridCol w:w="170"/>
        <w:gridCol w:w="530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5300" w:type="dxa"/>
            <w:tcBorders/>
            <w:vAlign w:val="center"/>
          </w:tcPr>
          <w:p>
            <w:pPr>
              <w:pStyle w:val="TableContents"/>
              <w:bidi w:val="0"/>
              <w:spacing w:before="0" w:after="0"/>
              <w:jc w:val="both"/>
              <w:rPr>
                <w:color w:val="000000"/>
              </w:rPr>
            </w:pPr>
            <w:r>
              <w:rPr>
                <w:color w:val="000000"/>
              </w:rPr>
              <w:t>providing compelling initiatives and strong support; and</w:t>
            </w:r>
          </w:p>
        </w:tc>
      </w:tr>
    </w:tbl>
    <w:tbl>
      <w:tblPr>
        <w:tblW w:w="8373" w:type="dxa"/>
        <w:jc w:val="left"/>
        <w:tblInd w:w="0" w:type="dxa"/>
        <w:tblLayout w:type="fixed"/>
        <w:tblCellMar>
          <w:top w:w="0" w:type="dxa"/>
          <w:left w:w="0" w:type="dxa"/>
          <w:bottom w:w="0" w:type="dxa"/>
          <w:right w:w="0" w:type="dxa"/>
        </w:tblCellMar>
      </w:tblPr>
      <w:tblGrid>
        <w:gridCol w:w="38"/>
        <w:gridCol w:w="170"/>
        <w:gridCol w:w="816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8165" w:type="dxa"/>
            <w:tcBorders/>
            <w:vAlign w:val="center"/>
          </w:tcPr>
          <w:p>
            <w:pPr>
              <w:pStyle w:val="TableContents"/>
              <w:bidi w:val="0"/>
              <w:spacing w:before="0" w:after="0"/>
              <w:jc w:val="both"/>
              <w:rPr>
                <w:color w:val="000000"/>
              </w:rPr>
            </w:pPr>
            <w:r>
              <w:rPr>
                <w:color w:val="000000"/>
              </w:rPr>
              <w:t>offering an attractive sales compensation, incentive, and recognition rewards structure.</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global sales force helps us to rapidly introduce products and penetrate our markets with modest up-front promotional expense. We rely on our sales force to create consumer demand for our products, as opposed to a traditional approach of advertising-generated consumer awareness. Our approach is particularly effective with products that benefit from personal education and demonstration. Similar to other companies in our industry, we experience relatively high turnover among our sales force.</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To enhance customer retention, we have developed product subscription and loyalty programs that provide incentives for consumers to commit to purchase a specific amount of product on a monthly basis. Several of our products are conducive to subscriptions. For example, </w:t>
      </w:r>
      <w:r>
        <w:rPr>
          <w:rFonts w:ascii="Times New Roman;Times;serif" w:hAnsi="Times New Roman;Times;serif"/>
          <w:i/>
          <w:color w:val="000000"/>
          <w:sz w:val="20"/>
          <w:shd w:fill="FFFFFF" w:val="clear"/>
        </w:rPr>
        <w:t>Prysm iO</w:t>
      </w:r>
      <w:r>
        <w:rPr>
          <w:rFonts w:ascii="Times New Roman;Times;serif" w:hAnsi="Times New Roman;Times;serif"/>
          <w:color w:val="000000"/>
          <w:sz w:val="20"/>
          <w:shd w:fill="FFFFFF" w:val="clear"/>
        </w:rPr>
        <w:t xml:space="preserve"> and its accompanying mobile application are designed to generate subscription sales. All purchases under these programs are subject to our standard product payment and return policies. We believe these subscription and loyalty programs have improved consumer retention, have had a stabilizing impact on revenue and have helped generate recurring sales.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Product Innovation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sales force markets and sells our products, and attracts others to the opportunity, based on the distinguishing benefits and innovative characteristics of our products. As a result, we leverage our scientific expertise and product development resources to introduce innovative beauty, wellness and anti-aging products. Our sales force is increasingly using social media to market and sell our products. To continue to leverage social media, it is imperative that we develop demonstrable products that are unique and engaging to younger consumers. We strive to strike a balance between the expenses associated with our scientific expertise and sales compensation with a competitive price point.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Any delays or difficulties in introducing compelling products or attractive initiatives or tools into our markets may have a negative impact on our revenue and our number of Customers, Paid Affiliates and Sales Leaders.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Our Product Launch Process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Prior to making a product generally available for purchase in a market, we often do one or more introductory offerings of the product, such as a preview of the product to our Sales Leaders or other product introduction or promotion. We refer to the entire process, beginning with the introductory offering through general availability of the product, as a product launch or our product launch process. The timing of the launch of a particular product often varies from market to market depending on such factors as customer demand, affiliate brand focus, product registration or other local legal requirements, and product availability in our supply chain.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Sales Leader previews and other product introductions and promotions sometimes generate significant activity and a high level of purchasing, which can result in a higher-than-normal increase in revenue, Customers, Paid Affiliates and Sales Leaders during the quarter and skew year-over-year and sequential comparisons. We believe our product launch process attracts new Customers, Paid Affiliates and Sales Leaders to our business, increases consumer trial, and provides us with important marketing and forecasting information about our products. Please refer to Item 1A. Risk Factors for more information on risks related to our product launch process.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Income Statement Presentation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report revenue in nine segments, and we translate revenue from each market’s local currency into U.S. dollars using weighted-average exchange rates. Revenue is measured as the amount of consideration we expect to receive in exchange for transferring products. All revenue associated with a contract is recognized when we satisfy our performance obligations under the contract. We recognize revenue by transferring the promised products to the customer, with revenue primarily recognized at shipping point, the point in time the customer obtains control of the products. We recognize revenue for shipping and handling charges at the time the products are delivered to or picked up by the customer. In most markets, we offer a return policy that allows our sales force to return unopened and unused product for up to 30 days for a full refund, or 12 months subject to a 10% restocking fee. Reported revenue is net of returns, which have historically been less than 5% of annual revenue. Sales taxes and value added taxes in foreign jurisdictions that are collected from customers and remitted to governmental authorities are accounted for on a net basis and therefore are excluded from net sales.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Cost of sales primarily consists of:</w:t>
      </w:r>
    </w:p>
    <w:p>
      <w:pPr>
        <w:pStyle w:val="TextBody"/>
        <w:bidi w:val="0"/>
        <w:spacing w:before="0" w:after="0"/>
        <w:jc w:val="left"/>
        <w:rPr/>
      </w:pPr>
      <w:r>
        <w:rPr/>
      </w:r>
    </w:p>
    <w:tbl>
      <w:tblPr>
        <w:tblW w:w="5193" w:type="dxa"/>
        <w:jc w:val="left"/>
        <w:tblInd w:w="0" w:type="dxa"/>
        <w:tblLayout w:type="fixed"/>
        <w:tblCellMar>
          <w:top w:w="0" w:type="dxa"/>
          <w:left w:w="0" w:type="dxa"/>
          <w:bottom w:w="0" w:type="dxa"/>
          <w:right w:w="0" w:type="dxa"/>
        </w:tblCellMar>
      </w:tblPr>
      <w:tblGrid>
        <w:gridCol w:w="38"/>
        <w:gridCol w:w="170"/>
        <w:gridCol w:w="498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4985" w:type="dxa"/>
            <w:tcBorders/>
            <w:vAlign w:val="center"/>
          </w:tcPr>
          <w:p>
            <w:pPr>
              <w:pStyle w:val="TableContents"/>
              <w:bidi w:val="0"/>
              <w:spacing w:before="0" w:after="0"/>
              <w:jc w:val="both"/>
              <w:rPr>
                <w:color w:val="000000"/>
              </w:rPr>
            </w:pPr>
            <w:r>
              <w:rPr>
                <w:color w:val="000000"/>
              </w:rPr>
              <w:t>cost of products purchased from third-party vendors;</w:t>
            </w:r>
          </w:p>
        </w:tc>
      </w:tr>
    </w:tbl>
    <w:tbl>
      <w:tblPr>
        <w:tblW w:w="3558" w:type="dxa"/>
        <w:jc w:val="left"/>
        <w:tblInd w:w="0" w:type="dxa"/>
        <w:tblLayout w:type="fixed"/>
        <w:tblCellMar>
          <w:top w:w="0" w:type="dxa"/>
          <w:left w:w="0" w:type="dxa"/>
          <w:bottom w:w="0" w:type="dxa"/>
          <w:right w:w="0" w:type="dxa"/>
        </w:tblCellMar>
      </w:tblPr>
      <w:tblGrid>
        <w:gridCol w:w="38"/>
        <w:gridCol w:w="170"/>
        <w:gridCol w:w="335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3350" w:type="dxa"/>
            <w:tcBorders/>
            <w:vAlign w:val="center"/>
          </w:tcPr>
          <w:p>
            <w:pPr>
              <w:pStyle w:val="TableContents"/>
              <w:bidi w:val="0"/>
              <w:spacing w:before="0" w:after="0"/>
              <w:jc w:val="both"/>
              <w:rPr>
                <w:color w:val="000000"/>
              </w:rPr>
            </w:pPr>
            <w:r>
              <w:rPr>
                <w:color w:val="000000"/>
              </w:rPr>
              <w:t>cost of self-manufactured products;</w:t>
            </w:r>
          </w:p>
        </w:tc>
      </w:tr>
    </w:tbl>
    <w:tbl>
      <w:tblPr>
        <w:tblW w:w="4713" w:type="dxa"/>
        <w:jc w:val="left"/>
        <w:tblInd w:w="0" w:type="dxa"/>
        <w:tblLayout w:type="fixed"/>
        <w:tblCellMar>
          <w:top w:w="0" w:type="dxa"/>
          <w:left w:w="0" w:type="dxa"/>
          <w:bottom w:w="0" w:type="dxa"/>
          <w:right w:w="0" w:type="dxa"/>
        </w:tblCellMar>
      </w:tblPr>
      <w:tblGrid>
        <w:gridCol w:w="38"/>
        <w:gridCol w:w="170"/>
        <w:gridCol w:w="450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4505" w:type="dxa"/>
            <w:tcBorders/>
            <w:vAlign w:val="center"/>
          </w:tcPr>
          <w:p>
            <w:pPr>
              <w:pStyle w:val="TableContents"/>
              <w:bidi w:val="0"/>
              <w:spacing w:before="0" w:after="0"/>
              <w:jc w:val="both"/>
              <w:rPr>
                <w:color w:val="000000"/>
              </w:rPr>
            </w:pPr>
            <w:r>
              <w:rPr>
                <w:color w:val="000000"/>
              </w:rPr>
              <w:t>cost of adjustments to inventory carrying value;</w:t>
            </w:r>
          </w:p>
        </w:tc>
      </w:tr>
    </w:tbl>
    <w:tbl>
      <w:tblPr>
        <w:tblW w:w="5403" w:type="dxa"/>
        <w:jc w:val="left"/>
        <w:tblInd w:w="0" w:type="dxa"/>
        <w:tblLayout w:type="fixed"/>
        <w:tblCellMar>
          <w:top w:w="0" w:type="dxa"/>
          <w:left w:w="0" w:type="dxa"/>
          <w:bottom w:w="0" w:type="dxa"/>
          <w:right w:w="0" w:type="dxa"/>
        </w:tblCellMar>
      </w:tblPr>
      <w:tblGrid>
        <w:gridCol w:w="38"/>
        <w:gridCol w:w="170"/>
        <w:gridCol w:w="519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5195" w:type="dxa"/>
            <w:tcBorders/>
            <w:vAlign w:val="center"/>
          </w:tcPr>
          <w:p>
            <w:pPr>
              <w:pStyle w:val="TableContents"/>
              <w:bidi w:val="0"/>
              <w:spacing w:before="0" w:after="0"/>
              <w:jc w:val="both"/>
              <w:rPr>
                <w:color w:val="000000"/>
              </w:rPr>
            </w:pPr>
            <w:r>
              <w:rPr>
                <w:color w:val="000000"/>
              </w:rPr>
              <w:t>cost of manufacturing and distribution occupancy cost;</w:t>
            </w:r>
          </w:p>
        </w:tc>
      </w:tr>
    </w:tbl>
    <w:tbl>
      <w:tblPr>
        <w:tblW w:w="5253" w:type="dxa"/>
        <w:jc w:val="left"/>
        <w:tblInd w:w="0" w:type="dxa"/>
        <w:tblLayout w:type="fixed"/>
        <w:tblCellMar>
          <w:top w:w="0" w:type="dxa"/>
          <w:left w:w="0" w:type="dxa"/>
          <w:bottom w:w="0" w:type="dxa"/>
          <w:right w:w="0" w:type="dxa"/>
        </w:tblCellMar>
      </w:tblPr>
      <w:tblGrid>
        <w:gridCol w:w="38"/>
        <w:gridCol w:w="170"/>
        <w:gridCol w:w="504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5045" w:type="dxa"/>
            <w:tcBorders/>
            <w:vAlign w:val="center"/>
          </w:tcPr>
          <w:p>
            <w:pPr>
              <w:pStyle w:val="TableContents"/>
              <w:bidi w:val="0"/>
              <w:spacing w:before="0" w:after="0"/>
              <w:jc w:val="both"/>
              <w:rPr>
                <w:color w:val="000000"/>
              </w:rPr>
            </w:pPr>
            <w:r>
              <w:rPr>
                <w:color w:val="000000"/>
              </w:rPr>
              <w:t>labor cost associated with the manufacturing process;</w:t>
            </w:r>
          </w:p>
        </w:tc>
      </w:tr>
    </w:tbl>
    <w:tbl>
      <w:tblPr>
        <w:tblW w:w="8658" w:type="dxa"/>
        <w:jc w:val="left"/>
        <w:tblInd w:w="0" w:type="dxa"/>
        <w:tblLayout w:type="fixed"/>
        <w:tblCellMar>
          <w:top w:w="0" w:type="dxa"/>
          <w:left w:w="0" w:type="dxa"/>
          <w:bottom w:w="0" w:type="dxa"/>
          <w:right w:w="0" w:type="dxa"/>
        </w:tblCellMar>
      </w:tblPr>
      <w:tblGrid>
        <w:gridCol w:w="38"/>
        <w:gridCol w:w="170"/>
        <w:gridCol w:w="845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8450" w:type="dxa"/>
            <w:tcBorders/>
            <w:vAlign w:val="center"/>
          </w:tcPr>
          <w:p>
            <w:pPr>
              <w:pStyle w:val="TableContents"/>
              <w:bidi w:val="0"/>
              <w:spacing w:before="0" w:after="0"/>
              <w:jc w:val="both"/>
              <w:rPr>
                <w:color w:val="000000"/>
              </w:rPr>
            </w:pPr>
            <w:r>
              <w:rPr>
                <w:color w:val="000000"/>
              </w:rPr>
              <w:t>freight cost of shipping products to our sales force and import duties for the products; and</w:t>
            </w:r>
          </w:p>
        </w:tc>
      </w:tr>
    </w:tbl>
    <w:tbl>
      <w:tblPr>
        <w:tblW w:w="5508" w:type="dxa"/>
        <w:jc w:val="left"/>
        <w:tblInd w:w="0" w:type="dxa"/>
        <w:tblLayout w:type="fixed"/>
        <w:tblCellMar>
          <w:top w:w="0" w:type="dxa"/>
          <w:left w:w="0" w:type="dxa"/>
          <w:bottom w:w="0" w:type="dxa"/>
          <w:right w:w="0" w:type="dxa"/>
        </w:tblCellMar>
      </w:tblPr>
      <w:tblGrid>
        <w:gridCol w:w="38"/>
        <w:gridCol w:w="170"/>
        <w:gridCol w:w="530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5300" w:type="dxa"/>
            <w:tcBorders/>
            <w:vAlign w:val="center"/>
          </w:tcPr>
          <w:p>
            <w:pPr>
              <w:pStyle w:val="TableContents"/>
              <w:bidi w:val="0"/>
              <w:spacing w:before="0" w:after="0"/>
              <w:jc w:val="both"/>
              <w:rPr>
                <w:color w:val="000000"/>
              </w:rPr>
            </w:pPr>
            <w:r>
              <w:rPr>
                <w:color w:val="000000"/>
              </w:rPr>
              <w:t>royalties and related expenses for licensed technologies.</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50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markets other than Mainland China, in 2025, we sourced most of our beauty products and wellness products from trusted third-party suppliers and manufacturers. In Mainland China, we operate manufacturing facilities where we produce the majority of our beauty and wellness products sold in Mainland China. We also produce some products at these facilities that are exported to other markets. In addition, our Rhyz Manufacturing entities in the United States are producing some of our products. Cost of sales and gross profit, on a consolidated basis, may fluctuate as a result of changes in the ratio between self-manufactured products and products sourced from third-party vendors. In addition, because we purchase a significant amount of our goods in U.S. dollars and recognize revenue in local currencies, our gross margin is subject to exchange rate risks. Because our gross margins vary from product to product and due to higher pricing in some markets, changes in product mix and geographic revenue mix can impact our gross margin on a consolidated basis.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Selling expenses are our most significant expense and are classified as operating expenses. Selling expenses include sales commissions paid to our sales force, special incentives, costs for incentive trips, cost of sales force conventions and other rewards, as well as salaries, service fees, benefits, bonuses and other labor and unemployment expenses we pay to our sales force in Mainland China. The sales force conventions are held in various markets worldwide, which we generally expense in the period in which they are incurred. Because our various sales force conventions are not held during each fiscal year, or in the same period each year, their impact on our general and administrative expenses may vary from year to year and from quarter to quarter. For example, we currently plan to hold a global convention approximately every other year. We held our last in-person global convention in the third quarter of 2024, with an east event in South Korea and a west event in the United States, and we currently plan to hold our next in-person global convention in the third quarter of 2026. These conventions have significant expenses associated with them. Because we have not incurred expenses for these conventions during every fiscal year or in comparable interim periods, year-over-year comparisons have been impacted accordingly. Selling expenses do not include amounts we pay to our sales force based on their personal purchases; rather, such amounts are reflected as reductions to revenue. Our global sales compensation plan, which we employ in all our markets except Mainland China, is an important factor in our ability to attract and retain our Sales Leaders. Under our global sales compensation plan, Sales Leaders can earn “multi-level” compensation, where they earn commissions for product sales to their consumer groups as well as the product sales made through the sales network they have developed and trained. We do not pay commissions on business portfolios. Fluctuations occur in the amount of commissions paid as our numbers of Customers and Sales Leaders change from month to month, but the fluctuation in the overall payout as a percentage of revenue tends to be relatively small. Selling expenses as a percentage of revenue typically increase in connection with a significant product offering, due to growth in the number of Sales Leaders qualifying for increased sales compensation and promotional incentives. From time to time, we make modifications and enhancements to our global sales compensation plan in an effort to help motivate our sales force and develop leadership characteristics, which can have an impact on selling expenses.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Outside of Mainland China, Brand Affiliates also have the opportunity to make profits by purchasing products from us at a discount and selling them to consumers with a mark-up. We do not account for, nor pay, additional commissions on these mark-ups received by Brand Affiliates. In many markets, we also allow individuals who are not part of our sales force, whom we refer to as “preferred customers,” to buy products directly from us at a discount. We pay commissions on preferred customer purchases to the referring member of our sales force.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General and administrative expenses include:</w:t>
      </w:r>
    </w:p>
    <w:p>
      <w:pPr>
        <w:pStyle w:val="TextBody"/>
        <w:bidi w:val="0"/>
        <w:spacing w:before="0" w:after="0"/>
        <w:jc w:val="left"/>
        <w:rPr/>
      </w:pPr>
      <w:r>
        <w:rPr/>
      </w:r>
    </w:p>
    <w:tbl>
      <w:tblPr>
        <w:tblW w:w="2103" w:type="dxa"/>
        <w:jc w:val="left"/>
        <w:tblInd w:w="0" w:type="dxa"/>
        <w:tblLayout w:type="fixed"/>
        <w:tblCellMar>
          <w:top w:w="0" w:type="dxa"/>
          <w:left w:w="0" w:type="dxa"/>
          <w:bottom w:w="0" w:type="dxa"/>
          <w:right w:w="0" w:type="dxa"/>
        </w:tblCellMar>
      </w:tblPr>
      <w:tblGrid>
        <w:gridCol w:w="38"/>
        <w:gridCol w:w="170"/>
        <w:gridCol w:w="189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1895" w:type="dxa"/>
            <w:tcBorders/>
            <w:vAlign w:val="center"/>
          </w:tcPr>
          <w:p>
            <w:pPr>
              <w:pStyle w:val="TableContents"/>
              <w:bidi w:val="0"/>
              <w:spacing w:before="0" w:after="0"/>
              <w:jc w:val="both"/>
              <w:rPr>
                <w:color w:val="000000"/>
              </w:rPr>
            </w:pPr>
            <w:r>
              <w:rPr>
                <w:color w:val="000000"/>
              </w:rPr>
              <w:t>wages and benefits;</w:t>
            </w:r>
          </w:p>
        </w:tc>
      </w:tr>
    </w:tbl>
    <w:tbl>
      <w:tblPr>
        <w:tblW w:w="1893" w:type="dxa"/>
        <w:jc w:val="left"/>
        <w:tblInd w:w="0" w:type="dxa"/>
        <w:tblLayout w:type="fixed"/>
        <w:tblCellMar>
          <w:top w:w="0" w:type="dxa"/>
          <w:left w:w="0" w:type="dxa"/>
          <w:bottom w:w="0" w:type="dxa"/>
          <w:right w:w="0" w:type="dxa"/>
        </w:tblCellMar>
      </w:tblPr>
      <w:tblGrid>
        <w:gridCol w:w="38"/>
        <w:gridCol w:w="170"/>
        <w:gridCol w:w="168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1685" w:type="dxa"/>
            <w:tcBorders/>
            <w:vAlign w:val="center"/>
          </w:tcPr>
          <w:p>
            <w:pPr>
              <w:pStyle w:val="TableContents"/>
              <w:bidi w:val="0"/>
              <w:spacing w:before="0" w:after="0"/>
              <w:jc w:val="both"/>
              <w:rPr>
                <w:color w:val="000000"/>
              </w:rPr>
            </w:pPr>
            <w:r>
              <w:rPr>
                <w:color w:val="000000"/>
              </w:rPr>
              <w:t>rents and utilities;</w:t>
            </w:r>
          </w:p>
        </w:tc>
      </w:tr>
    </w:tbl>
    <w:tbl>
      <w:tblPr>
        <w:tblW w:w="3093" w:type="dxa"/>
        <w:jc w:val="left"/>
        <w:tblInd w:w="0" w:type="dxa"/>
        <w:tblLayout w:type="fixed"/>
        <w:tblCellMar>
          <w:top w:w="0" w:type="dxa"/>
          <w:left w:w="0" w:type="dxa"/>
          <w:bottom w:w="0" w:type="dxa"/>
          <w:right w:w="0" w:type="dxa"/>
        </w:tblCellMar>
      </w:tblPr>
      <w:tblGrid>
        <w:gridCol w:w="38"/>
        <w:gridCol w:w="170"/>
        <w:gridCol w:w="288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2885" w:type="dxa"/>
            <w:tcBorders/>
            <w:vAlign w:val="center"/>
          </w:tcPr>
          <w:p>
            <w:pPr>
              <w:pStyle w:val="TableContents"/>
              <w:bidi w:val="0"/>
              <w:spacing w:before="0" w:after="0"/>
              <w:jc w:val="both"/>
              <w:rPr>
                <w:color w:val="000000"/>
              </w:rPr>
            </w:pPr>
            <w:r>
              <w:rPr>
                <w:color w:val="000000"/>
              </w:rPr>
              <w:t>depreciation and amortization;</w:t>
            </w:r>
          </w:p>
        </w:tc>
      </w:tr>
    </w:tbl>
    <w:tbl>
      <w:tblPr>
        <w:tblW w:w="2778" w:type="dxa"/>
        <w:jc w:val="left"/>
        <w:tblInd w:w="0" w:type="dxa"/>
        <w:tblLayout w:type="fixed"/>
        <w:tblCellMar>
          <w:top w:w="0" w:type="dxa"/>
          <w:left w:w="0" w:type="dxa"/>
          <w:bottom w:w="0" w:type="dxa"/>
          <w:right w:w="0" w:type="dxa"/>
        </w:tblCellMar>
      </w:tblPr>
      <w:tblGrid>
        <w:gridCol w:w="38"/>
        <w:gridCol w:w="170"/>
        <w:gridCol w:w="257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2570" w:type="dxa"/>
            <w:tcBorders/>
            <w:vAlign w:val="center"/>
          </w:tcPr>
          <w:p>
            <w:pPr>
              <w:pStyle w:val="TableContents"/>
              <w:bidi w:val="0"/>
              <w:spacing w:before="0" w:after="0"/>
              <w:jc w:val="both"/>
              <w:rPr>
                <w:color w:val="000000"/>
              </w:rPr>
            </w:pPr>
            <w:r>
              <w:rPr>
                <w:color w:val="000000"/>
              </w:rPr>
              <w:t>promotion and advertising;</w:t>
            </w:r>
          </w:p>
        </w:tc>
      </w:tr>
    </w:tbl>
    <w:tbl>
      <w:tblPr>
        <w:tblW w:w="1878" w:type="dxa"/>
        <w:jc w:val="left"/>
        <w:tblInd w:w="0" w:type="dxa"/>
        <w:tblLayout w:type="fixed"/>
        <w:tblCellMar>
          <w:top w:w="0" w:type="dxa"/>
          <w:left w:w="0" w:type="dxa"/>
          <w:bottom w:w="0" w:type="dxa"/>
          <w:right w:w="0" w:type="dxa"/>
        </w:tblCellMar>
      </w:tblPr>
      <w:tblGrid>
        <w:gridCol w:w="38"/>
        <w:gridCol w:w="170"/>
        <w:gridCol w:w="167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1670" w:type="dxa"/>
            <w:tcBorders/>
            <w:vAlign w:val="center"/>
          </w:tcPr>
          <w:p>
            <w:pPr>
              <w:pStyle w:val="TableContents"/>
              <w:bidi w:val="0"/>
              <w:spacing w:before="0" w:after="0"/>
              <w:jc w:val="both"/>
              <w:rPr>
                <w:color w:val="000000"/>
              </w:rPr>
            </w:pPr>
            <w:r>
              <w:rPr>
                <w:color w:val="000000"/>
              </w:rPr>
              <w:t>professional fees;</w:t>
            </w:r>
          </w:p>
        </w:tc>
      </w:tr>
    </w:tbl>
    <w:tbl>
      <w:tblPr>
        <w:tblW w:w="828" w:type="dxa"/>
        <w:jc w:val="left"/>
        <w:tblInd w:w="0" w:type="dxa"/>
        <w:tblLayout w:type="fixed"/>
        <w:tblCellMar>
          <w:top w:w="0" w:type="dxa"/>
          <w:left w:w="0" w:type="dxa"/>
          <w:bottom w:w="0" w:type="dxa"/>
          <w:right w:w="0" w:type="dxa"/>
        </w:tblCellMar>
      </w:tblPr>
      <w:tblGrid>
        <w:gridCol w:w="38"/>
        <w:gridCol w:w="170"/>
        <w:gridCol w:w="62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620" w:type="dxa"/>
            <w:tcBorders/>
            <w:vAlign w:val="center"/>
          </w:tcPr>
          <w:p>
            <w:pPr>
              <w:pStyle w:val="TableContents"/>
              <w:bidi w:val="0"/>
              <w:spacing w:before="0" w:after="0"/>
              <w:jc w:val="both"/>
              <w:rPr>
                <w:color w:val="000000"/>
              </w:rPr>
            </w:pPr>
            <w:r>
              <w:rPr>
                <w:color w:val="000000"/>
              </w:rPr>
              <w:t>travel;</w:t>
            </w:r>
          </w:p>
        </w:tc>
      </w:tr>
    </w:tbl>
    <w:tbl>
      <w:tblPr>
        <w:tblW w:w="3168" w:type="dxa"/>
        <w:jc w:val="left"/>
        <w:tblInd w:w="0" w:type="dxa"/>
        <w:tblLayout w:type="fixed"/>
        <w:tblCellMar>
          <w:top w:w="0" w:type="dxa"/>
          <w:left w:w="0" w:type="dxa"/>
          <w:bottom w:w="0" w:type="dxa"/>
          <w:right w:w="0" w:type="dxa"/>
        </w:tblCellMar>
      </w:tblPr>
      <w:tblGrid>
        <w:gridCol w:w="38"/>
        <w:gridCol w:w="170"/>
        <w:gridCol w:w="296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2960" w:type="dxa"/>
            <w:tcBorders/>
            <w:vAlign w:val="center"/>
          </w:tcPr>
          <w:p>
            <w:pPr>
              <w:pStyle w:val="TableContents"/>
              <w:bidi w:val="0"/>
              <w:spacing w:before="0" w:after="0"/>
              <w:jc w:val="both"/>
              <w:rPr>
                <w:color w:val="000000"/>
              </w:rPr>
            </w:pPr>
            <w:r>
              <w:rPr>
                <w:color w:val="000000"/>
              </w:rPr>
              <w:t>research and development; and</w:t>
            </w:r>
          </w:p>
        </w:tc>
      </w:tr>
    </w:tbl>
    <w:tbl>
      <w:tblPr>
        <w:tblW w:w="2643" w:type="dxa"/>
        <w:jc w:val="left"/>
        <w:tblInd w:w="0" w:type="dxa"/>
        <w:tblLayout w:type="fixed"/>
        <w:tblCellMar>
          <w:top w:w="0" w:type="dxa"/>
          <w:left w:w="0" w:type="dxa"/>
          <w:bottom w:w="0" w:type="dxa"/>
          <w:right w:w="0" w:type="dxa"/>
        </w:tblCellMar>
      </w:tblPr>
      <w:tblGrid>
        <w:gridCol w:w="38"/>
        <w:gridCol w:w="170"/>
        <w:gridCol w:w="243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2435" w:type="dxa"/>
            <w:tcBorders/>
            <w:vAlign w:val="center"/>
          </w:tcPr>
          <w:p>
            <w:pPr>
              <w:pStyle w:val="TableContents"/>
              <w:bidi w:val="0"/>
              <w:spacing w:before="0" w:after="0"/>
              <w:jc w:val="both"/>
              <w:rPr>
                <w:color w:val="000000"/>
              </w:rPr>
            </w:pPr>
            <w:r>
              <w:rPr>
                <w:color w:val="000000"/>
              </w:rPr>
              <w:t>other operating expenses.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Labor expenses are the most significant portion of our general and administrative expenses.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Provision for income taxes depends on the statutory tax rates and the withholding taxes in each of the jurisdictions in which we operate. For example, statutory tax rates in 2025 were approximately 17% in Hong Kong, 20% in Taiwan, 21% in South Korea, 32% in Japan and 25% in Mainland China. We are subject to taxation in the United States at the statutory corporate federal tax rate of 21% in 2025, and we pay taxes in multiple states within the United States at various tax rates. Our overall effective tax rate was 18.3% for the year ended December 31, 2025.</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51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Critical Accounting Policies and Estimates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critical accounting policies and estimates should be read in conjunction with our audited consolidated financial statements and related notes thereto. Management considers our critical accounting policies to be accounting for income taxes and accounting for intangible assets. In each of these areas, management makes estimates based on historical results, current trends and future projections.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Income Taxes</w:t>
      </w:r>
      <w:r>
        <w:rPr>
          <w:rFonts w:ascii="Times New Roman" w:hAnsi="Times New Roman"/>
          <w:color w:val="000000"/>
          <w:sz w:val="20"/>
          <w:shd w:fill="FFFFFF" w:val="clear"/>
        </w:rPr>
        <w:t>. We account for income taxes in accordance with the Income Taxes Topic of the Financial Accounting Standards Codification</w:t>
      </w:r>
      <w:r>
        <w:rPr>
          <w:rFonts w:ascii="Times New Roman" w:hAnsi="Times New Roman"/>
          <w:i/>
          <w:color w:val="000000"/>
          <w:sz w:val="20"/>
          <w:shd w:fill="FFFFFF" w:val="clear"/>
        </w:rPr>
        <w:t xml:space="preserve">. </w:t>
      </w:r>
      <w:r>
        <w:rPr>
          <w:rFonts w:ascii="Times New Roman" w:hAnsi="Times New Roman"/>
          <w:color w:val="000000"/>
          <w:sz w:val="20"/>
          <w:shd w:fill="FFFFFF" w:val="clear"/>
        </w:rPr>
        <w:t>This Topic establishes financial accounting and reporting standards for the effects of income taxes that result from an enterprise’s activities during the current and preceding years. We take an asset and liability approach for financial accounting and reporting of income taxes. We pay income taxes in many foreign jurisdictions based on the profits realized in those jurisdictions, which can be significantly impacted by terms of intercompany transactions between Nu Skin affiliates around the world. Deferred tax assets and liabilities are created in this process. As of December 31, 2025, we had net deferred tax assets of $171.4 million. We net these deferred tax assets and deferred tax liabilities by jurisdiction. Valuation allowances are established when necessary to reduce deferred tax assets to the amounts expected to be ultimately realized. These deferred tax assets assume sufficient future earnings will exist for their realization and are calculated using anticipated tax rates. In certain jurisdictions, valuation allowances have been recorded against the deferred tax assets specifically related to use of foreign tax credits for branch income, research and development credits, and net operating losses. The valuation allowance assessment requires estimates as to future operating results. These estimates are made on an ongoing basis based upon the Company’s business plans and growth strategies in each market and consequently, future material changes in the valuation allowance are possible. The valuation allowance reduces the deferred tax assets to an amount that management determined is more-likely-than-not to be realized. When we determine that there is sufficient taxable income to utilize the foreign tax credits, research and development credits, or the net operating losses, the valuation allowances will be released. In the event we were to determine that we would not be able to realize all or part of our deferred tax assets in the future, an adjustment to the deferred tax assets would be charged to earnings in the period such determination was made.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evaluate our indefinite reinvestment assertions with respect to foreign earnings for each period. Other than earnings we intend to reinvest indefinitely, we accrue for the U.S. federal and state income taxes applicable to the earnings. For all foreign earnings, we accrue the applicable foreign income taxes. We intend to utilize the offshore earnings to fund foreign investments, specifically capital expenditures. Undistributed earnings that we have indefinitely reinvested aggregate to $60.0 million as of December 31, 2025. If this amount were repatriated to the United States, the amount of incremental taxes would be approximately $6.0 million.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operate in and file income tax returns in the U.S. and numerous foreign jurisdictions, which are subject to examination by tax authorities. Years open to examination contain matters that could be subject to differing interpretations of applicable tax laws and regulations related to the amount and/or timing of income, deductions, and tax credits. We account for uncertain tax positions in accordance with Accounting Standards Codification (“ASC”) 740, Income Taxes. This guidance prescribes a minimum probability threshold that a tax position must meet before a financial statement benefit is recognized. The minimum threshold is defined as a tax position that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50 percent likely of being realized upon ultimate settlement. In 2009, we entered into a voluntary program with the IRS called Compliance Assurance Process (“CAP”). Under the CAP program, the IRS audits the tax position of the Company to identify and resolve any tax issues that may arise throughout the tax year. In 2022, the IRS developed a new phase of CAP called “Bridge Plus.” Under Bridge Plus the taxpayer is required to provide book-to-tax reconciliations, credit utilization and other supporting documentation shortly after their audited financial statement is finalized. We have been selected for the Bridge Plus phase each year since the 2022 tax year. As of December 31, 2025, all open tax years except 2021 and 2024 have been audited and are effectively closed to further examination. For the tax year 2021, we were in the Bridge phase of the CAP program, pursuant to which the IRS did not accept disclosures, did not conduct reviews and did not provide letters of assurance for the Bridge year. There are limited circumstances that tax years in the Bridge phase will be opened for examination. For the tax year 2024, the company has provided all required documentation to the IRS and is waiting for the IRS to issue their Full Acceptance Letter to indicate the audit is complete and the period is closed. With a few exceptions, we are no longer subject to state and local income tax examination by tax authorities for the years before 2022. Foreign jurisdictions have varying lengths of statutes of limitations for income tax examinations. Some statutes are as short as three years and in certain markets may be as long as ten years. We are currently under examination in certain foreign jurisdictions; however, the outcomes of those reviews are not yet determinable.</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52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At December 31, 2025, we had $21.8 million in unrecognized tax benefits, all of which, if recognized, would affect the effective tax rate. In comparison, at December 31, 2024, we had $25.9 million in unrecognized tax benefits, all of which, if recognized, would affect the effective tax rate. We recognized an increase of approximately $1.8 million in interest and penalties expense during the year ended December 31, 2025 and $0.7 million in interest and penalties during the year ended December 31, 2024. We had approximately $15.5 million, $13.7 million and $13.0 million of accrued interest and penalties related to uncertain tax positions at December 31, 2025, 2024 and 2023, respectively. Interest and penalties related to uncertain tax positions are recognized as a component of income tax expense.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2021, as part of the Organization for Economic Co-operation and Development’s (“OECD”) Inclusive Framework, 140 member countries agreed to the implementation of the Pillar Two Global Minimum Tax (“Pillar Two”) of 15%. The OECD continues to release additional guidance, including administrative guidance on how Pillar Two rules should be interpreted and applied by jurisdictions as they adopt Pillar Two. A number of countries have utilized the administrative guidance as a starting point for legislation that went into effect January 1, 2024. We did not have a tax impact related to Pillar Two in 2025 and based on current enacted legislation, we do not anticipate a material impact related to Pillar Two in 2026.</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are subject to regular audits by federal, state and foreign tax authorities. These audits may result in additional tax liabilities. We account for such contingent liabilities in accordance with relevant accounting standards and believe we have appropriately provided for income taxes for all years. Several factors drive the calculation of our tax reserves. Some of these factors include: (i) the expiration of various statutes of limitations; (ii) changes in tax law and regulations; (iii) issuance of tax rulings; and (iv) settlements with tax authorities. Changes in any of these factors may result in adjustments to our reserves, which would impact our reported financial results.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Intangible Assets</w:t>
      </w:r>
      <w:r>
        <w:rPr>
          <w:rFonts w:ascii="Times New Roman;Times;serif" w:hAnsi="Times New Roman;Times;serif"/>
          <w:color w:val="000000"/>
          <w:sz w:val="20"/>
          <w:shd w:fill="FFFFFF" w:val="clear"/>
        </w:rPr>
        <w:t>. Acquired intangible assets may represent indefinite-lived assets, determinable-lived intangibles or goodwill. Of these, only the costs of determinable-lived intangibles are amortized to expense over their estimated life. The value of indefinite-lived intangible assets and residual goodwill is not amortized, but is tested at least annually for impairment. Our impairment testing for goodwill is performed separately from our impairment testing of indefinite-lived intangibles. Our impairment evaluation of goodwill consists of a qualitative assessment to determine if it is more likely than not that the fair value of the reporting unit is less than its carrying amount. Our qualitative assessment considers factors including changes in the competitive market, budget-to-actual performance, trends in market capitalization for us and our peers, turnover in key management personnel and overall changes in the macroeconomic environment. If this qualitative assessment indicates it is more likely than not that the estimated fair value of the reporting unit exceeds its carrying value, no further analysis is required, and goodwill is not impaired.</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If our qualitative assessments indicate that it is more likely than not that the estimated fair value is less than carrying value, we proceed to a quantitative impairment test which compare the estimated fair value of the reporting unit or indefinite-lived intangible asset to its carrying amount with an impairment loss recognized for the amount, if any, by which carrying value exceeds estimated fair value. Considerable management judgment and assumptions are used in our goodwill impairment assessment, including with respect to the estimated future cash flows, the earnings multiples used in the market approach, the discount rate used to discount such estimated future cash flows to their net present value and the reasonableness of the implied control premium relative to our market capitalization. Changes in these factors could materially increase or decrease the fair value of our reporting units and, accordingly, could result in a related impairment charge. Declines in our market capitalization or in our business performance could also result in a material impairment charge in a future period.</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impairment evaluation for our indefinite-lived intangible assets consists of a qualitative assessment, similar to that for goodwill. If the qualitative assessment indicates it is more likely than not that the estimated fair value of an indefinite-lived intangible asset exceeds its carrying value, no further analysis is required, and the asset is not impaired. Based on our qualitative tests, no impairments to our indefinite-lived intangible assets were recorded in 2025, 2024, or 2023.</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Below is a summary of the results of our goodwill impairment assessments and other impairment assessments for 2025 and 2024. There were no goodwill impairments in 2023.</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2025</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performed a qualitative impairment test on our Rhyz Other reporting unit which indicated it was more likely than not that the fair value exceeded the carrying value. We performed a quantitative impairment test on our Manufacturing reporting unit which indicated the fair value exceeded the carrying value. Therefore, no goodwill impairments were recorded.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three months ended March 31, 2025, we decided to make a strategic shift in how we operate the BeautyBio asset group. These strategic changes include exiting certain sales channels, which reduced the forecasted revenues for BeautyBio. We concluded these actions were an interim impairment triggering event that required us to perform an interim impairment analysis on our BeautyBio asset group. We assessed the recoverability of the related asset group comparing the carrying value to the undiscounted cash flows expected to be generated. The recoverability test indicated the asset group was impaired. We concluded that the carrying value of the asset group exceeded the estimated fair value which resulted in an impairment charge of $25.1 million in our Rhyz Other segment during the three months ended March 31, 2025.</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53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2024</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three months ended March 31, 2024, we determined that the recent decline in our stock price and corresponding decrease in market capitalization were a triggering event that required us to perform a quantitative impairment analysis. Based on the analysis, we concluded the fair values of all reporting units were in excess of their carrying amounts and no impairment charge was required.  For goodwill, the estimated fair value of the reporting units exceeded the carrying value by approximately 1% - 7%.</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three months ended June 30, 2024, we determined that the continued decline in our stock price and corresponding decrease in market capitalization as well as declines in some of our reporting units’ forecasts were triggering events that required us to perform a quantitative impairment analysis. Based on the analysis, we concluded that the estimated fair value of Americas, Mainland China, Southeast Asia/Pacific, Japan, South Korea, Europe &amp; Africa, Hong Kong/Taiwan and our BeautyBio reporting units were less than their carrying value of equity as June 30, 2024. As a result, we recorded a non-cash goodwill impairment charge of $130.9 million in the second quarter of 2024.</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during the three months ended June 30, 2024, we determined that the current operating losses and decline in forecasted losses associated with our BeautyBio retail asset group were an interim triggering event that required us to perform an interim impairment analysis on our BeautyBio retail asset group. We assessed the recoverability of the related asset group comparing the carrying value of the asset group to the undiscounted cash flows expected to be generated. The recoverability test indicated the retail asset group was impaired. We concluded the carrying value of the retail asset group exceeded the estimated fair value which resulted in an impairment charge of $10.1 million in our Rhyz Other segment during the three months ended June 30, 2024.</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three months ended September 30, 2024, we determined that the continued decline in our stock price and corresponding decrease in market capitalization were a triggering event that required us to perform a quantitative impairment analysis for the Manufacturing and Rhyz Other reporting units. Based on the analysis, we concluded the fair value of the Manufacturing and Rhyz Other reporting units were in excess of their carrying amounts and no impairment charge was required at that time.</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pPr>
            <w:r>
              <w:rPr/>
              <w:t>During the fourth quarter of 2024, the continued decline in our BeautyBio reporting unit forecast was a triggering event that required us to perform a quantitative analysis. As a result, we concluded the estimated fair value of our BeautyBio reporting unit was less than its carrying value and as a result recorded a non-cash goodwill impairment charge of $3.6 million.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pPr>
            <w:r>
              <w:rPr>
                <w:color w:val="000000"/>
              </w:rPr>
              <w:t xml:space="preserve">At the time of the September 30, 2024 analysis, the estimated fair value of the Manufacturing reporting unit exceeded the carrying value by approximately 8%; therefore, the reporting unit is considered to be at risk of future impairment. </w:t>
            </w:r>
            <w:r>
              <w:rPr/>
              <w:t>The Manufacturing reporting units’ fair values remain sensitive to unfavorable changes in assumptions utilized in the income approach, including revenue growth rates, profitability margins, estimated future cash flows, and the discount rates that could result in impairment charges in a future period.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pPr>
            <w:r>
              <w:rPr/>
              <w:t>During the three months ended March 31, 2025, we decided to make a strategic shift in how we operate the BeautyBio asset group. These strategic changes include exiting certain sales channels, which reduced the forecasted revenues for BeautyBio. We concluded these actions were an interim impairment triggering event that required us to perform an interim impairment analysis on our BeautyBio asset group. We assessed the recoverability of the related asset group comparing the carrying value to the undiscounted cash flows expected to be generated. The recoverability test indicated the asset group was impaired. We concluded that the carrying value of the asset group exceeded the estimated fair value which resulted in an impairment charge of $25.1 million in our Rhyz Other segment during the three months ended March 31, 2025.</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54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Results of Operations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sets forth our operating results as a percentage of revenue for the periods indicated:</w:t>
      </w:r>
    </w:p>
    <w:p>
      <w:pPr>
        <w:pStyle w:val="TextBody"/>
        <w:bidi w:val="0"/>
        <w:spacing w:before="0" w:after="0"/>
        <w:jc w:val="left"/>
        <w:rPr/>
      </w:pPr>
      <w:r>
        <w:rPr/>
      </w:r>
    </w:p>
    <w:tbl>
      <w:tblPr>
        <w:tblW w:w="7508" w:type="dxa"/>
        <w:jc w:val="left"/>
        <w:tblInd w:w="0" w:type="dxa"/>
        <w:tblLayout w:type="fixed"/>
        <w:tblCellMar>
          <w:top w:w="0" w:type="dxa"/>
          <w:left w:w="0" w:type="dxa"/>
          <w:bottom w:w="0" w:type="dxa"/>
          <w:right w:w="0" w:type="dxa"/>
        </w:tblCellMar>
      </w:tblPr>
      <w:tblGrid>
        <w:gridCol w:w="4520"/>
        <w:gridCol w:w="60"/>
        <w:gridCol w:w="65"/>
        <w:gridCol w:w="612"/>
        <w:gridCol w:w="235"/>
        <w:gridCol w:w="65"/>
        <w:gridCol w:w="65"/>
        <w:gridCol w:w="612"/>
        <w:gridCol w:w="317"/>
        <w:gridCol w:w="65"/>
        <w:gridCol w:w="65"/>
        <w:gridCol w:w="612"/>
        <w:gridCol w:w="215"/>
      </w:tblGrid>
      <w:tr>
        <w:trPr/>
        <w:tc>
          <w:tcPr>
            <w:tcW w:w="45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13"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w:t>
            </w:r>
          </w:p>
        </w:tc>
        <w:tc>
          <w:tcPr>
            <w:tcW w:w="215" w:type="dxa"/>
            <w:tcBorders/>
            <w:vAlign w:val="bottom"/>
          </w:tcPr>
          <w:p>
            <w:pPr>
              <w:pStyle w:val="TableContents"/>
              <w:bidi w:val="0"/>
              <w:spacing w:before="0" w:after="283"/>
              <w:jc w:val="left"/>
              <w:rPr/>
            </w:pPr>
            <w:r>
              <w:rPr/>
              <w:t> </w:t>
            </w:r>
          </w:p>
        </w:tc>
      </w:tr>
      <w:tr>
        <w:trPr/>
        <w:tc>
          <w:tcPr>
            <w:tcW w:w="45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23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7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31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7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215" w:type="dxa"/>
            <w:tcBorders/>
            <w:vAlign w:val="bottom"/>
          </w:tcPr>
          <w:p>
            <w:pPr>
              <w:pStyle w:val="TableContents"/>
              <w:bidi w:val="0"/>
              <w:spacing w:before="0" w:after="283"/>
              <w:jc w:val="left"/>
              <w:rPr/>
            </w:pPr>
            <w:r>
              <w:rPr/>
              <w:t> </w:t>
            </w:r>
          </w:p>
        </w:tc>
      </w:tr>
      <w:tr>
        <w:trPr/>
        <w:tc>
          <w:tcPr>
            <w:tcW w:w="4520" w:type="dxa"/>
            <w:tcBorders/>
            <w:shd w:fill="CCEEFF" w:val="clear"/>
            <w:vAlign w:val="bottom"/>
          </w:tcPr>
          <w:p>
            <w:pPr>
              <w:pStyle w:val="TableContents"/>
              <w:bidi w:val="0"/>
              <w:spacing w:before="0" w:after="0"/>
              <w:ind w:left="144" w:right="0" w:hanging="144"/>
              <w:jc w:val="left"/>
              <w:rPr>
                <w:color w:val="000000"/>
              </w:rPr>
            </w:pPr>
            <w:r>
              <w:rPr>
                <w:color w:val="000000"/>
              </w:rPr>
              <w:t>Revenue</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0"/>
              <w:jc w:val="right"/>
              <w:rPr>
                <w:color w:val="000000"/>
              </w:rPr>
            </w:pPr>
            <w:r>
              <w:rPr>
                <w:color w:val="000000"/>
              </w:rPr>
              <w:t>100.0</w:t>
            </w:r>
          </w:p>
        </w:tc>
        <w:tc>
          <w:tcPr>
            <w:tcW w:w="235" w:type="dxa"/>
            <w:tcBorders/>
            <w:shd w:fill="CCEEFF" w:val="clear"/>
            <w:vAlign w:val="bottom"/>
          </w:tcPr>
          <w:p>
            <w:pPr>
              <w:pStyle w:val="TableContents"/>
              <w:bidi w:val="0"/>
              <w:spacing w:before="0" w:after="0"/>
              <w:jc w:val="left"/>
              <w:rPr>
                <w:color w:val="000000"/>
              </w:rPr>
            </w:pPr>
            <w:r>
              <w:rPr>
                <w:color w:val="000000"/>
              </w:rPr>
              <w:t>%</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0"/>
              <w:jc w:val="right"/>
              <w:rPr>
                <w:color w:val="000000"/>
              </w:rPr>
            </w:pPr>
            <w:r>
              <w:rPr>
                <w:color w:val="000000"/>
              </w:rPr>
              <w:t>100.0</w:t>
            </w:r>
          </w:p>
        </w:tc>
        <w:tc>
          <w:tcPr>
            <w:tcW w:w="317" w:type="dxa"/>
            <w:tcBorders/>
            <w:shd w:fill="CCEEFF" w:val="clear"/>
            <w:vAlign w:val="bottom"/>
          </w:tcPr>
          <w:p>
            <w:pPr>
              <w:pStyle w:val="TableContents"/>
              <w:bidi w:val="0"/>
              <w:spacing w:before="0" w:after="0"/>
              <w:jc w:val="left"/>
              <w:rPr>
                <w:color w:val="000000"/>
              </w:rPr>
            </w:pPr>
            <w:r>
              <w:rPr>
                <w:color w:val="000000"/>
              </w:rPr>
              <w:t>%</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0"/>
              <w:jc w:val="right"/>
              <w:rPr>
                <w:color w:val="000000"/>
              </w:rPr>
            </w:pPr>
            <w:r>
              <w:rPr>
                <w:color w:val="000000"/>
              </w:rPr>
              <w:t>100.0</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4520" w:type="dxa"/>
            <w:tcBorders/>
            <w:vAlign w:val="bottom"/>
          </w:tcPr>
          <w:p>
            <w:pPr>
              <w:pStyle w:val="TableContents"/>
              <w:bidi w:val="0"/>
              <w:spacing w:before="0" w:after="0"/>
              <w:ind w:left="144" w:right="0" w:hanging="144"/>
              <w:jc w:val="left"/>
              <w:rPr>
                <w:color w:val="000000"/>
              </w:rPr>
            </w:pPr>
            <w:r>
              <w:rPr>
                <w:color w:val="000000"/>
              </w:rPr>
              <w:t>Cost of sales</w:t>
            </w:r>
          </w:p>
        </w:tc>
        <w:tc>
          <w:tcPr>
            <w:tcW w:w="60" w:type="dxa"/>
            <w:tcBorders/>
            <w:vAlign w:val="bottom"/>
          </w:tcPr>
          <w:p>
            <w:pPr>
              <w:pStyle w:val="TableContents"/>
              <w:bidi w:val="0"/>
              <w:spacing w:before="0" w:after="283"/>
              <w:jc w:val="left"/>
              <w:rPr/>
            </w:pPr>
            <w:r>
              <w:rPr/>
              <w:t> </w:t>
            </w:r>
          </w:p>
        </w:tc>
        <w:tc>
          <w:tcPr>
            <w:tcW w:w="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1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30.6</w:t>
            </w:r>
          </w:p>
        </w:tc>
        <w:tc>
          <w:tcPr>
            <w:tcW w:w="23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1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31.8</w:t>
            </w:r>
          </w:p>
        </w:tc>
        <w:tc>
          <w:tcPr>
            <w:tcW w:w="31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1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31.1</w:t>
            </w:r>
          </w:p>
        </w:tc>
        <w:tc>
          <w:tcPr>
            <w:tcW w:w="215" w:type="dxa"/>
            <w:tcBorders/>
            <w:vAlign w:val="bottom"/>
          </w:tcPr>
          <w:p>
            <w:pPr>
              <w:pStyle w:val="TableContents"/>
              <w:bidi w:val="0"/>
              <w:spacing w:before="0" w:after="283"/>
              <w:jc w:val="left"/>
              <w:rPr/>
            </w:pPr>
            <w:r>
              <w:rPr/>
              <w:t> </w:t>
            </w:r>
          </w:p>
        </w:tc>
      </w:tr>
      <w:tr>
        <w:trPr/>
        <w:tc>
          <w:tcPr>
            <w:tcW w:w="45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283"/>
              <w:jc w:val="right"/>
              <w:rPr/>
            </w:pPr>
            <w:r>
              <w:rPr/>
              <w:t> </w:t>
            </w:r>
          </w:p>
        </w:tc>
        <w:tc>
          <w:tcPr>
            <w:tcW w:w="31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r>
      <w:tr>
        <w:trPr/>
        <w:tc>
          <w:tcPr>
            <w:tcW w:w="4520" w:type="dxa"/>
            <w:tcBorders/>
            <w:vAlign w:val="bottom"/>
          </w:tcPr>
          <w:p>
            <w:pPr>
              <w:pStyle w:val="TableContents"/>
              <w:bidi w:val="0"/>
              <w:spacing w:before="0" w:after="0"/>
              <w:ind w:left="144" w:right="0" w:hanging="144"/>
              <w:jc w:val="left"/>
              <w:rPr>
                <w:color w:val="000000"/>
              </w:rPr>
            </w:pPr>
            <w:r>
              <w:rPr>
                <w:color w:val="000000"/>
              </w:rPr>
              <w:t>Gross profit</w:t>
            </w:r>
          </w:p>
        </w:tc>
        <w:tc>
          <w:tcPr>
            <w:tcW w:w="60" w:type="dxa"/>
            <w:tcBorders/>
            <w:vAlign w:val="bottom"/>
          </w:tcPr>
          <w:p>
            <w:pPr>
              <w:pStyle w:val="TableContents"/>
              <w:bidi w:val="0"/>
              <w:spacing w:before="0" w:after="283"/>
              <w:jc w:val="left"/>
              <w:rPr/>
            </w:pPr>
            <w:r>
              <w:rPr/>
              <w:t> </w:t>
            </w:r>
          </w:p>
        </w:tc>
        <w:tc>
          <w:tcPr>
            <w:tcW w:w="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1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69.4</w:t>
            </w:r>
          </w:p>
        </w:tc>
        <w:tc>
          <w:tcPr>
            <w:tcW w:w="23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1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68.2</w:t>
            </w:r>
          </w:p>
        </w:tc>
        <w:tc>
          <w:tcPr>
            <w:tcW w:w="31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1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68.9</w:t>
            </w:r>
          </w:p>
        </w:tc>
        <w:tc>
          <w:tcPr>
            <w:tcW w:w="215" w:type="dxa"/>
            <w:tcBorders/>
            <w:vAlign w:val="bottom"/>
          </w:tcPr>
          <w:p>
            <w:pPr>
              <w:pStyle w:val="TableContents"/>
              <w:bidi w:val="0"/>
              <w:spacing w:before="0" w:after="283"/>
              <w:jc w:val="left"/>
              <w:rPr/>
            </w:pPr>
            <w:r>
              <w:rPr/>
              <w:t> </w:t>
            </w:r>
          </w:p>
        </w:tc>
      </w:tr>
      <w:tr>
        <w:trPr/>
        <w:tc>
          <w:tcPr>
            <w:tcW w:w="45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283"/>
              <w:jc w:val="right"/>
              <w:rPr/>
            </w:pPr>
            <w:r>
              <w:rPr/>
              <w:t> </w:t>
            </w:r>
          </w:p>
        </w:tc>
        <w:tc>
          <w:tcPr>
            <w:tcW w:w="31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r>
      <w:tr>
        <w:trPr/>
        <w:tc>
          <w:tcPr>
            <w:tcW w:w="4520" w:type="dxa"/>
            <w:tcBorders/>
            <w:vAlign w:val="bottom"/>
          </w:tcPr>
          <w:p>
            <w:pPr>
              <w:pStyle w:val="TableContents"/>
              <w:bidi w:val="0"/>
              <w:spacing w:before="0" w:after="0"/>
              <w:ind w:left="144" w:right="0" w:hanging="144"/>
              <w:jc w:val="left"/>
              <w:rPr>
                <w:color w:val="000000"/>
              </w:rPr>
            </w:pPr>
            <w:r>
              <w:rPr>
                <w:color w:val="000000"/>
              </w:rPr>
              <w:t>Operating expenses:</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right"/>
              <w:rPr/>
            </w:pPr>
            <w:r>
              <w:rPr/>
              <w:t> </w:t>
            </w:r>
          </w:p>
        </w:tc>
        <w:tc>
          <w:tcPr>
            <w:tcW w:w="23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right"/>
              <w:rPr/>
            </w:pPr>
            <w:r>
              <w:rPr/>
              <w:t> </w:t>
            </w:r>
          </w:p>
        </w:tc>
        <w:tc>
          <w:tcPr>
            <w:tcW w:w="31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r>
      <w:tr>
        <w:trPr/>
        <w:tc>
          <w:tcPr>
            <w:tcW w:w="4520" w:type="dxa"/>
            <w:tcBorders/>
            <w:shd w:fill="CCEEFF" w:val="clear"/>
            <w:vAlign w:val="bottom"/>
          </w:tcPr>
          <w:p>
            <w:pPr>
              <w:pStyle w:val="TableContents"/>
              <w:bidi w:val="0"/>
              <w:spacing w:before="0" w:after="0"/>
              <w:ind w:left="324" w:right="0" w:hanging="144"/>
              <w:jc w:val="left"/>
              <w:rPr>
                <w:color w:val="000000"/>
              </w:rPr>
            </w:pPr>
            <w:r>
              <w:rPr>
                <w:color w:val="000000"/>
              </w:rPr>
              <w:t>Selling expenses</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0"/>
              <w:jc w:val="right"/>
              <w:rPr>
                <w:color w:val="000000"/>
              </w:rPr>
            </w:pPr>
            <w:r>
              <w:rPr>
                <w:color w:val="000000"/>
              </w:rPr>
              <w:t>34.2</w:t>
            </w:r>
          </w:p>
        </w:tc>
        <w:tc>
          <w:tcPr>
            <w:tcW w:w="23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0"/>
              <w:jc w:val="right"/>
              <w:rPr>
                <w:color w:val="000000"/>
              </w:rPr>
            </w:pPr>
            <w:r>
              <w:rPr>
                <w:color w:val="000000"/>
              </w:rPr>
              <w:t>37.6</w:t>
            </w:r>
          </w:p>
        </w:tc>
        <w:tc>
          <w:tcPr>
            <w:tcW w:w="31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0"/>
              <w:jc w:val="right"/>
              <w:rPr>
                <w:color w:val="000000"/>
              </w:rPr>
            </w:pPr>
            <w:r>
              <w:rPr>
                <w:color w:val="000000"/>
              </w:rPr>
              <w:t>37.7</w:t>
            </w:r>
          </w:p>
        </w:tc>
        <w:tc>
          <w:tcPr>
            <w:tcW w:w="215" w:type="dxa"/>
            <w:tcBorders/>
            <w:shd w:fill="CCEEFF" w:val="clear"/>
            <w:vAlign w:val="bottom"/>
          </w:tcPr>
          <w:p>
            <w:pPr>
              <w:pStyle w:val="TableContents"/>
              <w:bidi w:val="0"/>
              <w:spacing w:before="0" w:after="283"/>
              <w:jc w:val="left"/>
              <w:rPr/>
            </w:pPr>
            <w:r>
              <w:rPr/>
              <w:t> </w:t>
            </w:r>
          </w:p>
        </w:tc>
      </w:tr>
      <w:tr>
        <w:trPr/>
        <w:tc>
          <w:tcPr>
            <w:tcW w:w="4520" w:type="dxa"/>
            <w:tcBorders/>
            <w:vAlign w:val="bottom"/>
          </w:tcPr>
          <w:p>
            <w:pPr>
              <w:pStyle w:val="TableContents"/>
              <w:bidi w:val="0"/>
              <w:spacing w:before="0" w:after="0"/>
              <w:ind w:left="324" w:right="0" w:hanging="144"/>
              <w:jc w:val="left"/>
              <w:rPr>
                <w:color w:val="000000"/>
              </w:rPr>
            </w:pPr>
            <w:r>
              <w:rPr>
                <w:color w:val="000000"/>
              </w:rPr>
              <w:t>General and administrative expenses</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0"/>
              <w:jc w:val="right"/>
              <w:rPr>
                <w:color w:val="000000"/>
              </w:rPr>
            </w:pPr>
            <w:r>
              <w:rPr>
                <w:color w:val="000000"/>
              </w:rPr>
              <w:t>29.1</w:t>
            </w:r>
          </w:p>
        </w:tc>
        <w:tc>
          <w:tcPr>
            <w:tcW w:w="23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0"/>
              <w:jc w:val="right"/>
              <w:rPr>
                <w:color w:val="000000"/>
              </w:rPr>
            </w:pPr>
            <w:r>
              <w:rPr>
                <w:color w:val="000000"/>
              </w:rPr>
              <w:t>27.7</w:t>
            </w:r>
          </w:p>
        </w:tc>
        <w:tc>
          <w:tcPr>
            <w:tcW w:w="31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0"/>
              <w:jc w:val="right"/>
              <w:rPr>
                <w:color w:val="000000"/>
              </w:rPr>
            </w:pPr>
            <w:r>
              <w:rPr>
                <w:color w:val="000000"/>
              </w:rPr>
              <w:t>27.8</w:t>
            </w:r>
          </w:p>
        </w:tc>
        <w:tc>
          <w:tcPr>
            <w:tcW w:w="215" w:type="dxa"/>
            <w:tcBorders/>
            <w:vAlign w:val="bottom"/>
          </w:tcPr>
          <w:p>
            <w:pPr>
              <w:pStyle w:val="TableContents"/>
              <w:bidi w:val="0"/>
              <w:spacing w:before="0" w:after="283"/>
              <w:jc w:val="left"/>
              <w:rPr/>
            </w:pPr>
            <w:r>
              <w:rPr/>
              <w:t> </w:t>
            </w:r>
          </w:p>
        </w:tc>
      </w:tr>
      <w:tr>
        <w:trPr/>
        <w:tc>
          <w:tcPr>
            <w:tcW w:w="4520" w:type="dxa"/>
            <w:tcBorders/>
            <w:shd w:fill="CCEEFF" w:val="clear"/>
            <w:vAlign w:val="bottom"/>
          </w:tcPr>
          <w:p>
            <w:pPr>
              <w:pStyle w:val="TableContents"/>
              <w:bidi w:val="0"/>
              <w:spacing w:before="0" w:after="0"/>
              <w:ind w:left="324" w:right="0" w:hanging="144"/>
              <w:jc w:val="left"/>
              <w:rPr>
                <w:color w:val="000000"/>
              </w:rPr>
            </w:pPr>
            <w:r>
              <w:rPr>
                <w:color w:val="000000"/>
              </w:rPr>
              <w:t>Restructuring and impairment expenses</w:t>
            </w:r>
          </w:p>
        </w:tc>
        <w:tc>
          <w:tcPr>
            <w:tcW w:w="60" w:type="dxa"/>
            <w:tcBorders/>
            <w:shd w:fill="CCEEFF" w:val="clear"/>
            <w:vAlign w:val="bottom"/>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1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1.7</w:t>
            </w:r>
          </w:p>
        </w:tc>
        <w:tc>
          <w:tcPr>
            <w:tcW w:w="23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1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11.7</w:t>
            </w:r>
          </w:p>
        </w:tc>
        <w:tc>
          <w:tcPr>
            <w:tcW w:w="31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1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w:t>
            </w:r>
          </w:p>
        </w:tc>
        <w:tc>
          <w:tcPr>
            <w:tcW w:w="215" w:type="dxa"/>
            <w:tcBorders/>
            <w:shd w:fill="CCEEFF" w:val="clear"/>
            <w:vAlign w:val="bottom"/>
          </w:tcPr>
          <w:p>
            <w:pPr>
              <w:pStyle w:val="TableContents"/>
              <w:bidi w:val="0"/>
              <w:spacing w:before="0" w:after="283"/>
              <w:jc w:val="left"/>
              <w:rPr/>
            </w:pPr>
            <w:r>
              <w:rPr/>
              <w:t> </w:t>
            </w:r>
          </w:p>
        </w:tc>
      </w:tr>
      <w:tr>
        <w:trPr/>
        <w:tc>
          <w:tcPr>
            <w:tcW w:w="45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right"/>
              <w:rPr/>
            </w:pPr>
            <w:r>
              <w:rPr/>
              <w:t> </w:t>
            </w:r>
          </w:p>
        </w:tc>
        <w:tc>
          <w:tcPr>
            <w:tcW w:w="23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right"/>
              <w:rPr/>
            </w:pPr>
            <w:r>
              <w:rPr/>
              <w:t> </w:t>
            </w:r>
          </w:p>
        </w:tc>
        <w:tc>
          <w:tcPr>
            <w:tcW w:w="31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r>
      <w:tr>
        <w:trPr/>
        <w:tc>
          <w:tcPr>
            <w:tcW w:w="4520" w:type="dxa"/>
            <w:tcBorders/>
            <w:shd w:fill="CCEEFF" w:val="clear"/>
            <w:vAlign w:val="bottom"/>
          </w:tcPr>
          <w:p>
            <w:pPr>
              <w:pStyle w:val="TableContents"/>
              <w:bidi w:val="0"/>
              <w:spacing w:before="0" w:after="0"/>
              <w:ind w:left="144" w:right="0" w:hanging="144"/>
              <w:jc w:val="left"/>
              <w:rPr>
                <w:color w:val="000000"/>
              </w:rPr>
            </w:pPr>
            <w:r>
              <w:rPr>
                <w:color w:val="000000"/>
              </w:rPr>
              <w:t>Total operating expenses</w:t>
            </w:r>
          </w:p>
        </w:tc>
        <w:tc>
          <w:tcPr>
            <w:tcW w:w="60" w:type="dxa"/>
            <w:tcBorders/>
            <w:shd w:fill="CCEEFF" w:val="clear"/>
            <w:vAlign w:val="bottom"/>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1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65.0</w:t>
            </w:r>
          </w:p>
        </w:tc>
        <w:tc>
          <w:tcPr>
            <w:tcW w:w="23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1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77.0</w:t>
            </w:r>
          </w:p>
        </w:tc>
        <w:tc>
          <w:tcPr>
            <w:tcW w:w="31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1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66.5</w:t>
            </w:r>
          </w:p>
        </w:tc>
        <w:tc>
          <w:tcPr>
            <w:tcW w:w="215" w:type="dxa"/>
            <w:tcBorders/>
            <w:shd w:fill="CCEEFF" w:val="clear"/>
            <w:vAlign w:val="bottom"/>
          </w:tcPr>
          <w:p>
            <w:pPr>
              <w:pStyle w:val="TableContents"/>
              <w:bidi w:val="0"/>
              <w:spacing w:before="0" w:after="283"/>
              <w:jc w:val="left"/>
              <w:rPr/>
            </w:pPr>
            <w:r>
              <w:rPr/>
              <w:t> </w:t>
            </w:r>
          </w:p>
        </w:tc>
      </w:tr>
      <w:tr>
        <w:trPr/>
        <w:tc>
          <w:tcPr>
            <w:tcW w:w="45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right"/>
              <w:rPr/>
            </w:pPr>
            <w:r>
              <w:rPr/>
              <w:t> </w:t>
            </w:r>
          </w:p>
        </w:tc>
        <w:tc>
          <w:tcPr>
            <w:tcW w:w="23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right"/>
              <w:rPr/>
            </w:pPr>
            <w:r>
              <w:rPr/>
              <w:t> </w:t>
            </w:r>
          </w:p>
        </w:tc>
        <w:tc>
          <w:tcPr>
            <w:tcW w:w="31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r>
      <w:tr>
        <w:trPr/>
        <w:tc>
          <w:tcPr>
            <w:tcW w:w="4520" w:type="dxa"/>
            <w:tcBorders/>
            <w:shd w:fill="CCEEFF" w:val="clear"/>
            <w:vAlign w:val="bottom"/>
          </w:tcPr>
          <w:p>
            <w:pPr>
              <w:pStyle w:val="TableContents"/>
              <w:bidi w:val="0"/>
              <w:spacing w:before="0" w:after="0"/>
              <w:ind w:left="144" w:right="0" w:hanging="144"/>
              <w:jc w:val="left"/>
              <w:rPr>
                <w:color w:val="000000"/>
              </w:rPr>
            </w:pPr>
            <w:r>
              <w:rPr>
                <w:color w:val="000000"/>
              </w:rPr>
              <w:t>Operating income (loss)</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0"/>
              <w:jc w:val="right"/>
              <w:rPr>
                <w:color w:val="000000"/>
              </w:rPr>
            </w:pPr>
            <w:r>
              <w:rPr>
                <w:color w:val="000000"/>
              </w:rPr>
              <w:t>4.4</w:t>
            </w:r>
          </w:p>
        </w:tc>
        <w:tc>
          <w:tcPr>
            <w:tcW w:w="23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0"/>
              <w:jc w:val="right"/>
              <w:rPr>
                <w:color w:val="000000"/>
              </w:rPr>
            </w:pPr>
            <w:r>
              <w:rPr>
                <w:color w:val="000000"/>
              </w:rPr>
              <w:t>(8.8</w:t>
            </w:r>
          </w:p>
        </w:tc>
        <w:tc>
          <w:tcPr>
            <w:tcW w:w="317" w:type="dxa"/>
            <w:tcBorders/>
            <w:shd w:fill="CCEEFF" w:val="clear"/>
            <w:vAlign w:val="bottom"/>
          </w:tcPr>
          <w:p>
            <w:pPr>
              <w:pStyle w:val="TableContents"/>
              <w:bidi w:val="0"/>
              <w:spacing w:before="0" w:after="0"/>
              <w:jc w:val="left"/>
              <w:rPr>
                <w:color w:val="000000"/>
              </w:rPr>
            </w:pPr>
            <w:r>
              <w:rPr>
                <w:color w:val="000000"/>
              </w:rPr>
              <w:t>)</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0"/>
              <w:jc w:val="right"/>
              <w:rPr>
                <w:color w:val="000000"/>
              </w:rPr>
            </w:pPr>
            <w:r>
              <w:rPr>
                <w:color w:val="000000"/>
              </w:rPr>
              <w:t>2.4</w:t>
            </w:r>
          </w:p>
        </w:tc>
        <w:tc>
          <w:tcPr>
            <w:tcW w:w="215" w:type="dxa"/>
            <w:tcBorders/>
            <w:shd w:fill="CCEEFF" w:val="clear"/>
            <w:vAlign w:val="bottom"/>
          </w:tcPr>
          <w:p>
            <w:pPr>
              <w:pStyle w:val="TableContents"/>
              <w:bidi w:val="0"/>
              <w:spacing w:before="0" w:after="283"/>
              <w:jc w:val="left"/>
              <w:rPr/>
            </w:pPr>
            <w:r>
              <w:rPr/>
              <w:t> </w:t>
            </w:r>
          </w:p>
        </w:tc>
      </w:tr>
      <w:tr>
        <w:trPr/>
        <w:tc>
          <w:tcPr>
            <w:tcW w:w="4520" w:type="dxa"/>
            <w:tcBorders/>
            <w:vAlign w:val="bottom"/>
          </w:tcPr>
          <w:p>
            <w:pPr>
              <w:pStyle w:val="TableContents"/>
              <w:bidi w:val="0"/>
              <w:spacing w:before="0" w:after="0"/>
              <w:ind w:left="144" w:right="0" w:hanging="144"/>
              <w:jc w:val="left"/>
              <w:rPr>
                <w:color w:val="000000"/>
              </w:rPr>
            </w:pPr>
            <w:r>
              <w:rPr>
                <w:color w:val="000000"/>
              </w:rPr>
              <w:t>Interest expense</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0"/>
              <w:jc w:val="right"/>
              <w:rPr>
                <w:color w:val="000000"/>
              </w:rPr>
            </w:pPr>
            <w:r>
              <w:rPr>
                <w:color w:val="000000"/>
              </w:rPr>
              <w:t>0.9</w:t>
            </w:r>
          </w:p>
        </w:tc>
        <w:tc>
          <w:tcPr>
            <w:tcW w:w="23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0"/>
              <w:jc w:val="right"/>
              <w:rPr>
                <w:color w:val="000000"/>
              </w:rPr>
            </w:pPr>
            <w:r>
              <w:rPr>
                <w:color w:val="000000"/>
              </w:rPr>
              <w:t>1.5</w:t>
            </w:r>
          </w:p>
        </w:tc>
        <w:tc>
          <w:tcPr>
            <w:tcW w:w="31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0"/>
              <w:jc w:val="right"/>
              <w:rPr>
                <w:color w:val="000000"/>
              </w:rPr>
            </w:pPr>
            <w:r>
              <w:rPr>
                <w:color w:val="000000"/>
              </w:rPr>
              <w:t>1.3</w:t>
            </w:r>
          </w:p>
        </w:tc>
        <w:tc>
          <w:tcPr>
            <w:tcW w:w="215" w:type="dxa"/>
            <w:tcBorders/>
            <w:vAlign w:val="bottom"/>
          </w:tcPr>
          <w:p>
            <w:pPr>
              <w:pStyle w:val="TableContents"/>
              <w:bidi w:val="0"/>
              <w:spacing w:before="0" w:after="283"/>
              <w:jc w:val="left"/>
              <w:rPr/>
            </w:pPr>
            <w:r>
              <w:rPr/>
              <w:t> </w:t>
            </w:r>
          </w:p>
        </w:tc>
      </w:tr>
      <w:tr>
        <w:trPr/>
        <w:tc>
          <w:tcPr>
            <w:tcW w:w="4520" w:type="dxa"/>
            <w:tcBorders/>
            <w:shd w:fill="CCEEFF" w:val="clear"/>
            <w:vAlign w:val="bottom"/>
          </w:tcPr>
          <w:p>
            <w:pPr>
              <w:pStyle w:val="TableContents"/>
              <w:bidi w:val="0"/>
              <w:spacing w:before="0" w:after="0"/>
              <w:ind w:left="144" w:right="0" w:hanging="144"/>
              <w:jc w:val="left"/>
              <w:rPr>
                <w:color w:val="000000"/>
              </w:rPr>
            </w:pPr>
            <w:r>
              <w:rPr>
                <w:color w:val="000000"/>
              </w:rPr>
              <w:t>Gain on sale</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0"/>
              <w:jc w:val="right"/>
              <w:rPr>
                <w:color w:val="000000"/>
              </w:rPr>
            </w:pPr>
            <w:r>
              <w:rPr>
                <w:color w:val="000000"/>
              </w:rPr>
              <w:t>11.9</w:t>
            </w:r>
          </w:p>
        </w:tc>
        <w:tc>
          <w:tcPr>
            <w:tcW w:w="23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0"/>
              <w:jc w:val="right"/>
              <w:rPr>
                <w:color w:val="000000"/>
              </w:rPr>
            </w:pPr>
            <w:r>
              <w:rPr>
                <w:color w:val="000000"/>
              </w:rPr>
              <w:t>—</w:t>
            </w:r>
          </w:p>
        </w:tc>
        <w:tc>
          <w:tcPr>
            <w:tcW w:w="31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0"/>
              <w:jc w:val="right"/>
              <w:rPr>
                <w:color w:val="000000"/>
              </w:rPr>
            </w:pPr>
            <w:r>
              <w:rPr>
                <w:color w:val="000000"/>
              </w:rPr>
              <w:t>—</w:t>
            </w:r>
          </w:p>
        </w:tc>
        <w:tc>
          <w:tcPr>
            <w:tcW w:w="215" w:type="dxa"/>
            <w:tcBorders/>
            <w:shd w:fill="CCEEFF" w:val="clear"/>
            <w:vAlign w:val="bottom"/>
          </w:tcPr>
          <w:p>
            <w:pPr>
              <w:pStyle w:val="TableContents"/>
              <w:bidi w:val="0"/>
              <w:spacing w:before="0" w:after="283"/>
              <w:jc w:val="left"/>
              <w:rPr/>
            </w:pPr>
            <w:r>
              <w:rPr/>
              <w:t> </w:t>
            </w:r>
          </w:p>
        </w:tc>
      </w:tr>
      <w:tr>
        <w:trPr/>
        <w:tc>
          <w:tcPr>
            <w:tcW w:w="4520" w:type="dxa"/>
            <w:tcBorders/>
            <w:vAlign w:val="bottom"/>
          </w:tcPr>
          <w:p>
            <w:pPr>
              <w:pStyle w:val="TableContents"/>
              <w:bidi w:val="0"/>
              <w:spacing w:before="0" w:after="0"/>
              <w:ind w:left="144" w:right="0" w:hanging="144"/>
              <w:jc w:val="left"/>
              <w:rPr>
                <w:color w:val="000000"/>
              </w:rPr>
            </w:pPr>
            <w:r>
              <w:rPr>
                <w:color w:val="000000"/>
              </w:rPr>
              <w:t>Other income (expense), net</w:t>
            </w:r>
          </w:p>
        </w:tc>
        <w:tc>
          <w:tcPr>
            <w:tcW w:w="60" w:type="dxa"/>
            <w:tcBorders/>
            <w:vAlign w:val="bottom"/>
          </w:tcPr>
          <w:p>
            <w:pPr>
              <w:pStyle w:val="TableContents"/>
              <w:bidi w:val="0"/>
              <w:spacing w:before="0" w:after="283"/>
              <w:jc w:val="left"/>
              <w:rPr/>
            </w:pPr>
            <w:r>
              <w:rPr/>
              <w:t> </w:t>
            </w:r>
          </w:p>
        </w:tc>
        <w:tc>
          <w:tcPr>
            <w:tcW w:w="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1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(2.2</w:t>
            </w:r>
          </w:p>
        </w:tc>
        <w:tc>
          <w:tcPr>
            <w:tcW w:w="235" w:type="dxa"/>
            <w:tcBorders/>
            <w:vAlign w:val="bottom"/>
          </w:tcPr>
          <w:p>
            <w:pPr>
              <w:pStyle w:val="TableContents"/>
              <w:bidi w:val="0"/>
              <w:spacing w:before="0" w:after="0"/>
              <w:jc w:val="left"/>
              <w:rPr>
                <w:color w:val="000000"/>
              </w:rPr>
            </w:pPr>
            <w:r>
              <w:rPr>
                <w:color w:val="000000"/>
              </w:rPr>
              <w:t>)</w:t>
            </w:r>
          </w:p>
        </w:tc>
        <w:tc>
          <w:tcPr>
            <w:tcW w:w="65" w:type="dxa"/>
            <w:tcBorders/>
            <w:vAlign w:val="bottom"/>
          </w:tcPr>
          <w:p>
            <w:pPr>
              <w:pStyle w:val="TableContents"/>
              <w:bidi w:val="0"/>
              <w:spacing w:before="0" w:after="283"/>
              <w:jc w:val="left"/>
              <w:rPr/>
            </w:pPr>
            <w:r>
              <w:rPr/>
              <w:t> </w:t>
            </w:r>
          </w:p>
        </w:tc>
        <w:tc>
          <w:tcPr>
            <w:tcW w:w="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1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0.2</w:t>
            </w:r>
          </w:p>
        </w:tc>
        <w:tc>
          <w:tcPr>
            <w:tcW w:w="31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1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0.2</w:t>
            </w:r>
          </w:p>
        </w:tc>
        <w:tc>
          <w:tcPr>
            <w:tcW w:w="215" w:type="dxa"/>
            <w:tcBorders/>
            <w:vAlign w:val="bottom"/>
          </w:tcPr>
          <w:p>
            <w:pPr>
              <w:pStyle w:val="TableContents"/>
              <w:bidi w:val="0"/>
              <w:spacing w:before="0" w:after="283"/>
              <w:jc w:val="left"/>
              <w:rPr/>
            </w:pPr>
            <w:r>
              <w:rPr/>
              <w:t> </w:t>
            </w:r>
          </w:p>
        </w:tc>
      </w:tr>
      <w:tr>
        <w:trPr/>
        <w:tc>
          <w:tcPr>
            <w:tcW w:w="45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283"/>
              <w:jc w:val="right"/>
              <w:rPr/>
            </w:pPr>
            <w:r>
              <w:rPr/>
              <w:t> </w:t>
            </w:r>
          </w:p>
        </w:tc>
        <w:tc>
          <w:tcPr>
            <w:tcW w:w="31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r>
      <w:tr>
        <w:trPr/>
        <w:tc>
          <w:tcPr>
            <w:tcW w:w="4520" w:type="dxa"/>
            <w:tcBorders/>
            <w:vAlign w:val="bottom"/>
          </w:tcPr>
          <w:p>
            <w:pPr>
              <w:pStyle w:val="TableContents"/>
              <w:bidi w:val="0"/>
              <w:spacing w:before="0" w:after="0"/>
              <w:ind w:left="144" w:right="0" w:hanging="144"/>
              <w:jc w:val="left"/>
              <w:rPr>
                <w:color w:val="000000"/>
              </w:rPr>
            </w:pPr>
            <w:r>
              <w:rPr>
                <w:color w:val="000000"/>
              </w:rPr>
              <w:t>Income (loss) before provision for income taxes</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0"/>
              <w:jc w:val="right"/>
              <w:rPr>
                <w:color w:val="000000"/>
              </w:rPr>
            </w:pPr>
            <w:r>
              <w:rPr>
                <w:color w:val="000000"/>
              </w:rPr>
              <w:t>13.2</w:t>
            </w:r>
          </w:p>
        </w:tc>
        <w:tc>
          <w:tcPr>
            <w:tcW w:w="23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0"/>
              <w:jc w:val="right"/>
              <w:rPr>
                <w:color w:val="000000"/>
              </w:rPr>
            </w:pPr>
            <w:r>
              <w:rPr>
                <w:color w:val="000000"/>
              </w:rPr>
              <w:t>(10.1</w:t>
            </w:r>
          </w:p>
        </w:tc>
        <w:tc>
          <w:tcPr>
            <w:tcW w:w="317" w:type="dxa"/>
            <w:tcBorders/>
            <w:vAlign w:val="bottom"/>
          </w:tcPr>
          <w:p>
            <w:pPr>
              <w:pStyle w:val="TableContents"/>
              <w:bidi w:val="0"/>
              <w:spacing w:before="0" w:after="0"/>
              <w:jc w:val="left"/>
              <w:rPr>
                <w:color w:val="000000"/>
              </w:rPr>
            </w:pPr>
            <w:r>
              <w:rPr>
                <w:color w:val="000000"/>
              </w:rPr>
              <w:t>)</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0"/>
              <w:jc w:val="right"/>
              <w:rPr>
                <w:color w:val="000000"/>
              </w:rPr>
            </w:pPr>
            <w:r>
              <w:rPr>
                <w:color w:val="000000"/>
              </w:rPr>
              <w:t>1.3</w:t>
            </w:r>
          </w:p>
        </w:tc>
        <w:tc>
          <w:tcPr>
            <w:tcW w:w="215" w:type="dxa"/>
            <w:tcBorders/>
            <w:vAlign w:val="bottom"/>
          </w:tcPr>
          <w:p>
            <w:pPr>
              <w:pStyle w:val="TableContents"/>
              <w:bidi w:val="0"/>
              <w:spacing w:before="0" w:after="283"/>
              <w:jc w:val="left"/>
              <w:rPr/>
            </w:pPr>
            <w:r>
              <w:rPr/>
              <w:t> </w:t>
            </w:r>
          </w:p>
        </w:tc>
      </w:tr>
      <w:tr>
        <w:trPr/>
        <w:tc>
          <w:tcPr>
            <w:tcW w:w="4520" w:type="dxa"/>
            <w:tcBorders/>
            <w:shd w:fill="CCEEFF" w:val="clear"/>
            <w:vAlign w:val="bottom"/>
          </w:tcPr>
          <w:p>
            <w:pPr>
              <w:pStyle w:val="TableContents"/>
              <w:bidi w:val="0"/>
              <w:spacing w:before="0" w:after="0"/>
              <w:ind w:left="144" w:right="0" w:hanging="144"/>
              <w:jc w:val="left"/>
              <w:rPr>
                <w:color w:val="000000"/>
              </w:rPr>
            </w:pPr>
            <w:r>
              <w:rPr>
                <w:color w:val="000000"/>
              </w:rPr>
              <w:t>Provision (benefit) for income taxes</w:t>
            </w:r>
          </w:p>
        </w:tc>
        <w:tc>
          <w:tcPr>
            <w:tcW w:w="60" w:type="dxa"/>
            <w:tcBorders/>
            <w:shd w:fill="CCEEFF" w:val="clear"/>
            <w:vAlign w:val="bottom"/>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1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2.4</w:t>
            </w:r>
          </w:p>
        </w:tc>
        <w:tc>
          <w:tcPr>
            <w:tcW w:w="23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1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(1.6</w:t>
            </w:r>
          </w:p>
        </w:tc>
        <w:tc>
          <w:tcPr>
            <w:tcW w:w="317" w:type="dxa"/>
            <w:tcBorders/>
            <w:shd w:fill="CCEEFF" w:val="clear"/>
            <w:vAlign w:val="bottom"/>
          </w:tcPr>
          <w:p>
            <w:pPr>
              <w:pStyle w:val="TableContents"/>
              <w:bidi w:val="0"/>
              <w:spacing w:before="0" w:after="0"/>
              <w:jc w:val="left"/>
              <w:rPr>
                <w:color w:val="000000"/>
              </w:rPr>
            </w:pPr>
            <w:r>
              <w:rPr>
                <w:color w:val="000000"/>
              </w:rPr>
              <w:t>)</w:t>
            </w:r>
          </w:p>
        </w:tc>
        <w:tc>
          <w:tcPr>
            <w:tcW w:w="65" w:type="dxa"/>
            <w:tcBorders/>
            <w:shd w:fill="CCEEFF" w:val="clear"/>
            <w:vAlign w:val="bottom"/>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1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0.9</w:t>
            </w:r>
          </w:p>
        </w:tc>
        <w:tc>
          <w:tcPr>
            <w:tcW w:w="215" w:type="dxa"/>
            <w:tcBorders/>
            <w:shd w:fill="CCEEFF" w:val="clear"/>
            <w:vAlign w:val="bottom"/>
          </w:tcPr>
          <w:p>
            <w:pPr>
              <w:pStyle w:val="TableContents"/>
              <w:bidi w:val="0"/>
              <w:spacing w:before="0" w:after="283"/>
              <w:jc w:val="left"/>
              <w:rPr/>
            </w:pPr>
            <w:r>
              <w:rPr/>
              <w:t> </w:t>
            </w:r>
          </w:p>
        </w:tc>
      </w:tr>
      <w:tr>
        <w:trPr/>
        <w:tc>
          <w:tcPr>
            <w:tcW w:w="45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right"/>
              <w:rPr/>
            </w:pPr>
            <w:r>
              <w:rPr/>
              <w:t> </w:t>
            </w:r>
          </w:p>
        </w:tc>
        <w:tc>
          <w:tcPr>
            <w:tcW w:w="23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right"/>
              <w:rPr/>
            </w:pPr>
            <w:r>
              <w:rPr/>
              <w:t> </w:t>
            </w:r>
          </w:p>
        </w:tc>
        <w:tc>
          <w:tcPr>
            <w:tcW w:w="31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r>
      <w:tr>
        <w:trPr/>
        <w:tc>
          <w:tcPr>
            <w:tcW w:w="4520" w:type="dxa"/>
            <w:tcBorders/>
            <w:shd w:fill="CCEEFF" w:val="clear"/>
            <w:vAlign w:val="bottom"/>
          </w:tcPr>
          <w:p>
            <w:pPr>
              <w:pStyle w:val="TableContents"/>
              <w:bidi w:val="0"/>
              <w:spacing w:before="0" w:after="0"/>
              <w:ind w:left="144" w:right="0" w:hanging="144"/>
              <w:jc w:val="left"/>
              <w:rPr>
                <w:color w:val="000000"/>
              </w:rPr>
            </w:pPr>
            <w:r>
              <w:rPr>
                <w:color w:val="000000"/>
              </w:rPr>
              <w:t>Net income (loss)</w:t>
            </w:r>
          </w:p>
        </w:tc>
        <w:tc>
          <w:tcPr>
            <w:tcW w:w="60" w:type="dxa"/>
            <w:tcBorders/>
            <w:shd w:fill="CCEEFF" w:val="clear"/>
            <w:vAlign w:val="bottom"/>
          </w:tcPr>
          <w:p>
            <w:pPr>
              <w:pStyle w:val="TableContents"/>
              <w:bidi w:val="0"/>
              <w:spacing w:before="0" w:after="283"/>
              <w:jc w:val="left"/>
              <w:rPr/>
            </w:pPr>
            <w:r>
              <w:rPr/>
              <w:t> </w:t>
            </w:r>
          </w:p>
        </w:tc>
        <w:tc>
          <w:tcPr>
            <w:tcW w:w="6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1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10.8</w:t>
            </w:r>
          </w:p>
        </w:tc>
        <w:tc>
          <w:tcPr>
            <w:tcW w:w="235" w:type="dxa"/>
            <w:tcBorders/>
            <w:shd w:fill="CCEEFF" w:val="clear"/>
            <w:vAlign w:val="bottom"/>
          </w:tcPr>
          <w:p>
            <w:pPr>
              <w:pStyle w:val="TableContents"/>
              <w:bidi w:val="0"/>
              <w:spacing w:before="0" w:after="0"/>
              <w:jc w:val="left"/>
              <w:rPr>
                <w:color w:val="000000"/>
              </w:rPr>
            </w:pPr>
            <w:r>
              <w:rPr>
                <w:color w:val="000000"/>
              </w:rPr>
              <w:t>%</w:t>
            </w:r>
          </w:p>
        </w:tc>
        <w:tc>
          <w:tcPr>
            <w:tcW w:w="65" w:type="dxa"/>
            <w:tcBorders/>
            <w:shd w:fill="CCEEFF" w:val="clear"/>
            <w:vAlign w:val="bottom"/>
          </w:tcPr>
          <w:p>
            <w:pPr>
              <w:pStyle w:val="TableContents"/>
              <w:bidi w:val="0"/>
              <w:spacing w:before="0" w:after="283"/>
              <w:jc w:val="left"/>
              <w:rPr/>
            </w:pPr>
            <w:r>
              <w:rPr/>
              <w:t> </w:t>
            </w:r>
          </w:p>
        </w:tc>
        <w:tc>
          <w:tcPr>
            <w:tcW w:w="6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1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(8.5</w:t>
            </w:r>
          </w:p>
        </w:tc>
        <w:tc>
          <w:tcPr>
            <w:tcW w:w="317" w:type="dxa"/>
            <w:tcBorders/>
            <w:shd w:fill="CCEEFF" w:val="clear"/>
            <w:vAlign w:val="bottom"/>
          </w:tcPr>
          <w:p>
            <w:pPr>
              <w:pStyle w:val="TableContents"/>
              <w:bidi w:val="0"/>
              <w:spacing w:before="0" w:after="0"/>
              <w:jc w:val="left"/>
              <w:rPr>
                <w:color w:val="000000"/>
              </w:rPr>
            </w:pPr>
            <w:r>
              <w:rPr>
                <w:color w:val="000000"/>
              </w:rPr>
              <w:t>)%</w:t>
            </w:r>
          </w:p>
        </w:tc>
        <w:tc>
          <w:tcPr>
            <w:tcW w:w="65" w:type="dxa"/>
            <w:tcBorders/>
            <w:shd w:fill="CCEEFF" w:val="clear"/>
            <w:vAlign w:val="bottom"/>
          </w:tcPr>
          <w:p>
            <w:pPr>
              <w:pStyle w:val="TableContents"/>
              <w:bidi w:val="0"/>
              <w:spacing w:before="0" w:after="283"/>
              <w:jc w:val="left"/>
              <w:rPr/>
            </w:pPr>
            <w:r>
              <w:rPr/>
              <w:t> </w:t>
            </w:r>
          </w:p>
        </w:tc>
        <w:tc>
          <w:tcPr>
            <w:tcW w:w="6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1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0.4</w:t>
            </w:r>
          </w:p>
        </w:tc>
        <w:tc>
          <w:tcPr>
            <w:tcW w:w="215"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2025 Compared to 2024</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Overview</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Revenue in 2025 decreased 14% to $1.49 billion from $1.73 billion in 2024. Our 2025 revenue was negatively impacted 0.8% from foreign-currency fluctuations. As of the end of the fourth quarter of 2025, Customers decreased 10%, Paid Affiliates decreased 11% and Sales Leaders decreased 19% compared to the prior year.</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year-over-year decrease in our 2025 revenue was primarily driven by the continued macroeconomic pressures we’ve been facing in our markets, which have negatively impacted consumer spending and customer acquisition. In addition, while we believe we continue to make progress on our long-term vision, we have experienced headwinds from the transformation process. Our priorities for 2025 were to focus on business model optimization, driven by the continued rollout of enhancements to our sales performance plan, the initial limited previews of our </w:t>
      </w:r>
      <w:r>
        <w:rPr>
          <w:rFonts w:ascii="Times New Roman;Times;serif" w:hAnsi="Times New Roman;Times;serif"/>
          <w:i/>
          <w:color w:val="000000"/>
          <w:sz w:val="20"/>
          <w:shd w:fill="FFFFFF" w:val="clear"/>
        </w:rPr>
        <w:t>Prysm iO</w:t>
      </w:r>
      <w:r>
        <w:rPr>
          <w:rFonts w:ascii="Times New Roman;Times;serif" w:hAnsi="Times New Roman;Times;serif"/>
          <w:color w:val="000000"/>
          <w:sz w:val="20"/>
          <w:shd w:fill="FFFFFF" w:val="clear"/>
        </w:rPr>
        <w:t xml:space="preserve"> intelligent wellness platform and the continued business expansion into India. We are continuing the launch process into 2026 with the consumer launch slated for the back half of the year. We currently anticipate approximately $30 million of revenue from sales of the </w:t>
      </w:r>
      <w:r>
        <w:rPr>
          <w:rFonts w:ascii="Times New Roman;Times;serif" w:hAnsi="Times New Roman;Times;serif"/>
          <w:i/>
          <w:color w:val="000000"/>
          <w:sz w:val="20"/>
          <w:shd w:fill="FFFFFF" w:val="clear"/>
        </w:rPr>
        <w:t>Prysm iO</w:t>
      </w:r>
      <w:r>
        <w:rPr>
          <w:rFonts w:ascii="Times New Roman;Times;serif" w:hAnsi="Times New Roman;Times;serif"/>
          <w:color w:val="000000"/>
          <w:sz w:val="20"/>
          <w:shd w:fill="FFFFFF" w:val="clear"/>
        </w:rPr>
        <w:t xml:space="preserve"> device during 2026, with additional revenue anticipated from subscription sales derived from consumers’ use of the device. During the fourth quarter of 2025, we recognized nominal revenue from our India market pre-opening; we remain focused on the formal launch, which is anticipated in the second half of 2026.</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Earnings per share in 2025 increased to $3.18 from $(2.95) in 2024. Our 2025 earnings per share benefited from the January 2025 sale of our Mavely business, which generated a pre-tax gain of approximately $176.2 million, partially offset by the associated taxes, an intangible asset group impairment of $25.1 million in our Rhyz Other segment, a non-cash loss on equity investment of $28.1 million and the decline in revenue. Our 2024 earnings per share was negatively impacted by $202.4 million of restructuring and impairment charges, and an inventory write-off charge of $38.8 million.</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Segment Results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report our business in nine segments to reflect our current management approach. These segments consist of our seven geographic Nu Skin segments—Americas, Southeast Asia/Pacific, Mainland China, Japan, Europe &amp; Africa, South Korea, and Hong Kong/Taiwan—and our two Rhyz segments—Manufacturing and Rhyz Other. The Nu Skin Other category includes miscellaneous corporate revenue and related adjustments. The Rhyz Other segment includes other investments by our Rhyz strategic investment arm.</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55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sets forth revenue for the years ended December 31, 2025 and 2024 for each of our reportable segments (U.S. dollars in thousands):</w:t>
      </w:r>
    </w:p>
    <w:p>
      <w:pPr>
        <w:pStyle w:val="TextBody"/>
        <w:bidi w:val="0"/>
        <w:spacing w:before="0" w:after="0"/>
        <w:jc w:val="left"/>
        <w:rPr/>
      </w:pPr>
      <w:r>
        <w:rPr/>
      </w:r>
    </w:p>
    <w:tbl>
      <w:tblPr>
        <w:tblW w:w="7932" w:type="dxa"/>
        <w:jc w:val="left"/>
        <w:tblInd w:w="0" w:type="dxa"/>
        <w:tblLayout w:type="fixed"/>
        <w:tblCellMar>
          <w:top w:w="0" w:type="dxa"/>
          <w:left w:w="0" w:type="dxa"/>
          <w:bottom w:w="0" w:type="dxa"/>
          <w:right w:w="0" w:type="dxa"/>
        </w:tblCellMar>
      </w:tblPr>
      <w:tblGrid>
        <w:gridCol w:w="2135"/>
        <w:gridCol w:w="60"/>
        <w:gridCol w:w="161"/>
        <w:gridCol w:w="1129"/>
        <w:gridCol w:w="69"/>
        <w:gridCol w:w="69"/>
        <w:gridCol w:w="161"/>
        <w:gridCol w:w="1129"/>
        <w:gridCol w:w="180"/>
        <w:gridCol w:w="180"/>
        <w:gridCol w:w="85"/>
        <w:gridCol w:w="730"/>
        <w:gridCol w:w="290"/>
        <w:gridCol w:w="180"/>
        <w:gridCol w:w="112"/>
        <w:gridCol w:w="972"/>
        <w:gridCol w:w="290"/>
      </w:tblGrid>
      <w:tr>
        <w:trPr/>
        <w:tc>
          <w:tcPr>
            <w:tcW w:w="2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18" w:type="dxa"/>
            <w:gridSpan w:val="6"/>
            <w:tcBorders/>
            <w:vAlign w:val="bottom"/>
          </w:tcPr>
          <w:p>
            <w:pPr>
              <w:pStyle w:val="TableContents"/>
              <w:bidi w:val="0"/>
              <w:spacing w:before="0" w:after="283"/>
              <w:jc w:val="left"/>
              <w:rPr/>
            </w:pPr>
            <w:r>
              <w:rPr/>
              <w:t> </w:t>
            </w:r>
          </w:p>
        </w:tc>
        <w:tc>
          <w:tcPr>
            <w:tcW w:w="180" w:type="dxa"/>
            <w:vMerge w:val="restart"/>
            <w:tcBorders/>
            <w:vAlign w:val="bottom"/>
          </w:tcPr>
          <w:p>
            <w:pPr>
              <w:pStyle w:val="TableContents"/>
              <w:bidi w:val="0"/>
              <w:spacing w:before="0" w:after="283"/>
              <w:jc w:val="left"/>
              <w:rPr/>
            </w:pPr>
            <w:r>
              <w:rPr/>
              <w:t>   </w:t>
            </w:r>
          </w:p>
        </w:tc>
        <w:tc>
          <w:tcPr>
            <w:tcW w:w="180" w:type="dxa"/>
            <w:vMerge w:val="restart"/>
            <w:tcBorders/>
            <w:vAlign w:val="bottom"/>
          </w:tcPr>
          <w:p>
            <w:pPr>
              <w:pStyle w:val="TableContents"/>
              <w:bidi w:val="0"/>
              <w:spacing w:before="0" w:after="283"/>
              <w:jc w:val="left"/>
              <w:rPr/>
            </w:pPr>
            <w:r>
              <w:rPr/>
              <w:t>   </w:t>
            </w:r>
          </w:p>
        </w:tc>
        <w:tc>
          <w:tcPr>
            <w:tcW w:w="815" w:type="dxa"/>
            <w:gridSpan w:val="2"/>
            <w:vMerge w:val="restart"/>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Change</w:t>
            </w:r>
          </w:p>
        </w:tc>
        <w:tc>
          <w:tcPr>
            <w:tcW w:w="290" w:type="dxa"/>
            <w:vMerge w:val="restart"/>
            <w:tcBorders/>
            <w:vAlign w:val="bottom"/>
          </w:tcPr>
          <w:p>
            <w:pPr>
              <w:pStyle w:val="TableContents"/>
              <w:bidi w:val="0"/>
              <w:spacing w:before="0" w:after="283"/>
              <w:jc w:val="left"/>
              <w:rPr/>
            </w:pPr>
            <w:r>
              <w:rPr/>
              <w:t>   </w:t>
            </w:r>
          </w:p>
        </w:tc>
        <w:tc>
          <w:tcPr>
            <w:tcW w:w="180" w:type="dxa"/>
            <w:vMerge w:val="restart"/>
            <w:tcBorders/>
            <w:vAlign w:val="bottom"/>
          </w:tcPr>
          <w:p>
            <w:pPr>
              <w:pStyle w:val="TableContents"/>
              <w:bidi w:val="0"/>
              <w:spacing w:before="0" w:after="283"/>
              <w:jc w:val="left"/>
              <w:rPr/>
            </w:pPr>
            <w:r>
              <w:rPr/>
              <w:t>   </w:t>
            </w:r>
          </w:p>
        </w:tc>
        <w:tc>
          <w:tcPr>
            <w:tcW w:w="1084" w:type="dxa"/>
            <w:gridSpan w:val="2"/>
            <w:vMerge w:val="restart"/>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Constant</w:t>
            </w:r>
          </w:p>
          <w:p>
            <w:pPr>
              <w:pStyle w:val="TableContents"/>
              <w:bidi w:val="0"/>
              <w:spacing w:before="0" w:after="0"/>
              <w:jc w:val="center"/>
              <w:rPr>
                <w:b/>
                <w:color w:val="000000"/>
              </w:rPr>
            </w:pPr>
            <w:r>
              <w:rPr>
                <w:b/>
                <w:color w:val="000000"/>
              </w:rPr>
              <w:t>Currency</w:t>
            </w:r>
          </w:p>
          <w:p>
            <w:pPr>
              <w:pStyle w:val="TableContents"/>
              <w:bidi w:val="0"/>
              <w:spacing w:lineRule="auto" w:line="240" w:before="0" w:after="0"/>
              <w:jc w:val="center"/>
              <w:rPr>
                <w:b/>
                <w:color w:val="000000"/>
              </w:rPr>
            </w:pPr>
            <w:r>
              <w:rPr>
                <w:b/>
                <w:color w:val="000000"/>
              </w:rPr>
              <w:t>Change(1)</w:t>
            </w:r>
          </w:p>
        </w:tc>
        <w:tc>
          <w:tcPr>
            <w:tcW w:w="290" w:type="dxa"/>
            <w:vMerge w:val="restart"/>
            <w:tcBorders/>
            <w:vAlign w:val="bottom"/>
          </w:tcPr>
          <w:p>
            <w:pPr>
              <w:pStyle w:val="TableContents"/>
              <w:bidi w:val="0"/>
              <w:spacing w:before="0" w:after="283"/>
              <w:jc w:val="left"/>
              <w:rPr/>
            </w:pPr>
            <w:r>
              <w:rPr/>
              <w:t>   </w:t>
            </w:r>
          </w:p>
        </w:tc>
      </w:tr>
      <w:tr>
        <w:trPr/>
        <w:tc>
          <w:tcPr>
            <w:tcW w:w="2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18"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w:t>
            </w:r>
          </w:p>
        </w:tc>
        <w:tc>
          <w:tcPr>
            <w:tcW w:w="180" w:type="dxa"/>
            <w:vMerge w:val="continue"/>
            <w:tcBorders/>
            <w:vAlign w:val="bottom"/>
          </w:tcPr>
          <w:p>
            <w:pPr>
              <w:pStyle w:val="Normal"/>
              <w:bidi w:val="0"/>
              <w:jc w:val="left"/>
              <w:rPr/>
            </w:pPr>
            <w:r>
              <w:rPr/>
            </w:r>
          </w:p>
        </w:tc>
        <w:tc>
          <w:tcPr>
            <w:tcW w:w="180" w:type="dxa"/>
            <w:vMerge w:val="continue"/>
            <w:tcBorders/>
            <w:vAlign w:val="bottom"/>
          </w:tcPr>
          <w:p>
            <w:pPr>
              <w:pStyle w:val="Normal"/>
              <w:bidi w:val="0"/>
              <w:jc w:val="left"/>
              <w:rPr/>
            </w:pPr>
            <w:r>
              <w:rPr/>
            </w:r>
          </w:p>
        </w:tc>
        <w:tc>
          <w:tcPr>
            <w:tcW w:w="815" w:type="dxa"/>
            <w:gridSpan w:val="2"/>
            <w:vMerge w:val="continue"/>
            <w:tcBorders>
              <w:bottom w:val="single" w:sz="12" w:space="0" w:color="000000"/>
            </w:tcBorders>
            <w:tcMar>
              <w:bottom w:w="28" w:type="dxa"/>
            </w:tcMar>
            <w:vAlign w:val="bottom"/>
          </w:tcPr>
          <w:p>
            <w:pPr>
              <w:pStyle w:val="Normal"/>
              <w:bidi w:val="0"/>
              <w:jc w:val="left"/>
              <w:rPr/>
            </w:pPr>
            <w:r>
              <w:rPr/>
            </w:r>
          </w:p>
        </w:tc>
        <w:tc>
          <w:tcPr>
            <w:tcW w:w="290" w:type="dxa"/>
            <w:vMerge w:val="continue"/>
            <w:tcBorders/>
            <w:vAlign w:val="bottom"/>
          </w:tcPr>
          <w:p>
            <w:pPr>
              <w:pStyle w:val="Normal"/>
              <w:bidi w:val="0"/>
              <w:jc w:val="left"/>
              <w:rPr/>
            </w:pPr>
            <w:r>
              <w:rPr/>
            </w:r>
          </w:p>
        </w:tc>
        <w:tc>
          <w:tcPr>
            <w:tcW w:w="180" w:type="dxa"/>
            <w:vMerge w:val="continue"/>
            <w:tcBorders>
              <w:bottom w:val="single" w:sz="12" w:space="0" w:color="000000"/>
            </w:tcBorders>
            <w:tcMar>
              <w:bottom w:w="28" w:type="dxa"/>
            </w:tcMar>
            <w:vAlign w:val="bottom"/>
          </w:tcPr>
          <w:p>
            <w:pPr>
              <w:pStyle w:val="Normal"/>
              <w:bidi w:val="0"/>
              <w:jc w:val="left"/>
              <w:rPr/>
            </w:pPr>
            <w:r>
              <w:rPr/>
            </w:r>
          </w:p>
        </w:tc>
        <w:tc>
          <w:tcPr>
            <w:tcW w:w="1084" w:type="dxa"/>
            <w:gridSpan w:val="2"/>
            <w:vMerge w:val="continue"/>
            <w:tcBorders/>
            <w:vAlign w:val="bottom"/>
          </w:tcPr>
          <w:p>
            <w:pPr>
              <w:pStyle w:val="Normal"/>
              <w:bidi w:val="0"/>
              <w:jc w:val="left"/>
              <w:rPr/>
            </w:pPr>
            <w:r>
              <w:rPr/>
            </w:r>
          </w:p>
        </w:tc>
        <w:tc>
          <w:tcPr>
            <w:tcW w:w="290" w:type="dxa"/>
            <w:vMerge w:val="continue"/>
            <w:tcBorders/>
            <w:vAlign w:val="bottom"/>
          </w:tcPr>
          <w:p>
            <w:pPr>
              <w:pStyle w:val="Normal"/>
              <w:bidi w:val="0"/>
              <w:jc w:val="left"/>
              <w:rPr/>
            </w:pPr>
            <w:r>
              <w:rPr/>
            </w:r>
          </w:p>
        </w:tc>
      </w:tr>
      <w:tr>
        <w:trPr/>
        <w:tc>
          <w:tcPr>
            <w:tcW w:w="2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9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80" w:type="dxa"/>
            <w:vMerge w:val="continue"/>
            <w:tcBorders/>
            <w:vAlign w:val="bottom"/>
          </w:tcPr>
          <w:p>
            <w:pPr>
              <w:pStyle w:val="Normal"/>
              <w:bidi w:val="0"/>
              <w:jc w:val="left"/>
              <w:rPr/>
            </w:pPr>
            <w:r>
              <w:rPr/>
            </w:r>
          </w:p>
        </w:tc>
        <w:tc>
          <w:tcPr>
            <w:tcW w:w="180" w:type="dxa"/>
            <w:vMerge w:val="continue"/>
            <w:tcBorders/>
            <w:vAlign w:val="bottom"/>
          </w:tcPr>
          <w:p>
            <w:pPr>
              <w:pStyle w:val="Normal"/>
              <w:bidi w:val="0"/>
              <w:jc w:val="left"/>
              <w:rPr/>
            </w:pPr>
            <w:r>
              <w:rPr/>
            </w:r>
          </w:p>
        </w:tc>
        <w:tc>
          <w:tcPr>
            <w:tcW w:w="815" w:type="dxa"/>
            <w:gridSpan w:val="2"/>
            <w:vMerge w:val="continue"/>
            <w:tcBorders>
              <w:bottom w:val="single" w:sz="12" w:space="0" w:color="000000"/>
            </w:tcBorders>
            <w:tcMar>
              <w:bottom w:w="28" w:type="dxa"/>
            </w:tcMar>
            <w:vAlign w:val="bottom"/>
          </w:tcPr>
          <w:p>
            <w:pPr>
              <w:pStyle w:val="Normal"/>
              <w:bidi w:val="0"/>
              <w:jc w:val="left"/>
              <w:rPr/>
            </w:pPr>
            <w:r>
              <w:rPr/>
            </w:r>
          </w:p>
        </w:tc>
        <w:tc>
          <w:tcPr>
            <w:tcW w:w="290" w:type="dxa"/>
            <w:vMerge w:val="continue"/>
            <w:tcBorders/>
            <w:vAlign w:val="bottom"/>
          </w:tcPr>
          <w:p>
            <w:pPr>
              <w:pStyle w:val="Normal"/>
              <w:bidi w:val="0"/>
              <w:jc w:val="left"/>
              <w:rPr/>
            </w:pPr>
            <w:r>
              <w:rPr/>
            </w:r>
          </w:p>
        </w:tc>
        <w:tc>
          <w:tcPr>
            <w:tcW w:w="180" w:type="dxa"/>
            <w:vMerge w:val="continue"/>
            <w:tcBorders>
              <w:bottom w:val="single" w:sz="12" w:space="0" w:color="000000"/>
            </w:tcBorders>
            <w:tcMar>
              <w:bottom w:w="28" w:type="dxa"/>
            </w:tcMar>
            <w:vAlign w:val="bottom"/>
          </w:tcPr>
          <w:p>
            <w:pPr>
              <w:pStyle w:val="Normal"/>
              <w:bidi w:val="0"/>
              <w:jc w:val="left"/>
              <w:rPr/>
            </w:pPr>
            <w:r>
              <w:rPr/>
            </w:r>
          </w:p>
        </w:tc>
        <w:tc>
          <w:tcPr>
            <w:tcW w:w="1084" w:type="dxa"/>
            <w:gridSpan w:val="2"/>
            <w:vMerge w:val="continue"/>
            <w:tcBorders/>
            <w:vAlign w:val="bottom"/>
          </w:tcPr>
          <w:p>
            <w:pPr>
              <w:pStyle w:val="Normal"/>
              <w:bidi w:val="0"/>
              <w:jc w:val="left"/>
              <w:rPr/>
            </w:pPr>
            <w:r>
              <w:rPr/>
            </w:r>
          </w:p>
        </w:tc>
        <w:tc>
          <w:tcPr>
            <w:tcW w:w="290" w:type="dxa"/>
            <w:vMerge w:val="continue"/>
            <w:tcBorders/>
            <w:vAlign w:val="bottom"/>
          </w:tcPr>
          <w:p>
            <w:pPr>
              <w:pStyle w:val="Normal"/>
              <w:bidi w:val="0"/>
              <w:jc w:val="left"/>
              <w:rPr/>
            </w:pPr>
            <w:r>
              <w:rPr/>
            </w:r>
          </w:p>
        </w:tc>
      </w:tr>
      <w:tr>
        <w:trPr/>
        <w:tc>
          <w:tcPr>
            <w:tcW w:w="2135" w:type="dxa"/>
            <w:tcBorders/>
            <w:vAlign w:val="bottom"/>
          </w:tcPr>
          <w:p>
            <w:pPr>
              <w:pStyle w:val="TableContents"/>
              <w:bidi w:val="0"/>
              <w:spacing w:before="0" w:after="0"/>
              <w:ind w:left="144" w:right="0" w:hanging="144"/>
              <w:jc w:val="left"/>
              <w:rPr>
                <w:i/>
                <w:color w:val="000000"/>
              </w:rPr>
            </w:pPr>
            <w:r>
              <w:rPr>
                <w:i/>
                <w:color w:val="000000"/>
              </w:rPr>
              <w:t>Nu Skin</w:t>
            </w:r>
          </w:p>
        </w:tc>
        <w:tc>
          <w:tcPr>
            <w:tcW w:w="60" w:type="dxa"/>
            <w:tcBorders/>
            <w:vAlign w:val="bottom"/>
          </w:tcPr>
          <w:p>
            <w:pPr>
              <w:pStyle w:val="TableContents"/>
              <w:bidi w:val="0"/>
              <w:spacing w:before="0" w:after="283"/>
              <w:jc w:val="left"/>
              <w:rPr/>
            </w:pPr>
            <w:r>
              <w:rPr/>
              <w:t> </w:t>
            </w:r>
          </w:p>
        </w:tc>
        <w:tc>
          <w:tcPr>
            <w:tcW w:w="1290" w:type="dxa"/>
            <w:gridSpan w:val="2"/>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90" w:type="dxa"/>
            <w:gridSpan w:val="2"/>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084"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r>
      <w:tr>
        <w:trPr/>
        <w:tc>
          <w:tcPr>
            <w:tcW w:w="2135" w:type="dxa"/>
            <w:tcBorders/>
            <w:shd w:fill="CCEEFF" w:val="clear"/>
            <w:vAlign w:val="bottom"/>
          </w:tcPr>
          <w:p>
            <w:pPr>
              <w:pStyle w:val="TableContents"/>
              <w:bidi w:val="0"/>
              <w:spacing w:before="0" w:after="0"/>
              <w:ind w:left="324" w:right="0" w:hanging="144"/>
              <w:jc w:val="left"/>
              <w:rPr>
                <w:color w:val="000000"/>
              </w:rPr>
            </w:pPr>
            <w:r>
              <w:rPr>
                <w:color w:val="000000"/>
              </w:rPr>
              <w:t>Americas</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0"/>
              <w:jc w:val="left"/>
              <w:rPr>
                <w:color w:val="000000"/>
              </w:rPr>
            </w:pPr>
            <w:r>
              <w:rPr>
                <w:color w:val="000000"/>
              </w:rPr>
              <w:t>$</w:t>
            </w:r>
          </w:p>
        </w:tc>
        <w:tc>
          <w:tcPr>
            <w:tcW w:w="1129" w:type="dxa"/>
            <w:tcBorders/>
            <w:shd w:fill="CCEEFF" w:val="clear"/>
            <w:vAlign w:val="bottom"/>
          </w:tcPr>
          <w:p>
            <w:pPr>
              <w:pStyle w:val="TableContents"/>
              <w:bidi w:val="0"/>
              <w:spacing w:before="0" w:after="0"/>
              <w:jc w:val="right"/>
              <w:rPr>
                <w:color w:val="000000"/>
              </w:rPr>
            </w:pPr>
            <w:r>
              <w:rPr>
                <w:color w:val="000000"/>
              </w:rPr>
              <w:t>282,975</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0"/>
              <w:jc w:val="left"/>
              <w:rPr>
                <w:color w:val="000000"/>
              </w:rPr>
            </w:pPr>
            <w:r>
              <w:rPr>
                <w:color w:val="000000"/>
              </w:rPr>
              <w:t>$</w:t>
            </w:r>
          </w:p>
        </w:tc>
        <w:tc>
          <w:tcPr>
            <w:tcW w:w="1129" w:type="dxa"/>
            <w:tcBorders/>
            <w:shd w:fill="CCEEFF" w:val="clear"/>
            <w:vAlign w:val="bottom"/>
          </w:tcPr>
          <w:p>
            <w:pPr>
              <w:pStyle w:val="TableContents"/>
              <w:bidi w:val="0"/>
              <w:spacing w:before="0" w:after="0"/>
              <w:jc w:val="right"/>
              <w:rPr>
                <w:color w:val="000000"/>
              </w:rPr>
            </w:pPr>
            <w:r>
              <w:rPr>
                <w:color w:val="000000"/>
              </w:rPr>
              <w:t>322,516</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color w:val="000000"/>
              </w:rPr>
            </w:pPr>
            <w:r>
              <w:rPr>
                <w:color w:val="000000"/>
              </w:rPr>
              <w:t>(12.3</w:t>
            </w:r>
          </w:p>
        </w:tc>
        <w:tc>
          <w:tcPr>
            <w:tcW w:w="290" w:type="dxa"/>
            <w:tcBorders/>
            <w:shd w:fill="CCEEFF" w:val="clear"/>
            <w:vAlign w:val="bottom"/>
          </w:tcPr>
          <w:p>
            <w:pPr>
              <w:pStyle w:val="TableContents"/>
              <w:bidi w:val="0"/>
              <w:spacing w:before="0" w:after="0"/>
              <w:jc w:val="left"/>
              <w:rPr>
                <w:color w:val="000000"/>
              </w:rPr>
            </w:pPr>
            <w:r>
              <w:rPr>
                <w:color w:val="000000"/>
              </w:rPr>
              <w:t>)%</w:t>
            </w:r>
          </w:p>
        </w:tc>
        <w:tc>
          <w:tcPr>
            <w:tcW w:w="18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0"/>
              <w:jc w:val="right"/>
              <w:rPr>
                <w:color w:val="000000"/>
              </w:rPr>
            </w:pPr>
            <w:r>
              <w:rPr>
                <w:color w:val="000000"/>
              </w:rPr>
              <w:t>(6.2</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2135" w:type="dxa"/>
            <w:tcBorders/>
            <w:vAlign w:val="bottom"/>
          </w:tcPr>
          <w:p>
            <w:pPr>
              <w:pStyle w:val="TableContents"/>
              <w:bidi w:val="0"/>
              <w:spacing w:before="0" w:after="0"/>
              <w:ind w:left="324" w:right="0" w:hanging="144"/>
              <w:jc w:val="left"/>
              <w:rPr>
                <w:color w:val="000000"/>
              </w:rPr>
            </w:pPr>
            <w:r>
              <w:rPr>
                <w:color w:val="000000"/>
              </w:rPr>
              <w:t>Southeast Asia/Pacific</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0"/>
              <w:jc w:val="right"/>
              <w:rPr>
                <w:color w:val="000000"/>
              </w:rPr>
            </w:pPr>
            <w:r>
              <w:rPr>
                <w:color w:val="000000"/>
              </w:rPr>
              <w:t>209,802</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0"/>
              <w:jc w:val="right"/>
              <w:rPr>
                <w:color w:val="000000"/>
              </w:rPr>
            </w:pPr>
            <w:r>
              <w:rPr>
                <w:color w:val="000000"/>
              </w:rPr>
              <w:t>244,846</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color w:val="000000"/>
              </w:rPr>
            </w:pPr>
            <w:r>
              <w:rPr>
                <w:color w:val="000000"/>
              </w:rPr>
              <w:t>(14.3</w:t>
            </w:r>
          </w:p>
        </w:tc>
        <w:tc>
          <w:tcPr>
            <w:tcW w:w="290" w:type="dxa"/>
            <w:tcBorders/>
            <w:vAlign w:val="bottom"/>
          </w:tcPr>
          <w:p>
            <w:pPr>
              <w:pStyle w:val="TableContents"/>
              <w:bidi w:val="0"/>
              <w:spacing w:before="0" w:after="0"/>
              <w:jc w:val="left"/>
              <w:rPr>
                <w:color w:val="000000"/>
              </w:rPr>
            </w:pPr>
            <w:r>
              <w:rPr>
                <w:color w:val="000000"/>
              </w:rPr>
              <w:t>)%</w:t>
            </w:r>
          </w:p>
        </w:tc>
        <w:tc>
          <w:tcPr>
            <w:tcW w:w="18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0"/>
              <w:jc w:val="right"/>
              <w:rPr>
                <w:color w:val="000000"/>
              </w:rPr>
            </w:pPr>
            <w:r>
              <w:rPr>
                <w:color w:val="000000"/>
              </w:rPr>
              <w:t>(14.6</w:t>
            </w:r>
          </w:p>
        </w:tc>
        <w:tc>
          <w:tcPr>
            <w:tcW w:w="290" w:type="dxa"/>
            <w:tcBorders/>
            <w:vAlign w:val="bottom"/>
          </w:tcPr>
          <w:p>
            <w:pPr>
              <w:pStyle w:val="TableContents"/>
              <w:bidi w:val="0"/>
              <w:spacing w:before="0" w:after="0"/>
              <w:jc w:val="left"/>
              <w:rPr>
                <w:color w:val="000000"/>
              </w:rPr>
            </w:pPr>
            <w:r>
              <w:rPr>
                <w:color w:val="000000"/>
              </w:rPr>
              <w:t>)%</w:t>
            </w:r>
          </w:p>
        </w:tc>
      </w:tr>
      <w:tr>
        <w:trPr/>
        <w:tc>
          <w:tcPr>
            <w:tcW w:w="2135" w:type="dxa"/>
            <w:tcBorders/>
            <w:shd w:fill="CCEEFF" w:val="clear"/>
            <w:vAlign w:val="bottom"/>
          </w:tcPr>
          <w:p>
            <w:pPr>
              <w:pStyle w:val="TableContents"/>
              <w:bidi w:val="0"/>
              <w:spacing w:before="0" w:after="0"/>
              <w:ind w:left="324" w:right="0" w:hanging="144"/>
              <w:jc w:val="left"/>
              <w:rPr>
                <w:color w:val="000000"/>
              </w:rPr>
            </w:pPr>
            <w:r>
              <w:rPr>
                <w:color w:val="000000"/>
              </w:rPr>
              <w:t>Mainland China</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0"/>
              <w:jc w:val="right"/>
              <w:rPr>
                <w:color w:val="000000"/>
              </w:rPr>
            </w:pPr>
            <w:r>
              <w:rPr>
                <w:color w:val="000000"/>
              </w:rPr>
              <w:t>195,553</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0"/>
              <w:jc w:val="right"/>
              <w:rPr>
                <w:color w:val="000000"/>
              </w:rPr>
            </w:pPr>
            <w:r>
              <w:rPr>
                <w:color w:val="000000"/>
              </w:rPr>
              <w:t>235,235</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color w:val="000000"/>
              </w:rPr>
            </w:pPr>
            <w:r>
              <w:rPr>
                <w:color w:val="000000"/>
              </w:rPr>
              <w:t>(16.9</w:t>
            </w:r>
          </w:p>
        </w:tc>
        <w:tc>
          <w:tcPr>
            <w:tcW w:w="290" w:type="dxa"/>
            <w:tcBorders/>
            <w:shd w:fill="CCEEFF" w:val="clear"/>
            <w:vAlign w:val="bottom"/>
          </w:tcPr>
          <w:p>
            <w:pPr>
              <w:pStyle w:val="TableContents"/>
              <w:bidi w:val="0"/>
              <w:spacing w:before="0" w:after="0"/>
              <w:jc w:val="left"/>
              <w:rPr>
                <w:color w:val="000000"/>
              </w:rPr>
            </w:pPr>
            <w:r>
              <w:rPr>
                <w:color w:val="000000"/>
              </w:rPr>
              <w:t>)%</w:t>
            </w:r>
          </w:p>
        </w:tc>
        <w:tc>
          <w:tcPr>
            <w:tcW w:w="18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0"/>
              <w:jc w:val="right"/>
              <w:rPr>
                <w:color w:val="000000"/>
              </w:rPr>
            </w:pPr>
            <w:r>
              <w:rPr>
                <w:color w:val="000000"/>
              </w:rPr>
              <w:t>(16.9</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2135" w:type="dxa"/>
            <w:tcBorders/>
            <w:vAlign w:val="bottom"/>
          </w:tcPr>
          <w:p>
            <w:pPr>
              <w:pStyle w:val="TableContents"/>
              <w:bidi w:val="0"/>
              <w:spacing w:before="0" w:after="0"/>
              <w:ind w:left="324" w:right="0" w:hanging="144"/>
              <w:jc w:val="left"/>
              <w:rPr>
                <w:color w:val="000000"/>
              </w:rPr>
            </w:pPr>
            <w:r>
              <w:rPr>
                <w:color w:val="000000"/>
              </w:rPr>
              <w:t>Japan</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0"/>
              <w:jc w:val="right"/>
              <w:rPr>
                <w:color w:val="000000"/>
              </w:rPr>
            </w:pPr>
            <w:r>
              <w:rPr>
                <w:color w:val="000000"/>
              </w:rPr>
              <w:t>174,364</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0"/>
              <w:jc w:val="right"/>
              <w:rPr>
                <w:color w:val="000000"/>
              </w:rPr>
            </w:pPr>
            <w:r>
              <w:rPr>
                <w:color w:val="000000"/>
              </w:rPr>
              <w:t>181,557</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color w:val="000000"/>
              </w:rPr>
            </w:pPr>
            <w:r>
              <w:rPr>
                <w:color w:val="000000"/>
              </w:rPr>
              <w:t>(4.0</w:t>
            </w:r>
          </w:p>
        </w:tc>
        <w:tc>
          <w:tcPr>
            <w:tcW w:w="290" w:type="dxa"/>
            <w:tcBorders/>
            <w:vAlign w:val="bottom"/>
          </w:tcPr>
          <w:p>
            <w:pPr>
              <w:pStyle w:val="TableContents"/>
              <w:bidi w:val="0"/>
              <w:spacing w:before="0" w:after="0"/>
              <w:jc w:val="left"/>
              <w:rPr>
                <w:color w:val="000000"/>
              </w:rPr>
            </w:pPr>
            <w:r>
              <w:rPr>
                <w:color w:val="000000"/>
              </w:rPr>
              <w:t>)%</w:t>
            </w:r>
          </w:p>
        </w:tc>
        <w:tc>
          <w:tcPr>
            <w:tcW w:w="18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0"/>
              <w:jc w:val="right"/>
              <w:rPr>
                <w:color w:val="000000"/>
              </w:rPr>
            </w:pPr>
            <w:r>
              <w:rPr>
                <w:color w:val="000000"/>
              </w:rPr>
              <w:t>(5.1</w:t>
            </w:r>
          </w:p>
        </w:tc>
        <w:tc>
          <w:tcPr>
            <w:tcW w:w="290" w:type="dxa"/>
            <w:tcBorders/>
            <w:vAlign w:val="bottom"/>
          </w:tcPr>
          <w:p>
            <w:pPr>
              <w:pStyle w:val="TableContents"/>
              <w:bidi w:val="0"/>
              <w:spacing w:before="0" w:after="0"/>
              <w:jc w:val="left"/>
              <w:rPr>
                <w:color w:val="000000"/>
              </w:rPr>
            </w:pPr>
            <w:r>
              <w:rPr>
                <w:color w:val="000000"/>
              </w:rPr>
              <w:t>)%</w:t>
            </w:r>
          </w:p>
        </w:tc>
      </w:tr>
      <w:tr>
        <w:trPr/>
        <w:tc>
          <w:tcPr>
            <w:tcW w:w="2135" w:type="dxa"/>
            <w:tcBorders/>
            <w:shd w:fill="CCEEFF" w:val="clear"/>
            <w:vAlign w:val="bottom"/>
          </w:tcPr>
          <w:p>
            <w:pPr>
              <w:pStyle w:val="TableContents"/>
              <w:bidi w:val="0"/>
              <w:spacing w:before="0" w:after="0"/>
              <w:ind w:left="324" w:right="0" w:hanging="144"/>
              <w:jc w:val="left"/>
              <w:rPr>
                <w:color w:val="000000"/>
              </w:rPr>
            </w:pPr>
            <w:r>
              <w:rPr>
                <w:color w:val="000000"/>
              </w:rPr>
              <w:t>Europe &amp; Africa</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0"/>
              <w:jc w:val="right"/>
              <w:rPr>
                <w:color w:val="000000"/>
              </w:rPr>
            </w:pPr>
            <w:r>
              <w:rPr>
                <w:color w:val="000000"/>
              </w:rPr>
              <w:t>150,151</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0"/>
              <w:jc w:val="right"/>
              <w:rPr>
                <w:color w:val="000000"/>
              </w:rPr>
            </w:pPr>
            <w:r>
              <w:rPr>
                <w:color w:val="000000"/>
              </w:rPr>
              <w:t>164,164</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color w:val="000000"/>
              </w:rPr>
            </w:pPr>
            <w:r>
              <w:rPr>
                <w:color w:val="000000"/>
              </w:rPr>
              <w:t>(8.5</w:t>
            </w:r>
          </w:p>
        </w:tc>
        <w:tc>
          <w:tcPr>
            <w:tcW w:w="290" w:type="dxa"/>
            <w:tcBorders/>
            <w:shd w:fill="CCEEFF" w:val="clear"/>
            <w:vAlign w:val="bottom"/>
          </w:tcPr>
          <w:p>
            <w:pPr>
              <w:pStyle w:val="TableContents"/>
              <w:bidi w:val="0"/>
              <w:spacing w:before="0" w:after="0"/>
              <w:jc w:val="left"/>
              <w:rPr>
                <w:color w:val="000000"/>
              </w:rPr>
            </w:pPr>
            <w:r>
              <w:rPr>
                <w:color w:val="000000"/>
              </w:rPr>
              <w:t>)%</w:t>
            </w:r>
          </w:p>
        </w:tc>
        <w:tc>
          <w:tcPr>
            <w:tcW w:w="18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0"/>
              <w:jc w:val="right"/>
              <w:rPr>
                <w:color w:val="000000"/>
              </w:rPr>
            </w:pPr>
            <w:r>
              <w:rPr>
                <w:color w:val="000000"/>
              </w:rPr>
              <w:t>(12.6</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2135" w:type="dxa"/>
            <w:tcBorders/>
            <w:vAlign w:val="bottom"/>
          </w:tcPr>
          <w:p>
            <w:pPr>
              <w:pStyle w:val="TableContents"/>
              <w:bidi w:val="0"/>
              <w:spacing w:before="0" w:after="0"/>
              <w:ind w:left="324" w:right="0" w:hanging="144"/>
              <w:jc w:val="left"/>
              <w:rPr>
                <w:color w:val="000000"/>
              </w:rPr>
            </w:pPr>
            <w:r>
              <w:rPr>
                <w:color w:val="000000"/>
              </w:rPr>
              <w:t>South Korea</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0"/>
              <w:jc w:val="right"/>
              <w:rPr>
                <w:color w:val="000000"/>
              </w:rPr>
            </w:pPr>
            <w:r>
              <w:rPr>
                <w:color w:val="000000"/>
              </w:rPr>
              <w:t>130,216</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0"/>
              <w:jc w:val="right"/>
              <w:rPr>
                <w:color w:val="000000"/>
              </w:rPr>
            </w:pPr>
            <w:r>
              <w:rPr>
                <w:color w:val="000000"/>
              </w:rPr>
              <w:t>163,706</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color w:val="000000"/>
              </w:rPr>
            </w:pPr>
            <w:r>
              <w:rPr>
                <w:color w:val="000000"/>
              </w:rPr>
              <w:t>(20.5</w:t>
            </w:r>
          </w:p>
        </w:tc>
        <w:tc>
          <w:tcPr>
            <w:tcW w:w="290" w:type="dxa"/>
            <w:tcBorders/>
            <w:vAlign w:val="bottom"/>
          </w:tcPr>
          <w:p>
            <w:pPr>
              <w:pStyle w:val="TableContents"/>
              <w:bidi w:val="0"/>
              <w:spacing w:before="0" w:after="0"/>
              <w:jc w:val="left"/>
              <w:rPr>
                <w:color w:val="000000"/>
              </w:rPr>
            </w:pPr>
            <w:r>
              <w:rPr>
                <w:color w:val="000000"/>
              </w:rPr>
              <w:t>)%</w:t>
            </w:r>
          </w:p>
        </w:tc>
        <w:tc>
          <w:tcPr>
            <w:tcW w:w="18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0"/>
              <w:jc w:val="right"/>
              <w:rPr>
                <w:color w:val="000000"/>
              </w:rPr>
            </w:pPr>
            <w:r>
              <w:rPr>
                <w:color w:val="000000"/>
              </w:rPr>
              <w:t>(17.1</w:t>
            </w:r>
          </w:p>
        </w:tc>
        <w:tc>
          <w:tcPr>
            <w:tcW w:w="290" w:type="dxa"/>
            <w:tcBorders/>
            <w:vAlign w:val="bottom"/>
          </w:tcPr>
          <w:p>
            <w:pPr>
              <w:pStyle w:val="TableContents"/>
              <w:bidi w:val="0"/>
              <w:spacing w:before="0" w:after="0"/>
              <w:jc w:val="left"/>
              <w:rPr>
                <w:color w:val="000000"/>
              </w:rPr>
            </w:pPr>
            <w:r>
              <w:rPr>
                <w:color w:val="000000"/>
              </w:rPr>
              <w:t>)%</w:t>
            </w:r>
          </w:p>
        </w:tc>
      </w:tr>
      <w:tr>
        <w:trPr/>
        <w:tc>
          <w:tcPr>
            <w:tcW w:w="2135" w:type="dxa"/>
            <w:tcBorders/>
            <w:shd w:fill="CCEEFF" w:val="clear"/>
            <w:vAlign w:val="bottom"/>
          </w:tcPr>
          <w:p>
            <w:pPr>
              <w:pStyle w:val="TableContents"/>
              <w:bidi w:val="0"/>
              <w:spacing w:before="0" w:after="0"/>
              <w:ind w:left="324" w:right="0" w:hanging="144"/>
              <w:jc w:val="left"/>
              <w:rPr>
                <w:color w:val="000000"/>
              </w:rPr>
            </w:pPr>
            <w:r>
              <w:rPr>
                <w:color w:val="000000"/>
              </w:rPr>
              <w:t>Hong Kong/ Taiwan</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0"/>
              <w:jc w:val="right"/>
              <w:rPr>
                <w:color w:val="000000"/>
              </w:rPr>
            </w:pPr>
            <w:r>
              <w:rPr>
                <w:color w:val="000000"/>
              </w:rPr>
              <w:t>117,378</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0"/>
              <w:jc w:val="right"/>
              <w:rPr>
                <w:color w:val="000000"/>
              </w:rPr>
            </w:pPr>
            <w:r>
              <w:rPr>
                <w:color w:val="000000"/>
              </w:rPr>
              <w:t>130,610</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color w:val="000000"/>
              </w:rPr>
            </w:pPr>
            <w:r>
              <w:rPr>
                <w:color w:val="000000"/>
              </w:rPr>
              <w:t>(10.1</w:t>
            </w:r>
          </w:p>
        </w:tc>
        <w:tc>
          <w:tcPr>
            <w:tcW w:w="290" w:type="dxa"/>
            <w:tcBorders/>
            <w:shd w:fill="CCEEFF" w:val="clear"/>
            <w:vAlign w:val="bottom"/>
          </w:tcPr>
          <w:p>
            <w:pPr>
              <w:pStyle w:val="TableContents"/>
              <w:bidi w:val="0"/>
              <w:spacing w:before="0" w:after="0"/>
              <w:jc w:val="left"/>
              <w:rPr>
                <w:color w:val="000000"/>
              </w:rPr>
            </w:pPr>
            <w:r>
              <w:rPr>
                <w:color w:val="000000"/>
              </w:rPr>
              <w:t>)%</w:t>
            </w:r>
          </w:p>
        </w:tc>
        <w:tc>
          <w:tcPr>
            <w:tcW w:w="18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0"/>
              <w:jc w:val="right"/>
              <w:rPr>
                <w:color w:val="000000"/>
              </w:rPr>
            </w:pPr>
            <w:r>
              <w:rPr>
                <w:color w:val="000000"/>
              </w:rPr>
              <w:t>(11.9</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2135" w:type="dxa"/>
            <w:tcBorders/>
            <w:vAlign w:val="bottom"/>
          </w:tcPr>
          <w:p>
            <w:pPr>
              <w:pStyle w:val="TableContents"/>
              <w:bidi w:val="0"/>
              <w:spacing w:before="0" w:after="0"/>
              <w:ind w:left="324" w:right="0" w:hanging="144"/>
              <w:jc w:val="left"/>
              <w:rPr>
                <w:color w:val="000000"/>
              </w:rPr>
            </w:pPr>
            <w:r>
              <w:rPr>
                <w:color w:val="000000"/>
              </w:rPr>
              <w:t>Other</w:t>
            </w:r>
          </w:p>
        </w:tc>
        <w:tc>
          <w:tcPr>
            <w:tcW w:w="60" w:type="dxa"/>
            <w:tcBorders/>
            <w:vAlign w:val="bottom"/>
          </w:tcPr>
          <w:p>
            <w:pPr>
              <w:pStyle w:val="TableContents"/>
              <w:bidi w:val="0"/>
              <w:spacing w:before="0" w:after="283"/>
              <w:jc w:val="left"/>
              <w:rPr/>
            </w:pPr>
            <w:r>
              <w:rPr/>
              <w:t> </w:t>
            </w:r>
          </w:p>
        </w:tc>
        <w:tc>
          <w:tcPr>
            <w:tcW w:w="161"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1,138</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61"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2,832</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color w:val="000000"/>
              </w:rPr>
            </w:pPr>
            <w:r>
              <w:rPr>
                <w:color w:val="000000"/>
              </w:rPr>
              <w:t>(59.8</w:t>
            </w:r>
          </w:p>
        </w:tc>
        <w:tc>
          <w:tcPr>
            <w:tcW w:w="290" w:type="dxa"/>
            <w:tcBorders/>
            <w:vAlign w:val="bottom"/>
          </w:tcPr>
          <w:p>
            <w:pPr>
              <w:pStyle w:val="TableContents"/>
              <w:bidi w:val="0"/>
              <w:spacing w:before="0" w:after="0"/>
              <w:jc w:val="left"/>
              <w:rPr>
                <w:color w:val="000000"/>
              </w:rPr>
            </w:pPr>
            <w:r>
              <w:rPr>
                <w:color w:val="000000"/>
              </w:rPr>
              <w:t>)%</w:t>
            </w:r>
          </w:p>
        </w:tc>
        <w:tc>
          <w:tcPr>
            <w:tcW w:w="18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0"/>
              <w:jc w:val="right"/>
              <w:rPr>
                <w:color w:val="000000"/>
              </w:rPr>
            </w:pPr>
            <w:r>
              <w:rPr>
                <w:color w:val="000000"/>
              </w:rPr>
              <w:t>(48.5</w:t>
            </w:r>
          </w:p>
        </w:tc>
        <w:tc>
          <w:tcPr>
            <w:tcW w:w="290" w:type="dxa"/>
            <w:tcBorders/>
            <w:vAlign w:val="bottom"/>
          </w:tcPr>
          <w:p>
            <w:pPr>
              <w:pStyle w:val="TableContents"/>
              <w:bidi w:val="0"/>
              <w:spacing w:before="0" w:after="0"/>
              <w:jc w:val="left"/>
              <w:rPr>
                <w:color w:val="000000"/>
              </w:rPr>
            </w:pPr>
            <w:r>
              <w:rPr>
                <w:color w:val="000000"/>
              </w:rPr>
              <w:t>)%</w:t>
            </w:r>
          </w:p>
        </w:tc>
      </w:tr>
      <w:tr>
        <w:trPr/>
        <w:tc>
          <w:tcPr>
            <w:tcW w:w="2135" w:type="dxa"/>
            <w:tcBorders/>
            <w:shd w:fill="CCEEFF" w:val="clear"/>
            <w:vAlign w:val="bottom"/>
          </w:tcPr>
          <w:p>
            <w:pPr>
              <w:pStyle w:val="TableContents"/>
              <w:bidi w:val="0"/>
              <w:spacing w:before="0" w:after="0"/>
              <w:ind w:left="144" w:right="0" w:hanging="144"/>
              <w:jc w:val="left"/>
              <w:rPr>
                <w:i/>
                <w:color w:val="000000"/>
              </w:rPr>
            </w:pPr>
            <w:r>
              <w:rPr>
                <w:i/>
                <w:color w:val="000000"/>
              </w:rPr>
              <w:t>Total Nu Skin</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0"/>
              <w:jc w:val="right"/>
              <w:rPr>
                <w:color w:val="000000"/>
              </w:rPr>
            </w:pPr>
            <w:r>
              <w:rPr>
                <w:color w:val="000000"/>
              </w:rPr>
              <w:t>1,261,577</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0"/>
              <w:jc w:val="right"/>
              <w:rPr>
                <w:color w:val="000000"/>
              </w:rPr>
            </w:pPr>
            <w:r>
              <w:rPr>
                <w:color w:val="000000"/>
              </w:rPr>
              <w:t>1,445,466</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color w:val="000000"/>
              </w:rPr>
            </w:pPr>
            <w:r>
              <w:rPr>
                <w:color w:val="000000"/>
              </w:rPr>
              <w:t>(12.7</w:t>
            </w:r>
          </w:p>
        </w:tc>
        <w:tc>
          <w:tcPr>
            <w:tcW w:w="290" w:type="dxa"/>
            <w:tcBorders/>
            <w:shd w:fill="CCEEFF" w:val="clear"/>
            <w:vAlign w:val="bottom"/>
          </w:tcPr>
          <w:p>
            <w:pPr>
              <w:pStyle w:val="TableContents"/>
              <w:bidi w:val="0"/>
              <w:spacing w:before="0" w:after="0"/>
              <w:jc w:val="left"/>
              <w:rPr>
                <w:color w:val="000000"/>
              </w:rPr>
            </w:pPr>
            <w:r>
              <w:rPr>
                <w:color w:val="000000"/>
              </w:rPr>
              <w:t>)%</w:t>
            </w:r>
          </w:p>
        </w:tc>
        <w:tc>
          <w:tcPr>
            <w:tcW w:w="18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0"/>
              <w:jc w:val="right"/>
              <w:rPr>
                <w:color w:val="000000"/>
              </w:rPr>
            </w:pPr>
            <w:r>
              <w:rPr>
                <w:color w:val="000000"/>
              </w:rPr>
              <w:t>(11.8</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2135" w:type="dxa"/>
            <w:tcBorders/>
            <w:vAlign w:val="bottom"/>
          </w:tcPr>
          <w:p>
            <w:pPr>
              <w:pStyle w:val="TableContents"/>
              <w:bidi w:val="0"/>
              <w:spacing w:before="0" w:after="0"/>
              <w:ind w:left="144" w:right="0" w:hanging="144"/>
              <w:jc w:val="left"/>
              <w:rPr>
                <w:i/>
                <w:color w:val="000000"/>
              </w:rPr>
            </w:pPr>
            <w:r>
              <w:rPr>
                <w:i/>
                <w:color w:val="000000"/>
              </w:rPr>
              <w:t>Rhyz</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 </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r>
      <w:tr>
        <w:trPr/>
        <w:tc>
          <w:tcPr>
            <w:tcW w:w="2135" w:type="dxa"/>
            <w:tcBorders/>
            <w:shd w:fill="CCEEFF" w:val="clear"/>
            <w:vAlign w:val="bottom"/>
          </w:tcPr>
          <w:p>
            <w:pPr>
              <w:pStyle w:val="TableContents"/>
              <w:bidi w:val="0"/>
              <w:spacing w:before="0" w:after="0"/>
              <w:ind w:left="324" w:right="0" w:hanging="144"/>
              <w:jc w:val="left"/>
              <w:rPr>
                <w:color w:val="000000"/>
              </w:rPr>
            </w:pPr>
            <w:r>
              <w:rPr>
                <w:color w:val="000000"/>
              </w:rPr>
              <w:t>Manufacturing</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0"/>
              <w:jc w:val="right"/>
              <w:rPr>
                <w:color w:val="000000"/>
              </w:rPr>
            </w:pPr>
            <w:r>
              <w:rPr>
                <w:color w:val="000000"/>
              </w:rPr>
              <w:t>205,788</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0"/>
              <w:jc w:val="right"/>
              <w:rPr>
                <w:color w:val="000000"/>
              </w:rPr>
            </w:pPr>
            <w:r>
              <w:rPr>
                <w:color w:val="000000"/>
              </w:rPr>
              <w:t>201,430</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color w:val="000000"/>
              </w:rPr>
            </w:pPr>
            <w:r>
              <w:rPr>
                <w:color w:val="000000"/>
              </w:rPr>
              <w:t>2.2</w:t>
            </w:r>
          </w:p>
        </w:tc>
        <w:tc>
          <w:tcPr>
            <w:tcW w:w="290" w:type="dxa"/>
            <w:tcBorders/>
            <w:shd w:fill="CCEEFF" w:val="clear"/>
            <w:vAlign w:val="bottom"/>
          </w:tcPr>
          <w:p>
            <w:pPr>
              <w:pStyle w:val="TableContents"/>
              <w:bidi w:val="0"/>
              <w:spacing w:before="0" w:after="0"/>
              <w:jc w:val="left"/>
              <w:rPr>
                <w:color w:val="000000"/>
              </w:rPr>
            </w:pPr>
            <w:r>
              <w:rPr>
                <w:color w:val="000000"/>
              </w:rPr>
              <w:t>%</w:t>
            </w:r>
          </w:p>
        </w:tc>
        <w:tc>
          <w:tcPr>
            <w:tcW w:w="18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0"/>
              <w:jc w:val="right"/>
              <w:rPr>
                <w:color w:val="000000"/>
              </w:rPr>
            </w:pPr>
            <w:r>
              <w:rPr>
                <w:color w:val="000000"/>
              </w:rPr>
              <w:t>2.2</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2135" w:type="dxa"/>
            <w:tcBorders/>
            <w:vAlign w:val="bottom"/>
          </w:tcPr>
          <w:p>
            <w:pPr>
              <w:pStyle w:val="TableContents"/>
              <w:bidi w:val="0"/>
              <w:spacing w:before="0" w:after="0"/>
              <w:ind w:left="324" w:right="0" w:hanging="144"/>
              <w:jc w:val="left"/>
              <w:rPr>
                <w:color w:val="000000"/>
              </w:rPr>
            </w:pPr>
            <w:r>
              <w:rPr>
                <w:color w:val="000000"/>
              </w:rPr>
              <w:t>Rhyz Other</w:t>
            </w:r>
          </w:p>
        </w:tc>
        <w:tc>
          <w:tcPr>
            <w:tcW w:w="60" w:type="dxa"/>
            <w:tcBorders/>
            <w:vAlign w:val="bottom"/>
          </w:tcPr>
          <w:p>
            <w:pPr>
              <w:pStyle w:val="TableContents"/>
              <w:bidi w:val="0"/>
              <w:spacing w:before="0" w:after="283"/>
              <w:jc w:val="left"/>
              <w:rPr/>
            </w:pPr>
            <w:r>
              <w:rPr/>
              <w:t> </w:t>
            </w:r>
          </w:p>
        </w:tc>
        <w:tc>
          <w:tcPr>
            <w:tcW w:w="161"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17,794</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61"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85,188</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color w:val="000000"/>
              </w:rPr>
            </w:pPr>
            <w:r>
              <w:rPr>
                <w:color w:val="000000"/>
              </w:rPr>
              <w:t>(79.1</w:t>
            </w:r>
          </w:p>
        </w:tc>
        <w:tc>
          <w:tcPr>
            <w:tcW w:w="290" w:type="dxa"/>
            <w:tcBorders/>
            <w:vAlign w:val="bottom"/>
          </w:tcPr>
          <w:p>
            <w:pPr>
              <w:pStyle w:val="TableContents"/>
              <w:bidi w:val="0"/>
              <w:spacing w:before="0" w:after="0"/>
              <w:jc w:val="left"/>
              <w:rPr>
                <w:color w:val="000000"/>
              </w:rPr>
            </w:pPr>
            <w:r>
              <w:rPr>
                <w:color w:val="000000"/>
              </w:rPr>
              <w:t>)%</w:t>
            </w:r>
          </w:p>
        </w:tc>
        <w:tc>
          <w:tcPr>
            <w:tcW w:w="18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0"/>
              <w:jc w:val="right"/>
              <w:rPr>
                <w:color w:val="000000"/>
              </w:rPr>
            </w:pPr>
            <w:r>
              <w:rPr>
                <w:color w:val="000000"/>
              </w:rPr>
              <w:t>(79.1</w:t>
            </w:r>
          </w:p>
        </w:tc>
        <w:tc>
          <w:tcPr>
            <w:tcW w:w="290" w:type="dxa"/>
            <w:tcBorders/>
            <w:vAlign w:val="bottom"/>
          </w:tcPr>
          <w:p>
            <w:pPr>
              <w:pStyle w:val="TableContents"/>
              <w:bidi w:val="0"/>
              <w:spacing w:before="0" w:after="0"/>
              <w:jc w:val="left"/>
              <w:rPr>
                <w:color w:val="000000"/>
              </w:rPr>
            </w:pPr>
            <w:r>
              <w:rPr>
                <w:color w:val="000000"/>
              </w:rPr>
              <w:t>)%</w:t>
            </w:r>
          </w:p>
        </w:tc>
      </w:tr>
      <w:tr>
        <w:trPr/>
        <w:tc>
          <w:tcPr>
            <w:tcW w:w="2135" w:type="dxa"/>
            <w:tcBorders/>
            <w:shd w:fill="CCEEFF" w:val="clear"/>
            <w:vAlign w:val="bottom"/>
          </w:tcPr>
          <w:p>
            <w:pPr>
              <w:pStyle w:val="TableContents"/>
              <w:bidi w:val="0"/>
              <w:spacing w:before="0" w:after="0"/>
              <w:ind w:left="144" w:right="0" w:hanging="144"/>
              <w:jc w:val="left"/>
              <w:rPr>
                <w:i/>
                <w:color w:val="000000"/>
              </w:rPr>
            </w:pPr>
            <w:r>
              <w:rPr>
                <w:i/>
                <w:color w:val="000000"/>
              </w:rPr>
              <w:t>Total Rhyz</w:t>
            </w:r>
          </w:p>
        </w:tc>
        <w:tc>
          <w:tcPr>
            <w:tcW w:w="60" w:type="dxa"/>
            <w:tcBorders/>
            <w:shd w:fill="CCEEFF" w:val="clear"/>
            <w:vAlign w:val="bottom"/>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2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223,582</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2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286,618</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color w:val="000000"/>
              </w:rPr>
            </w:pPr>
            <w:r>
              <w:rPr>
                <w:color w:val="000000"/>
              </w:rPr>
              <w:t>(22.0</w:t>
            </w:r>
          </w:p>
        </w:tc>
        <w:tc>
          <w:tcPr>
            <w:tcW w:w="290" w:type="dxa"/>
            <w:tcBorders/>
            <w:shd w:fill="CCEEFF" w:val="clear"/>
            <w:vAlign w:val="bottom"/>
          </w:tcPr>
          <w:p>
            <w:pPr>
              <w:pStyle w:val="TableContents"/>
              <w:bidi w:val="0"/>
              <w:spacing w:before="0" w:after="0"/>
              <w:jc w:val="left"/>
              <w:rPr>
                <w:color w:val="000000"/>
              </w:rPr>
            </w:pPr>
            <w:r>
              <w:rPr>
                <w:color w:val="000000"/>
              </w:rPr>
              <w:t>)%</w:t>
            </w:r>
          </w:p>
        </w:tc>
        <w:tc>
          <w:tcPr>
            <w:tcW w:w="18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0"/>
              <w:jc w:val="right"/>
              <w:rPr>
                <w:color w:val="000000"/>
              </w:rPr>
            </w:pPr>
            <w:r>
              <w:rPr>
                <w:color w:val="000000"/>
              </w:rPr>
              <w:t>(22.0</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2135" w:type="dxa"/>
            <w:tcBorders/>
            <w:vAlign w:val="bottom"/>
          </w:tcPr>
          <w:p>
            <w:pPr>
              <w:pStyle w:val="TableContents"/>
              <w:bidi w:val="0"/>
              <w:spacing w:before="0" w:after="0"/>
              <w:ind w:left="324" w:right="0" w:hanging="144"/>
              <w:jc w:val="left"/>
              <w:rPr>
                <w:color w:val="000000"/>
              </w:rPr>
            </w:pPr>
            <w:r>
              <w:rPr>
                <w:color w:val="000000"/>
              </w:rPr>
              <w:t>Total</w:t>
            </w:r>
          </w:p>
        </w:tc>
        <w:tc>
          <w:tcPr>
            <w:tcW w:w="60" w:type="dxa"/>
            <w:tcBorders/>
            <w:vAlign w:val="bottom"/>
          </w:tcPr>
          <w:p>
            <w:pPr>
              <w:pStyle w:val="TableContents"/>
              <w:bidi w:val="0"/>
              <w:spacing w:before="0" w:after="283"/>
              <w:jc w:val="left"/>
              <w:rPr/>
            </w:pPr>
            <w:r>
              <w:rPr/>
              <w:t> </w:t>
            </w:r>
          </w:p>
        </w:tc>
        <w:tc>
          <w:tcPr>
            <w:tcW w:w="16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2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1,485,159</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6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2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1,732,084</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color w:val="000000"/>
              </w:rPr>
            </w:pPr>
            <w:r>
              <w:rPr>
                <w:color w:val="000000"/>
              </w:rPr>
              <w:t>(14.3</w:t>
            </w:r>
          </w:p>
        </w:tc>
        <w:tc>
          <w:tcPr>
            <w:tcW w:w="290" w:type="dxa"/>
            <w:tcBorders/>
            <w:vAlign w:val="bottom"/>
          </w:tcPr>
          <w:p>
            <w:pPr>
              <w:pStyle w:val="TableContents"/>
              <w:bidi w:val="0"/>
              <w:spacing w:before="0" w:after="0"/>
              <w:jc w:val="left"/>
              <w:rPr>
                <w:color w:val="000000"/>
              </w:rPr>
            </w:pPr>
            <w:r>
              <w:rPr>
                <w:color w:val="000000"/>
              </w:rPr>
              <w:t>)%</w:t>
            </w:r>
          </w:p>
        </w:tc>
        <w:tc>
          <w:tcPr>
            <w:tcW w:w="18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0"/>
              <w:jc w:val="right"/>
              <w:rPr>
                <w:color w:val="000000"/>
              </w:rPr>
            </w:pPr>
            <w:r>
              <w:rPr>
                <w:color w:val="000000"/>
              </w:rPr>
              <w:t>(13.5</w:t>
            </w:r>
          </w:p>
        </w:tc>
        <w:tc>
          <w:tcPr>
            <w:tcW w:w="290"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color w:val="000000"/>
              </w:rPr>
            </w:pPr>
            <w:r>
              <w:rPr>
                <w:color w:val="000000"/>
              </w:rPr>
              <w:t>(1)</w:t>
            </w:r>
          </w:p>
        </w:tc>
        <w:tc>
          <w:tcPr>
            <w:tcW w:w="9910" w:type="dxa"/>
            <w:tcBorders/>
            <w:vAlign w:val="center"/>
          </w:tcPr>
          <w:p>
            <w:pPr>
              <w:pStyle w:val="TableContents"/>
              <w:bidi w:val="0"/>
              <w:spacing w:before="0" w:after="0"/>
              <w:jc w:val="both"/>
              <w:rPr>
                <w:color w:val="000000"/>
              </w:rPr>
            </w:pPr>
            <w:r>
              <w:rPr>
                <w:color w:val="000000"/>
              </w:rPr>
              <w:t>Constant-currency revenue change is a non-GAAP financial measure. See “Non-GAAP Financial Measures,” below.</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table below sets forth segment contribution for the years ended December 31, 2025 and 2024 for each of our reportable segments (U.S. dollars in thousands). Segment contribution excludes certain intercompany charges, specifically royalties, license fees, transfer pricing and other miscellaneous items. We use segment contribution to measure the portion of profitability that the segment managers have the ability to control for their respective segments. For additional information regarding our segments and the calculation of segment contribution, see Note 16 to the consolidated financial statements contained in this report.</w:t>
      </w:r>
    </w:p>
    <w:p>
      <w:pPr>
        <w:pStyle w:val="TextBody"/>
        <w:bidi w:val="0"/>
        <w:spacing w:before="0" w:after="0"/>
        <w:jc w:val="left"/>
        <w:rPr/>
      </w:pPr>
      <w:r>
        <w:rPr/>
      </w:r>
    </w:p>
    <w:tbl>
      <w:tblPr>
        <w:tblW w:w="14036" w:type="dxa"/>
        <w:jc w:val="left"/>
        <w:tblInd w:w="0" w:type="dxa"/>
        <w:tblLayout w:type="fixed"/>
        <w:tblCellMar>
          <w:top w:w="0" w:type="dxa"/>
          <w:left w:w="0" w:type="dxa"/>
          <w:bottom w:w="0" w:type="dxa"/>
          <w:right w:w="0" w:type="dxa"/>
        </w:tblCellMar>
      </w:tblPr>
      <w:tblGrid>
        <w:gridCol w:w="1016"/>
        <w:gridCol w:w="60"/>
        <w:gridCol w:w="145"/>
        <w:gridCol w:w="835"/>
        <w:gridCol w:w="215"/>
        <w:gridCol w:w="60"/>
        <w:gridCol w:w="140"/>
        <w:gridCol w:w="800"/>
        <w:gridCol w:w="215"/>
        <w:gridCol w:w="60"/>
        <w:gridCol w:w="150"/>
        <w:gridCol w:w="860"/>
        <w:gridCol w:w="215"/>
        <w:gridCol w:w="60"/>
        <w:gridCol w:w="140"/>
        <w:gridCol w:w="800"/>
        <w:gridCol w:w="215"/>
        <w:gridCol w:w="60"/>
        <w:gridCol w:w="140"/>
        <w:gridCol w:w="800"/>
        <w:gridCol w:w="215"/>
        <w:gridCol w:w="60"/>
        <w:gridCol w:w="140"/>
        <w:gridCol w:w="800"/>
        <w:gridCol w:w="215"/>
        <w:gridCol w:w="60"/>
        <w:gridCol w:w="140"/>
        <w:gridCol w:w="800"/>
        <w:gridCol w:w="215"/>
        <w:gridCol w:w="60"/>
        <w:gridCol w:w="233"/>
        <w:gridCol w:w="1332"/>
        <w:gridCol w:w="215"/>
        <w:gridCol w:w="60"/>
        <w:gridCol w:w="140"/>
        <w:gridCol w:w="755"/>
        <w:gridCol w:w="215"/>
        <w:gridCol w:w="60"/>
        <w:gridCol w:w="140"/>
        <w:gridCol w:w="980"/>
        <w:gridCol w:w="215"/>
      </w:tblGrid>
      <w:tr>
        <w:trPr/>
        <w:tc>
          <w:tcPr>
            <w:tcW w:w="10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45" w:type="dxa"/>
            <w:gridSpan w:val="38"/>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 2025</w:t>
            </w:r>
          </w:p>
        </w:tc>
        <w:tc>
          <w:tcPr>
            <w:tcW w:w="215" w:type="dxa"/>
            <w:tcBorders/>
            <w:vAlign w:val="bottom"/>
          </w:tcPr>
          <w:p>
            <w:pPr>
              <w:pStyle w:val="TableContents"/>
              <w:bidi w:val="0"/>
              <w:spacing w:before="0" w:after="283"/>
              <w:jc w:val="left"/>
              <w:rPr/>
            </w:pPr>
            <w:r>
              <w:rPr/>
              <w:t> </w:t>
            </w:r>
          </w:p>
        </w:tc>
      </w:tr>
      <w:tr>
        <w:trPr/>
        <w:tc>
          <w:tcPr>
            <w:tcW w:w="10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40" w:type="dxa"/>
            <w:gridSpan w:val="2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Nu Skin</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3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Rhyz</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r>
      <w:tr>
        <w:trPr/>
        <w:tc>
          <w:tcPr>
            <w:tcW w:w="10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Americas</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 xml:space="preserve">Southeast </w:t>
            </w:r>
          </w:p>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Asia/Pacific</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Mainland</w:t>
            </w:r>
          </w:p>
          <w:p>
            <w:pPr>
              <w:pStyle w:val="TableContents"/>
              <w:bidi w:val="0"/>
              <w:spacing w:before="0" w:after="0"/>
              <w:jc w:val="center"/>
              <w:rPr>
                <w:b/>
                <w:color w:val="000000"/>
              </w:rPr>
            </w:pPr>
            <w:r>
              <w:rPr>
                <w:b/>
                <w:color w:val="000000"/>
              </w:rPr>
              <w:t>China</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Japan</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Europe &amp;</w:t>
            </w:r>
          </w:p>
          <w:p>
            <w:pPr>
              <w:pStyle w:val="TableContents"/>
              <w:bidi w:val="0"/>
              <w:spacing w:before="0" w:after="0"/>
              <w:jc w:val="center"/>
              <w:rPr>
                <w:b/>
                <w:color w:val="000000"/>
              </w:rPr>
            </w:pPr>
            <w:r>
              <w:rPr>
                <w:b/>
                <w:color w:val="000000"/>
              </w:rPr>
              <w:t>Africa</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South</w:t>
            </w:r>
          </w:p>
          <w:p>
            <w:pPr>
              <w:pStyle w:val="TableContents"/>
              <w:bidi w:val="0"/>
              <w:spacing w:before="0" w:after="0"/>
              <w:jc w:val="center"/>
              <w:rPr>
                <w:b/>
                <w:color w:val="000000"/>
              </w:rPr>
            </w:pPr>
            <w:r>
              <w:rPr>
                <w:b/>
                <w:color w:val="000000"/>
              </w:rPr>
              <w:t>Korea</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Hong Kong/</w:t>
            </w:r>
          </w:p>
          <w:p>
            <w:pPr>
              <w:pStyle w:val="TableContents"/>
              <w:bidi w:val="0"/>
              <w:spacing w:before="0" w:after="0"/>
              <w:jc w:val="center"/>
              <w:rPr>
                <w:b/>
                <w:color w:val="000000"/>
              </w:rPr>
            </w:pPr>
            <w:r>
              <w:rPr>
                <w:b/>
                <w:color w:val="000000"/>
              </w:rPr>
              <w:t>Taiwan</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Manufacturing</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Rhyz</w:t>
            </w:r>
          </w:p>
          <w:p>
            <w:pPr>
              <w:pStyle w:val="TableContents"/>
              <w:bidi w:val="0"/>
              <w:spacing w:before="0" w:after="0"/>
              <w:jc w:val="center"/>
              <w:rPr>
                <w:b/>
                <w:color w:val="000000"/>
              </w:rPr>
            </w:pPr>
            <w:r>
              <w:rPr>
                <w:b/>
                <w:color w:val="000000"/>
              </w:rPr>
              <w:t>Other</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p>
            <w:pPr>
              <w:pStyle w:val="TableContents"/>
              <w:bidi w:val="0"/>
              <w:spacing w:before="0" w:after="0"/>
              <w:jc w:val="center"/>
              <w:rPr>
                <w:b/>
                <w:color w:val="000000"/>
              </w:rPr>
            </w:pPr>
            <w:r>
              <w:rPr>
                <w:b/>
                <w:color w:val="000000"/>
              </w:rPr>
              <w:t>Segments</w:t>
            </w:r>
          </w:p>
        </w:tc>
        <w:tc>
          <w:tcPr>
            <w:tcW w:w="215" w:type="dxa"/>
            <w:tcBorders/>
            <w:vAlign w:val="bottom"/>
          </w:tcPr>
          <w:p>
            <w:pPr>
              <w:pStyle w:val="TableContents"/>
              <w:bidi w:val="0"/>
              <w:spacing w:before="0" w:after="283"/>
              <w:jc w:val="left"/>
              <w:rPr/>
            </w:pPr>
            <w:r>
              <w:rPr/>
              <w:t> </w:t>
            </w:r>
          </w:p>
        </w:tc>
      </w:tr>
      <w:tr>
        <w:trPr/>
        <w:tc>
          <w:tcPr>
            <w:tcW w:w="1016" w:type="dxa"/>
            <w:tcBorders/>
            <w:shd w:fill="CCEEFF" w:val="clear"/>
            <w:vAlign w:val="bottom"/>
          </w:tcPr>
          <w:p>
            <w:pPr>
              <w:pStyle w:val="TableContents"/>
              <w:bidi w:val="0"/>
              <w:spacing w:before="0" w:after="0"/>
              <w:ind w:left="144" w:right="0" w:hanging="144"/>
              <w:jc w:val="left"/>
              <w:rPr>
                <w:color w:val="000000"/>
              </w:rPr>
            </w:pPr>
            <w:r>
              <w:rPr>
                <w:color w:val="000000"/>
              </w:rPr>
              <w:t>Revenue</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0"/>
              <w:jc w:val="left"/>
              <w:rPr>
                <w:color w:val="000000"/>
              </w:rPr>
            </w:pPr>
            <w:r>
              <w:rPr>
                <w:color w:val="000000"/>
              </w:rPr>
              <w:t>$</w:t>
            </w:r>
          </w:p>
        </w:tc>
        <w:tc>
          <w:tcPr>
            <w:tcW w:w="835" w:type="dxa"/>
            <w:tcBorders/>
            <w:shd w:fill="CCEEFF" w:val="clear"/>
            <w:vAlign w:val="bottom"/>
          </w:tcPr>
          <w:p>
            <w:pPr>
              <w:pStyle w:val="TableContents"/>
              <w:bidi w:val="0"/>
              <w:spacing w:before="0" w:after="0"/>
              <w:jc w:val="right"/>
              <w:rPr>
                <w:color w:val="000000"/>
              </w:rPr>
            </w:pPr>
            <w:r>
              <w:rPr>
                <w:color w:val="000000"/>
              </w:rPr>
              <w:t>282,975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209,802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0"/>
              <w:jc w:val="left"/>
              <w:rPr>
                <w:color w:val="000000"/>
              </w:rPr>
            </w:pPr>
            <w:r>
              <w:rPr>
                <w:color w:val="000000"/>
              </w:rPr>
              <w:t>$</w:t>
            </w:r>
          </w:p>
        </w:tc>
        <w:tc>
          <w:tcPr>
            <w:tcW w:w="860" w:type="dxa"/>
            <w:tcBorders/>
            <w:shd w:fill="CCEEFF" w:val="clear"/>
            <w:vAlign w:val="bottom"/>
          </w:tcPr>
          <w:p>
            <w:pPr>
              <w:pStyle w:val="TableContents"/>
              <w:bidi w:val="0"/>
              <w:spacing w:before="0" w:after="0"/>
              <w:jc w:val="right"/>
              <w:rPr>
                <w:color w:val="000000"/>
              </w:rPr>
            </w:pPr>
            <w:r>
              <w:rPr>
                <w:color w:val="000000"/>
              </w:rPr>
              <w:t>195,553</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174,364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150,151</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130,216</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117,378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0"/>
              <w:jc w:val="left"/>
              <w:rPr>
                <w:color w:val="000000"/>
              </w:rPr>
            </w:pPr>
            <w:r>
              <w:rPr>
                <w:color w:val="000000"/>
              </w:rPr>
              <w:t>$</w:t>
            </w:r>
          </w:p>
        </w:tc>
        <w:tc>
          <w:tcPr>
            <w:tcW w:w="1332" w:type="dxa"/>
            <w:tcBorders/>
            <w:shd w:fill="CCEEFF" w:val="clear"/>
            <w:vAlign w:val="bottom"/>
          </w:tcPr>
          <w:p>
            <w:pPr>
              <w:pStyle w:val="TableContents"/>
              <w:bidi w:val="0"/>
              <w:spacing w:before="0" w:after="0"/>
              <w:jc w:val="right"/>
              <w:rPr>
                <w:color w:val="000000"/>
              </w:rPr>
            </w:pPr>
            <w:r>
              <w:rPr>
                <w:color w:val="000000"/>
              </w:rPr>
              <w:t>205,788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755" w:type="dxa"/>
            <w:tcBorders/>
            <w:shd w:fill="CCEEFF" w:val="clear"/>
            <w:vAlign w:val="bottom"/>
          </w:tcPr>
          <w:p>
            <w:pPr>
              <w:pStyle w:val="TableContents"/>
              <w:bidi w:val="0"/>
              <w:spacing w:before="0" w:after="0"/>
              <w:jc w:val="right"/>
              <w:rPr>
                <w:color w:val="000000"/>
              </w:rPr>
            </w:pPr>
            <w:r>
              <w:rPr>
                <w:color w:val="000000"/>
              </w:rPr>
              <w:t>17,794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1,484,021</w:t>
            </w:r>
          </w:p>
        </w:tc>
        <w:tc>
          <w:tcPr>
            <w:tcW w:w="215" w:type="dxa"/>
            <w:tcBorders/>
            <w:shd w:fill="CCEEFF" w:val="clear"/>
            <w:vAlign w:val="bottom"/>
          </w:tcPr>
          <w:p>
            <w:pPr>
              <w:pStyle w:val="TableContents"/>
              <w:bidi w:val="0"/>
              <w:spacing w:before="0" w:after="283"/>
              <w:jc w:val="left"/>
              <w:rPr/>
            </w:pPr>
            <w:r>
              <w:rPr/>
              <w:t> </w:t>
            </w:r>
          </w:p>
        </w:tc>
      </w:tr>
      <w:tr>
        <w:trPr/>
        <w:tc>
          <w:tcPr>
            <w:tcW w:w="1016" w:type="dxa"/>
            <w:tcBorders/>
            <w:vAlign w:val="bottom"/>
          </w:tcPr>
          <w:p>
            <w:pPr>
              <w:pStyle w:val="TableContents"/>
              <w:bidi w:val="0"/>
              <w:spacing w:before="0" w:after="0"/>
              <w:ind w:left="144" w:right="0" w:hanging="144"/>
              <w:jc w:val="left"/>
              <w:rPr>
                <w:color w:val="000000"/>
              </w:rPr>
            </w:pPr>
            <w:r>
              <w:rPr>
                <w:color w:val="000000"/>
              </w:rPr>
              <w:t>Cost of sales</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0"/>
              <w:jc w:val="right"/>
              <w:rPr>
                <w:color w:val="000000"/>
              </w:rPr>
            </w:pPr>
            <w:r>
              <w:rPr>
                <w:color w:val="000000"/>
              </w:rPr>
              <w:t>73,198</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51,044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color w:val="000000"/>
              </w:rPr>
            </w:pPr>
            <w:r>
              <w:rPr>
                <w:color w:val="000000"/>
              </w:rPr>
              <w:t>34,631</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36,067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38,947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26,402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19,892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0"/>
              <w:jc w:val="right"/>
              <w:rPr>
                <w:color w:val="000000"/>
              </w:rPr>
            </w:pPr>
            <w:r>
              <w:rPr>
                <w:color w:val="000000"/>
              </w:rPr>
              <w:t>163,707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color w:val="000000"/>
              </w:rPr>
            </w:pPr>
            <w:r>
              <w:rPr>
                <w:color w:val="000000"/>
              </w:rPr>
              <w:t>4,697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448,585</w:t>
            </w:r>
          </w:p>
        </w:tc>
        <w:tc>
          <w:tcPr>
            <w:tcW w:w="215" w:type="dxa"/>
            <w:tcBorders/>
            <w:vAlign w:val="bottom"/>
          </w:tcPr>
          <w:p>
            <w:pPr>
              <w:pStyle w:val="TableContents"/>
              <w:bidi w:val="0"/>
              <w:spacing w:before="0" w:after="283"/>
              <w:jc w:val="left"/>
              <w:rPr/>
            </w:pPr>
            <w:r>
              <w:rPr/>
              <w:t> </w:t>
            </w:r>
          </w:p>
        </w:tc>
      </w:tr>
      <w:tr>
        <w:trPr/>
        <w:tc>
          <w:tcPr>
            <w:tcW w:w="1016" w:type="dxa"/>
            <w:tcBorders/>
            <w:shd w:fill="CCEEFF" w:val="clear"/>
            <w:vAlign w:val="bottom"/>
          </w:tcPr>
          <w:p>
            <w:pPr>
              <w:pStyle w:val="TableContents"/>
              <w:bidi w:val="0"/>
              <w:spacing w:before="0" w:after="0"/>
              <w:ind w:left="144" w:right="0" w:hanging="144"/>
              <w:jc w:val="left"/>
              <w:rPr>
                <w:color w:val="000000"/>
              </w:rPr>
            </w:pPr>
            <w:r>
              <w:rPr>
                <w:color w:val="000000"/>
              </w:rPr>
              <w:t>Other segment items</w:t>
            </w:r>
          </w:p>
        </w:tc>
        <w:tc>
          <w:tcPr>
            <w:tcW w:w="6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149,289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111,983</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115,367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89,325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88,571</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66,355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60,314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3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34,268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43,690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759,162</w:t>
            </w:r>
          </w:p>
        </w:tc>
        <w:tc>
          <w:tcPr>
            <w:tcW w:w="215" w:type="dxa"/>
            <w:tcBorders/>
            <w:shd w:fill="CCEEFF" w:val="clear"/>
            <w:vAlign w:val="bottom"/>
          </w:tcPr>
          <w:p>
            <w:pPr>
              <w:pStyle w:val="TableContents"/>
              <w:bidi w:val="0"/>
              <w:spacing w:before="0" w:after="283"/>
              <w:jc w:val="left"/>
              <w:rPr/>
            </w:pPr>
            <w:r>
              <w:rPr/>
              <w:t> </w:t>
            </w:r>
          </w:p>
        </w:tc>
      </w:tr>
      <w:tr>
        <w:trPr/>
        <w:tc>
          <w:tcPr>
            <w:tcW w:w="1016" w:type="dxa"/>
            <w:tcBorders/>
            <w:vAlign w:val="bottom"/>
          </w:tcPr>
          <w:p>
            <w:pPr>
              <w:pStyle w:val="TableContents"/>
              <w:bidi w:val="0"/>
              <w:spacing w:before="0" w:after="0"/>
              <w:ind w:left="144" w:right="0" w:hanging="144"/>
              <w:jc w:val="left"/>
              <w:rPr>
                <w:color w:val="000000"/>
              </w:rPr>
            </w:pPr>
            <w:r>
              <w:rPr>
                <w:color w:val="000000"/>
              </w:rPr>
              <w:t>Segment contribution</w:t>
            </w:r>
          </w:p>
        </w:tc>
        <w:tc>
          <w:tcPr>
            <w:tcW w:w="6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60,488</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46,775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45,555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48,972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22,633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37,459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37,172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33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7,813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75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(30,593</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276,274</w:t>
            </w:r>
          </w:p>
        </w:tc>
        <w:tc>
          <w:tcPr>
            <w:tcW w:w="215" w:type="dxa"/>
            <w:tcBorders/>
            <w:vAlign w:val="bottom"/>
          </w:tcPr>
          <w:p>
            <w:pPr>
              <w:pStyle w:val="TableContents"/>
              <w:bidi w:val="0"/>
              <w:spacing w:before="0" w:after="283"/>
              <w:jc w:val="left"/>
              <w:rPr/>
            </w:pPr>
            <w:r>
              <w:rPr/>
              <w:t> </w:t>
            </w:r>
          </w:p>
        </w:tc>
      </w:tr>
      <w:tr>
        <w:trPr/>
        <w:tc>
          <w:tcPr>
            <w:tcW w:w="1016" w:type="dxa"/>
            <w:tcBorders/>
            <w:shd w:fill="CCEEFF" w:val="clear"/>
            <w:vAlign w:val="bottom"/>
          </w:tcPr>
          <w:p>
            <w:pPr>
              <w:pStyle w:val="TableContents"/>
              <w:bidi w:val="0"/>
              <w:spacing w:before="0" w:after="0"/>
              <w:ind w:left="144" w:right="0" w:hanging="144"/>
              <w:jc w:val="left"/>
              <w:rPr>
                <w:color w:val="000000"/>
              </w:rPr>
            </w:pPr>
            <w:r>
              <w:rPr>
                <w:color w:val="000000"/>
              </w:rPr>
              <w:t>Segment contribution as a percentage of revenue</w:t>
            </w:r>
          </w:p>
        </w:tc>
        <w:tc>
          <w:tcPr>
            <w:tcW w:w="6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21.4</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22.3</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23.3</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28.1</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15.1</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28.8</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31.7</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2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3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3.8</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(171.9</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18.6</w:t>
            </w:r>
          </w:p>
        </w:tc>
        <w:tc>
          <w:tcPr>
            <w:tcW w:w="215"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tbl>
      <w:tblPr>
        <w:tblW w:w="14081" w:type="dxa"/>
        <w:jc w:val="left"/>
        <w:tblInd w:w="0" w:type="dxa"/>
        <w:tblLayout w:type="fixed"/>
        <w:tblCellMar>
          <w:top w:w="0" w:type="dxa"/>
          <w:left w:w="0" w:type="dxa"/>
          <w:bottom w:w="0" w:type="dxa"/>
          <w:right w:w="0" w:type="dxa"/>
        </w:tblCellMar>
      </w:tblPr>
      <w:tblGrid>
        <w:gridCol w:w="1016"/>
        <w:gridCol w:w="60"/>
        <w:gridCol w:w="145"/>
        <w:gridCol w:w="835"/>
        <w:gridCol w:w="215"/>
        <w:gridCol w:w="60"/>
        <w:gridCol w:w="140"/>
        <w:gridCol w:w="800"/>
        <w:gridCol w:w="215"/>
        <w:gridCol w:w="60"/>
        <w:gridCol w:w="150"/>
        <w:gridCol w:w="860"/>
        <w:gridCol w:w="215"/>
        <w:gridCol w:w="60"/>
        <w:gridCol w:w="140"/>
        <w:gridCol w:w="800"/>
        <w:gridCol w:w="215"/>
        <w:gridCol w:w="60"/>
        <w:gridCol w:w="140"/>
        <w:gridCol w:w="800"/>
        <w:gridCol w:w="215"/>
        <w:gridCol w:w="60"/>
        <w:gridCol w:w="140"/>
        <w:gridCol w:w="800"/>
        <w:gridCol w:w="215"/>
        <w:gridCol w:w="60"/>
        <w:gridCol w:w="140"/>
        <w:gridCol w:w="800"/>
        <w:gridCol w:w="215"/>
        <w:gridCol w:w="60"/>
        <w:gridCol w:w="233"/>
        <w:gridCol w:w="1332"/>
        <w:gridCol w:w="215"/>
        <w:gridCol w:w="60"/>
        <w:gridCol w:w="140"/>
        <w:gridCol w:w="800"/>
        <w:gridCol w:w="215"/>
        <w:gridCol w:w="60"/>
        <w:gridCol w:w="140"/>
        <w:gridCol w:w="980"/>
        <w:gridCol w:w="215"/>
      </w:tblGrid>
      <w:tr>
        <w:trPr/>
        <w:tc>
          <w:tcPr>
            <w:tcW w:w="10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90" w:type="dxa"/>
            <w:gridSpan w:val="38"/>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 2024</w:t>
            </w:r>
          </w:p>
        </w:tc>
        <w:tc>
          <w:tcPr>
            <w:tcW w:w="215" w:type="dxa"/>
            <w:tcBorders/>
            <w:vAlign w:val="bottom"/>
          </w:tcPr>
          <w:p>
            <w:pPr>
              <w:pStyle w:val="TableContents"/>
              <w:bidi w:val="0"/>
              <w:spacing w:before="0" w:after="283"/>
              <w:jc w:val="left"/>
              <w:rPr/>
            </w:pPr>
            <w:r>
              <w:rPr/>
              <w:t> </w:t>
            </w:r>
          </w:p>
        </w:tc>
      </w:tr>
      <w:tr>
        <w:trPr/>
        <w:tc>
          <w:tcPr>
            <w:tcW w:w="10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40" w:type="dxa"/>
            <w:gridSpan w:val="2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Nu Skin</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8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Rhyz</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r>
      <w:tr>
        <w:trPr/>
        <w:tc>
          <w:tcPr>
            <w:tcW w:w="10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Americas</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 xml:space="preserve">Southeast </w:t>
            </w:r>
          </w:p>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Asia/Pacific</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Mainland</w:t>
            </w:r>
          </w:p>
          <w:p>
            <w:pPr>
              <w:pStyle w:val="TableContents"/>
              <w:bidi w:val="0"/>
              <w:spacing w:before="0" w:after="0"/>
              <w:jc w:val="center"/>
              <w:rPr>
                <w:b/>
                <w:color w:val="000000"/>
              </w:rPr>
            </w:pPr>
            <w:r>
              <w:rPr>
                <w:b/>
                <w:color w:val="000000"/>
              </w:rPr>
              <w:t>China</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Japan</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Europe &amp;</w:t>
            </w:r>
          </w:p>
          <w:p>
            <w:pPr>
              <w:pStyle w:val="TableContents"/>
              <w:bidi w:val="0"/>
              <w:spacing w:before="0" w:after="0"/>
              <w:jc w:val="center"/>
              <w:rPr>
                <w:b/>
                <w:color w:val="000000"/>
              </w:rPr>
            </w:pPr>
            <w:r>
              <w:rPr>
                <w:b/>
                <w:color w:val="000000"/>
              </w:rPr>
              <w:t>Africa</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South</w:t>
            </w:r>
          </w:p>
          <w:p>
            <w:pPr>
              <w:pStyle w:val="TableContents"/>
              <w:bidi w:val="0"/>
              <w:spacing w:before="0" w:after="0"/>
              <w:jc w:val="center"/>
              <w:rPr>
                <w:b/>
                <w:color w:val="000000"/>
              </w:rPr>
            </w:pPr>
            <w:r>
              <w:rPr>
                <w:b/>
                <w:color w:val="000000"/>
              </w:rPr>
              <w:t>Korea</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Hong Kong/</w:t>
            </w:r>
          </w:p>
          <w:p>
            <w:pPr>
              <w:pStyle w:val="TableContents"/>
              <w:bidi w:val="0"/>
              <w:spacing w:before="0" w:after="0"/>
              <w:jc w:val="center"/>
              <w:rPr>
                <w:b/>
                <w:color w:val="000000"/>
              </w:rPr>
            </w:pPr>
            <w:r>
              <w:rPr>
                <w:b/>
                <w:color w:val="000000"/>
              </w:rPr>
              <w:t>Taiwan</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Manufacturing</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Rhyz</w:t>
            </w:r>
          </w:p>
          <w:p>
            <w:pPr>
              <w:pStyle w:val="TableContents"/>
              <w:bidi w:val="0"/>
              <w:spacing w:before="0" w:after="0"/>
              <w:jc w:val="center"/>
              <w:rPr>
                <w:b/>
                <w:color w:val="000000"/>
              </w:rPr>
            </w:pPr>
            <w:r>
              <w:rPr>
                <w:b/>
                <w:color w:val="000000"/>
              </w:rPr>
              <w:t>Other</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p>
            <w:pPr>
              <w:pStyle w:val="TableContents"/>
              <w:bidi w:val="0"/>
              <w:spacing w:before="0" w:after="0"/>
              <w:jc w:val="center"/>
              <w:rPr>
                <w:b/>
                <w:color w:val="000000"/>
              </w:rPr>
            </w:pPr>
            <w:r>
              <w:rPr>
                <w:b/>
                <w:color w:val="000000"/>
              </w:rPr>
              <w:t>Segments</w:t>
            </w:r>
          </w:p>
        </w:tc>
        <w:tc>
          <w:tcPr>
            <w:tcW w:w="215" w:type="dxa"/>
            <w:tcBorders/>
            <w:vAlign w:val="bottom"/>
          </w:tcPr>
          <w:p>
            <w:pPr>
              <w:pStyle w:val="TableContents"/>
              <w:bidi w:val="0"/>
              <w:spacing w:before="0" w:after="283"/>
              <w:jc w:val="left"/>
              <w:rPr/>
            </w:pPr>
            <w:r>
              <w:rPr/>
              <w:t> </w:t>
            </w:r>
          </w:p>
        </w:tc>
      </w:tr>
      <w:tr>
        <w:trPr/>
        <w:tc>
          <w:tcPr>
            <w:tcW w:w="1016" w:type="dxa"/>
            <w:tcBorders/>
            <w:shd w:fill="CCEEFF" w:val="clear"/>
            <w:vAlign w:val="bottom"/>
          </w:tcPr>
          <w:p>
            <w:pPr>
              <w:pStyle w:val="TableContents"/>
              <w:bidi w:val="0"/>
              <w:spacing w:before="0" w:after="0"/>
              <w:ind w:left="144" w:right="0" w:hanging="144"/>
              <w:jc w:val="left"/>
              <w:rPr>
                <w:color w:val="000000"/>
              </w:rPr>
            </w:pPr>
            <w:r>
              <w:rPr>
                <w:color w:val="000000"/>
              </w:rPr>
              <w:t>Revenue</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0"/>
              <w:jc w:val="left"/>
              <w:rPr>
                <w:color w:val="000000"/>
              </w:rPr>
            </w:pPr>
            <w:r>
              <w:rPr>
                <w:color w:val="000000"/>
              </w:rPr>
              <w:t>$</w:t>
            </w:r>
          </w:p>
        </w:tc>
        <w:tc>
          <w:tcPr>
            <w:tcW w:w="835" w:type="dxa"/>
            <w:tcBorders/>
            <w:shd w:fill="CCEEFF" w:val="clear"/>
            <w:vAlign w:val="bottom"/>
          </w:tcPr>
          <w:p>
            <w:pPr>
              <w:pStyle w:val="TableContents"/>
              <w:bidi w:val="0"/>
              <w:spacing w:before="0" w:after="0"/>
              <w:jc w:val="right"/>
              <w:rPr>
                <w:color w:val="000000"/>
              </w:rPr>
            </w:pPr>
            <w:r>
              <w:rPr>
                <w:color w:val="000000"/>
              </w:rPr>
              <w:t>322,516</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244,846</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0"/>
              <w:jc w:val="left"/>
              <w:rPr>
                <w:color w:val="000000"/>
              </w:rPr>
            </w:pPr>
            <w:r>
              <w:rPr>
                <w:color w:val="000000"/>
              </w:rPr>
              <w:t>$</w:t>
            </w:r>
          </w:p>
        </w:tc>
        <w:tc>
          <w:tcPr>
            <w:tcW w:w="860" w:type="dxa"/>
            <w:tcBorders/>
            <w:shd w:fill="CCEEFF" w:val="clear"/>
            <w:vAlign w:val="bottom"/>
          </w:tcPr>
          <w:p>
            <w:pPr>
              <w:pStyle w:val="TableContents"/>
              <w:bidi w:val="0"/>
              <w:spacing w:before="0" w:after="0"/>
              <w:jc w:val="right"/>
              <w:rPr>
                <w:color w:val="000000"/>
              </w:rPr>
            </w:pPr>
            <w:r>
              <w:rPr>
                <w:color w:val="000000"/>
              </w:rPr>
              <w:t>235,235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181,557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164,164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163,706</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130,610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0"/>
              <w:jc w:val="left"/>
              <w:rPr>
                <w:color w:val="000000"/>
              </w:rPr>
            </w:pPr>
            <w:r>
              <w:rPr>
                <w:color w:val="000000"/>
              </w:rPr>
              <w:t>$</w:t>
            </w:r>
          </w:p>
        </w:tc>
        <w:tc>
          <w:tcPr>
            <w:tcW w:w="1332" w:type="dxa"/>
            <w:tcBorders/>
            <w:shd w:fill="CCEEFF" w:val="clear"/>
            <w:vAlign w:val="bottom"/>
          </w:tcPr>
          <w:p>
            <w:pPr>
              <w:pStyle w:val="TableContents"/>
              <w:bidi w:val="0"/>
              <w:spacing w:before="0" w:after="0"/>
              <w:jc w:val="right"/>
              <w:rPr>
                <w:color w:val="000000"/>
              </w:rPr>
            </w:pPr>
            <w:r>
              <w:rPr>
                <w:color w:val="000000"/>
              </w:rPr>
              <w:t>201,430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85,188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1,729,252</w:t>
            </w:r>
          </w:p>
        </w:tc>
        <w:tc>
          <w:tcPr>
            <w:tcW w:w="215" w:type="dxa"/>
            <w:tcBorders/>
            <w:shd w:fill="CCEEFF" w:val="clear"/>
            <w:vAlign w:val="bottom"/>
          </w:tcPr>
          <w:p>
            <w:pPr>
              <w:pStyle w:val="TableContents"/>
              <w:bidi w:val="0"/>
              <w:spacing w:before="0" w:after="283"/>
              <w:jc w:val="left"/>
              <w:rPr/>
            </w:pPr>
            <w:r>
              <w:rPr/>
              <w:t> </w:t>
            </w:r>
          </w:p>
        </w:tc>
      </w:tr>
      <w:tr>
        <w:trPr/>
        <w:tc>
          <w:tcPr>
            <w:tcW w:w="1016" w:type="dxa"/>
            <w:tcBorders/>
            <w:vAlign w:val="bottom"/>
          </w:tcPr>
          <w:p>
            <w:pPr>
              <w:pStyle w:val="TableContents"/>
              <w:bidi w:val="0"/>
              <w:spacing w:before="0" w:after="0"/>
              <w:ind w:left="144" w:right="0" w:hanging="144"/>
              <w:jc w:val="left"/>
              <w:rPr>
                <w:color w:val="000000"/>
              </w:rPr>
            </w:pPr>
            <w:r>
              <w:rPr>
                <w:color w:val="000000"/>
              </w:rPr>
              <w:t>Cost of sales</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0"/>
              <w:jc w:val="right"/>
              <w:rPr>
                <w:color w:val="000000"/>
              </w:rPr>
            </w:pPr>
            <w:r>
              <w:rPr>
                <w:color w:val="000000"/>
              </w:rPr>
              <w:t>83,461</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64,950</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color w:val="000000"/>
              </w:rPr>
            </w:pPr>
            <w:r>
              <w:rPr>
                <w:color w:val="000000"/>
              </w:rPr>
              <w:t>44,059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36,852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42,766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33,600</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24,932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0"/>
              <w:jc w:val="right"/>
              <w:rPr>
                <w:color w:val="000000"/>
              </w:rPr>
            </w:pPr>
            <w:r>
              <w:rPr>
                <w:color w:val="000000"/>
              </w:rPr>
              <w:t>164,145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14,532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509,297</w:t>
            </w:r>
          </w:p>
        </w:tc>
        <w:tc>
          <w:tcPr>
            <w:tcW w:w="215" w:type="dxa"/>
            <w:tcBorders/>
            <w:vAlign w:val="bottom"/>
          </w:tcPr>
          <w:p>
            <w:pPr>
              <w:pStyle w:val="TableContents"/>
              <w:bidi w:val="0"/>
              <w:spacing w:before="0" w:after="283"/>
              <w:jc w:val="left"/>
              <w:rPr/>
            </w:pPr>
            <w:r>
              <w:rPr/>
              <w:t> </w:t>
            </w:r>
          </w:p>
        </w:tc>
      </w:tr>
      <w:tr>
        <w:trPr/>
        <w:tc>
          <w:tcPr>
            <w:tcW w:w="1016" w:type="dxa"/>
            <w:tcBorders/>
            <w:shd w:fill="CCEEFF" w:val="clear"/>
            <w:vAlign w:val="bottom"/>
          </w:tcPr>
          <w:p>
            <w:pPr>
              <w:pStyle w:val="TableContents"/>
              <w:bidi w:val="0"/>
              <w:spacing w:before="0" w:after="0"/>
              <w:ind w:left="144" w:right="0" w:hanging="144"/>
              <w:jc w:val="left"/>
              <w:rPr>
                <w:color w:val="000000"/>
              </w:rPr>
            </w:pPr>
            <w:r>
              <w:rPr>
                <w:color w:val="000000"/>
              </w:rPr>
              <w:t>Other segment items</w:t>
            </w:r>
          </w:p>
        </w:tc>
        <w:tc>
          <w:tcPr>
            <w:tcW w:w="6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171,338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134,666</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145,086</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93,907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100,389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79,360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70,989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3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35,825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116,465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948,025</w:t>
            </w:r>
          </w:p>
        </w:tc>
        <w:tc>
          <w:tcPr>
            <w:tcW w:w="215" w:type="dxa"/>
            <w:tcBorders/>
            <w:shd w:fill="CCEEFF" w:val="clear"/>
            <w:vAlign w:val="bottom"/>
          </w:tcPr>
          <w:p>
            <w:pPr>
              <w:pStyle w:val="TableContents"/>
              <w:bidi w:val="0"/>
              <w:spacing w:before="0" w:after="283"/>
              <w:jc w:val="left"/>
              <w:rPr/>
            </w:pPr>
            <w:r>
              <w:rPr/>
              <w:t> </w:t>
            </w:r>
          </w:p>
        </w:tc>
      </w:tr>
      <w:tr>
        <w:trPr/>
        <w:tc>
          <w:tcPr>
            <w:tcW w:w="1016" w:type="dxa"/>
            <w:tcBorders/>
            <w:vAlign w:val="bottom"/>
          </w:tcPr>
          <w:p>
            <w:pPr>
              <w:pStyle w:val="TableContents"/>
              <w:bidi w:val="0"/>
              <w:spacing w:before="0" w:after="0"/>
              <w:ind w:left="144" w:right="0" w:hanging="144"/>
              <w:jc w:val="left"/>
              <w:rPr>
                <w:color w:val="000000"/>
              </w:rPr>
            </w:pPr>
            <w:r>
              <w:rPr>
                <w:color w:val="000000"/>
              </w:rPr>
              <w:t>Segment contribution</w:t>
            </w:r>
          </w:p>
        </w:tc>
        <w:tc>
          <w:tcPr>
            <w:tcW w:w="6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67,717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45,230</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46,090</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50,798</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21,009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50,746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34,689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33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1,460</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(45,809</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271,930</w:t>
            </w:r>
          </w:p>
        </w:tc>
        <w:tc>
          <w:tcPr>
            <w:tcW w:w="215" w:type="dxa"/>
            <w:tcBorders/>
            <w:vAlign w:val="bottom"/>
          </w:tcPr>
          <w:p>
            <w:pPr>
              <w:pStyle w:val="TableContents"/>
              <w:bidi w:val="0"/>
              <w:spacing w:before="0" w:after="283"/>
              <w:jc w:val="left"/>
              <w:rPr/>
            </w:pPr>
            <w:r>
              <w:rPr/>
              <w:t> </w:t>
            </w:r>
          </w:p>
        </w:tc>
      </w:tr>
      <w:tr>
        <w:trPr/>
        <w:tc>
          <w:tcPr>
            <w:tcW w:w="1016" w:type="dxa"/>
            <w:tcBorders/>
            <w:shd w:fill="CCEEFF" w:val="clear"/>
            <w:vAlign w:val="bottom"/>
          </w:tcPr>
          <w:p>
            <w:pPr>
              <w:pStyle w:val="TableContents"/>
              <w:bidi w:val="0"/>
              <w:spacing w:before="0" w:after="0"/>
              <w:ind w:left="144" w:right="0" w:hanging="144"/>
              <w:jc w:val="left"/>
              <w:rPr>
                <w:color w:val="000000"/>
              </w:rPr>
            </w:pPr>
            <w:r>
              <w:rPr>
                <w:color w:val="000000"/>
              </w:rPr>
              <w:t>Segment contribution as a percentage of revenue</w:t>
            </w:r>
          </w:p>
        </w:tc>
        <w:tc>
          <w:tcPr>
            <w:tcW w:w="6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21.0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18.5</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19.6</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28.0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12.8</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31.0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26.6</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2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3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0.7</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(53.8</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15.7</w:t>
            </w:r>
          </w:p>
        </w:tc>
        <w:tc>
          <w:tcPr>
            <w:tcW w:w="215"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56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tbl>
      <w:tblPr>
        <w:tblW w:w="6280" w:type="dxa"/>
        <w:jc w:val="left"/>
        <w:tblInd w:w="0" w:type="dxa"/>
        <w:tblLayout w:type="fixed"/>
        <w:tblCellMar>
          <w:top w:w="0" w:type="dxa"/>
          <w:left w:w="0" w:type="dxa"/>
          <w:bottom w:w="0" w:type="dxa"/>
          <w:right w:w="0" w:type="dxa"/>
        </w:tblCellMar>
      </w:tblPr>
      <w:tblGrid>
        <w:gridCol w:w="2510"/>
        <w:gridCol w:w="60"/>
        <w:gridCol w:w="140"/>
        <w:gridCol w:w="980"/>
        <w:gridCol w:w="60"/>
        <w:gridCol w:w="60"/>
        <w:gridCol w:w="140"/>
        <w:gridCol w:w="980"/>
        <w:gridCol w:w="60"/>
        <w:gridCol w:w="60"/>
        <w:gridCol w:w="140"/>
        <w:gridCol w:w="980"/>
        <w:gridCol w:w="110"/>
      </w:tblGrid>
      <w:tr>
        <w:trPr/>
        <w:tc>
          <w:tcPr>
            <w:tcW w:w="25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00"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w:t>
            </w:r>
          </w:p>
        </w:tc>
        <w:tc>
          <w:tcPr>
            <w:tcW w:w="110" w:type="dxa"/>
            <w:tcBorders/>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110" w:type="dxa"/>
            <w:tcBorders/>
            <w:vAlign w:val="bottom"/>
          </w:tcPr>
          <w:p>
            <w:pPr>
              <w:pStyle w:val="TableContents"/>
              <w:bidi w:val="0"/>
              <w:spacing w:before="0" w:after="283"/>
              <w:jc w:val="left"/>
              <w:rPr/>
            </w:pPr>
            <w:r>
              <w:rPr/>
              <w:t> </w:t>
            </w:r>
          </w:p>
        </w:tc>
      </w:tr>
      <w:tr>
        <w:trPr/>
        <w:tc>
          <w:tcPr>
            <w:tcW w:w="2510" w:type="dxa"/>
            <w:tcBorders/>
            <w:shd w:fill="CCEEFF" w:val="clear"/>
            <w:vAlign w:val="bottom"/>
          </w:tcPr>
          <w:p>
            <w:pPr>
              <w:pStyle w:val="TableContents"/>
              <w:bidi w:val="0"/>
              <w:spacing w:before="0" w:after="0"/>
              <w:ind w:left="720" w:right="0" w:hanging="720"/>
              <w:jc w:val="left"/>
              <w:rPr>
                <w:color w:val="000000"/>
              </w:rPr>
            </w:pPr>
            <w:r>
              <w:rPr>
                <w:color w:val="000000"/>
              </w:rPr>
              <w:t>Total Segment Revenue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1,484,021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1,729,252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1,969,989</w:t>
            </w:r>
          </w:p>
        </w:tc>
        <w:tc>
          <w:tcPr>
            <w:tcW w:w="110"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0"/>
              <w:ind w:left="720" w:right="0" w:hanging="720"/>
              <w:jc w:val="left"/>
              <w:rPr>
                <w:color w:val="000000"/>
              </w:rPr>
            </w:pPr>
            <w:r>
              <w:rPr>
                <w:color w:val="000000"/>
              </w:rPr>
              <w:t>Core Nu Skin Adjustment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1,138</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2,832</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(858</w:t>
            </w:r>
          </w:p>
        </w:tc>
        <w:tc>
          <w:tcPr>
            <w:tcW w:w="110" w:type="dxa"/>
            <w:tcBorders/>
            <w:vAlign w:val="bottom"/>
          </w:tcPr>
          <w:p>
            <w:pPr>
              <w:pStyle w:val="TableContents"/>
              <w:bidi w:val="0"/>
              <w:spacing w:before="0" w:after="0"/>
              <w:jc w:val="left"/>
              <w:rPr>
                <w:color w:val="000000"/>
              </w:rPr>
            </w:pPr>
            <w:r>
              <w:rPr>
                <w:color w:val="000000"/>
              </w:rPr>
              <w:t>)</w:t>
            </w:r>
          </w:p>
        </w:tc>
      </w:tr>
      <w:tr>
        <w:trPr/>
        <w:tc>
          <w:tcPr>
            <w:tcW w:w="2510" w:type="dxa"/>
            <w:tcBorders/>
            <w:shd w:fill="CCEEFF" w:val="clear"/>
            <w:vAlign w:val="bottom"/>
          </w:tcPr>
          <w:p>
            <w:pPr>
              <w:pStyle w:val="TableContents"/>
              <w:bidi w:val="0"/>
              <w:spacing w:before="0" w:after="0"/>
              <w:ind w:left="288" w:right="0" w:hanging="288"/>
              <w:jc w:val="left"/>
              <w:rPr/>
            </w:pPr>
            <w:r>
              <w:rPr/>
              <w:t>Total Revenue</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1,485,159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1,732,084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1,969,131</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provides information concerning the number of Customers, Paid Affiliates and Sales Leaders in our core Nu Skin business as of December 31, 2025 and 2024.</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w:t>
            </w:r>
            <w:r>
              <w:rPr/>
              <w:t>Customers” are persons who have purchased directly from the Company during the three months ended as of the date indicated. Our Customer numbers include members of our sales force who made such a purchase, including Paid Affiliates and those who qualify as Sales Leaders, but they do not include consumers who purchase directly from members of our sales force.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w:t>
            </w:r>
            <w:r>
              <w:rPr/>
              <w:t>Paid Affiliates” are any Brand Affiliates, as well as members of our sales force in Mainland China, who earned sales compensation during the three-month period. In all of our markets besides Mainland China, we refer to members of our independent sales force as “Brand Affiliates” because their primary role is to promote our brand and products through their personal social networks.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w:t>
            </w:r>
            <w:r>
              <w:rPr/>
              <w:t>Sales Leaders” are the three-month average of our monthly Brand Affiliates, as well as sales employees and independent marketers in Mainland China, who achieved certain qualification requirements as of the end of each month of the quarter.</w:t>
            </w:r>
          </w:p>
        </w:tc>
      </w:tr>
    </w:tbl>
    <w:p>
      <w:pPr>
        <w:pStyle w:val="TextBody"/>
        <w:bidi w:val="0"/>
        <w:spacing w:before="0" w:after="0"/>
        <w:jc w:val="left"/>
        <w:rPr/>
      </w:pPr>
      <w:r>
        <w:rPr/>
      </w:r>
    </w:p>
    <w:tbl>
      <w:tblPr>
        <w:tblW w:w="5628" w:type="dxa"/>
        <w:jc w:val="left"/>
        <w:tblInd w:w="0" w:type="dxa"/>
        <w:tblLayout w:type="fixed"/>
        <w:tblCellMar>
          <w:top w:w="0" w:type="dxa"/>
          <w:left w:w="0" w:type="dxa"/>
          <w:bottom w:w="0" w:type="dxa"/>
          <w:right w:w="0" w:type="dxa"/>
        </w:tblCellMar>
      </w:tblPr>
      <w:tblGrid>
        <w:gridCol w:w="2135"/>
        <w:gridCol w:w="60"/>
        <w:gridCol w:w="72"/>
        <w:gridCol w:w="960"/>
        <w:gridCol w:w="72"/>
        <w:gridCol w:w="72"/>
        <w:gridCol w:w="72"/>
        <w:gridCol w:w="960"/>
        <w:gridCol w:w="60"/>
        <w:gridCol w:w="60"/>
        <w:gridCol w:w="123"/>
        <w:gridCol w:w="692"/>
        <w:gridCol w:w="290"/>
      </w:tblGrid>
      <w:tr>
        <w:trPr/>
        <w:tc>
          <w:tcPr>
            <w:tcW w:w="2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8"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December 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r>
      <w:tr>
        <w:trPr/>
        <w:tc>
          <w:tcPr>
            <w:tcW w:w="2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2"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32"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b/>
              </w:rPr>
            </w:pPr>
            <w:r>
              <w:rPr>
                <w:b/>
              </w:rPr>
              <w:t>Change</w:t>
            </w:r>
          </w:p>
        </w:tc>
        <w:tc>
          <w:tcPr>
            <w:tcW w:w="290" w:type="dxa"/>
            <w:tcBorders/>
            <w:vAlign w:val="bottom"/>
          </w:tcPr>
          <w:p>
            <w:pPr>
              <w:pStyle w:val="TableContents"/>
              <w:bidi w:val="0"/>
              <w:spacing w:before="0" w:after="283"/>
              <w:jc w:val="left"/>
              <w:rPr/>
            </w:pPr>
            <w:r>
              <w:rPr/>
              <w:t> </w:t>
            </w:r>
          </w:p>
        </w:tc>
      </w:tr>
      <w:tr>
        <w:trPr/>
        <w:tc>
          <w:tcPr>
            <w:tcW w:w="2135" w:type="dxa"/>
            <w:tcBorders/>
            <w:vAlign w:val="bottom"/>
          </w:tcPr>
          <w:p>
            <w:pPr>
              <w:pStyle w:val="TableContents"/>
              <w:bidi w:val="0"/>
              <w:spacing w:before="0" w:after="0"/>
              <w:ind w:left="144" w:right="0" w:hanging="144"/>
              <w:jc w:val="left"/>
              <w:rPr>
                <w:b/>
              </w:rPr>
            </w:pPr>
            <w:r>
              <w:rPr>
                <w:b/>
              </w:rPr>
              <w:t>Customers</w:t>
            </w:r>
          </w:p>
        </w:tc>
        <w:tc>
          <w:tcPr>
            <w:tcW w:w="60" w:type="dxa"/>
            <w:tcBorders/>
            <w:vAlign w:val="bottom"/>
          </w:tcPr>
          <w:p>
            <w:pPr>
              <w:pStyle w:val="TableContents"/>
              <w:bidi w:val="0"/>
              <w:spacing w:before="0" w:after="283"/>
              <w:jc w:val="left"/>
              <w:rPr/>
            </w:pPr>
            <w:r>
              <w:rPr/>
              <w:t> </w:t>
            </w:r>
          </w:p>
        </w:tc>
        <w:tc>
          <w:tcPr>
            <w:tcW w:w="1032" w:type="dxa"/>
            <w:gridSpan w:val="2"/>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3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r>
      <w:tr>
        <w:trPr/>
        <w:tc>
          <w:tcPr>
            <w:tcW w:w="2135" w:type="dxa"/>
            <w:tcBorders/>
            <w:shd w:fill="CCEEFF" w:val="clear"/>
            <w:vAlign w:val="bottom"/>
          </w:tcPr>
          <w:p>
            <w:pPr>
              <w:pStyle w:val="TableContents"/>
              <w:bidi w:val="0"/>
              <w:spacing w:before="0" w:after="0"/>
              <w:ind w:left="324" w:right="0" w:hanging="144"/>
              <w:jc w:val="left"/>
              <w:rPr/>
            </w:pPr>
            <w:r>
              <w:rPr/>
              <w:t>Americas</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225,527</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227,556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(1</w:t>
            </w:r>
          </w:p>
        </w:tc>
        <w:tc>
          <w:tcPr>
            <w:tcW w:w="290" w:type="dxa"/>
            <w:tcBorders/>
            <w:shd w:fill="CCEEFF" w:val="clear"/>
            <w:vAlign w:val="bottom"/>
          </w:tcPr>
          <w:p>
            <w:pPr>
              <w:pStyle w:val="TableContents"/>
              <w:bidi w:val="0"/>
              <w:spacing w:before="0" w:after="0"/>
              <w:jc w:val="left"/>
              <w:rPr/>
            </w:pPr>
            <w:r>
              <w:rPr/>
              <w:t>)%</w:t>
            </w:r>
          </w:p>
        </w:tc>
      </w:tr>
      <w:tr>
        <w:trPr/>
        <w:tc>
          <w:tcPr>
            <w:tcW w:w="2135" w:type="dxa"/>
            <w:tcBorders/>
            <w:vAlign w:val="bottom"/>
          </w:tcPr>
          <w:p>
            <w:pPr>
              <w:pStyle w:val="TableContents"/>
              <w:bidi w:val="0"/>
              <w:spacing w:before="0" w:after="0"/>
              <w:ind w:left="324" w:right="0" w:hanging="144"/>
              <w:jc w:val="left"/>
              <w:rPr/>
            </w:pPr>
            <w:r>
              <w:rPr/>
              <w:t>Southeast Asia/Pacific</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74,300</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82,956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(10</w:t>
            </w:r>
          </w:p>
        </w:tc>
        <w:tc>
          <w:tcPr>
            <w:tcW w:w="290" w:type="dxa"/>
            <w:tcBorders/>
            <w:vAlign w:val="bottom"/>
          </w:tcPr>
          <w:p>
            <w:pPr>
              <w:pStyle w:val="TableContents"/>
              <w:bidi w:val="0"/>
              <w:spacing w:before="0" w:after="0"/>
              <w:jc w:val="left"/>
              <w:rPr/>
            </w:pPr>
            <w:r>
              <w:rPr/>
              <w:t>)%</w:t>
            </w:r>
          </w:p>
        </w:tc>
      </w:tr>
      <w:tr>
        <w:trPr/>
        <w:tc>
          <w:tcPr>
            <w:tcW w:w="2135" w:type="dxa"/>
            <w:tcBorders/>
            <w:shd w:fill="CCEEFF" w:val="clear"/>
            <w:vAlign w:val="bottom"/>
          </w:tcPr>
          <w:p>
            <w:pPr>
              <w:pStyle w:val="TableContents"/>
              <w:bidi w:val="0"/>
              <w:spacing w:before="0" w:after="0"/>
              <w:ind w:left="324" w:right="0" w:hanging="144"/>
              <w:jc w:val="left"/>
              <w:rPr/>
            </w:pPr>
            <w:r>
              <w:rPr/>
              <w:t>Mainland China</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118,523</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150,731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(21</w:t>
            </w:r>
          </w:p>
        </w:tc>
        <w:tc>
          <w:tcPr>
            <w:tcW w:w="290" w:type="dxa"/>
            <w:tcBorders/>
            <w:shd w:fill="CCEEFF" w:val="clear"/>
            <w:vAlign w:val="bottom"/>
          </w:tcPr>
          <w:p>
            <w:pPr>
              <w:pStyle w:val="TableContents"/>
              <w:bidi w:val="0"/>
              <w:spacing w:before="0" w:after="0"/>
              <w:jc w:val="left"/>
              <w:rPr/>
            </w:pPr>
            <w:r>
              <w:rPr/>
              <w:t>)%</w:t>
            </w:r>
          </w:p>
        </w:tc>
      </w:tr>
      <w:tr>
        <w:trPr/>
        <w:tc>
          <w:tcPr>
            <w:tcW w:w="2135" w:type="dxa"/>
            <w:tcBorders/>
            <w:vAlign w:val="bottom"/>
          </w:tcPr>
          <w:p>
            <w:pPr>
              <w:pStyle w:val="TableContents"/>
              <w:bidi w:val="0"/>
              <w:spacing w:before="0" w:after="0"/>
              <w:ind w:left="324" w:right="0" w:hanging="144"/>
              <w:jc w:val="left"/>
              <w:rPr/>
            </w:pPr>
            <w:r>
              <w:rPr/>
              <w:t>Japan</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104,439</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110,069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(5</w:t>
            </w:r>
          </w:p>
        </w:tc>
        <w:tc>
          <w:tcPr>
            <w:tcW w:w="290" w:type="dxa"/>
            <w:tcBorders/>
            <w:vAlign w:val="bottom"/>
          </w:tcPr>
          <w:p>
            <w:pPr>
              <w:pStyle w:val="TableContents"/>
              <w:bidi w:val="0"/>
              <w:spacing w:before="0" w:after="0"/>
              <w:jc w:val="left"/>
              <w:rPr/>
            </w:pPr>
            <w:r>
              <w:rPr/>
              <w:t>)%</w:t>
            </w:r>
          </w:p>
        </w:tc>
      </w:tr>
      <w:tr>
        <w:trPr/>
        <w:tc>
          <w:tcPr>
            <w:tcW w:w="2135" w:type="dxa"/>
            <w:tcBorders/>
            <w:shd w:fill="CCEEFF" w:val="clear"/>
            <w:vAlign w:val="bottom"/>
          </w:tcPr>
          <w:p>
            <w:pPr>
              <w:pStyle w:val="TableContents"/>
              <w:bidi w:val="0"/>
              <w:spacing w:before="0" w:after="0"/>
              <w:ind w:left="324" w:right="0" w:hanging="144"/>
              <w:jc w:val="left"/>
              <w:rPr/>
            </w:pPr>
            <w:r>
              <w:rPr/>
              <w:t>Europe &amp; Africa</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127,910</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133,306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(4</w:t>
            </w:r>
          </w:p>
        </w:tc>
        <w:tc>
          <w:tcPr>
            <w:tcW w:w="290" w:type="dxa"/>
            <w:tcBorders/>
            <w:shd w:fill="CCEEFF" w:val="clear"/>
            <w:vAlign w:val="bottom"/>
          </w:tcPr>
          <w:p>
            <w:pPr>
              <w:pStyle w:val="TableContents"/>
              <w:bidi w:val="0"/>
              <w:spacing w:before="0" w:after="0"/>
              <w:jc w:val="left"/>
              <w:rPr/>
            </w:pPr>
            <w:r>
              <w:rPr/>
              <w:t>)%</w:t>
            </w:r>
          </w:p>
        </w:tc>
      </w:tr>
      <w:tr>
        <w:trPr/>
        <w:tc>
          <w:tcPr>
            <w:tcW w:w="2135" w:type="dxa"/>
            <w:tcBorders/>
            <w:vAlign w:val="bottom"/>
          </w:tcPr>
          <w:p>
            <w:pPr>
              <w:pStyle w:val="TableContents"/>
              <w:bidi w:val="0"/>
              <w:spacing w:before="0" w:after="0"/>
              <w:ind w:left="324" w:right="0" w:hanging="144"/>
              <w:jc w:val="left"/>
              <w:rPr/>
            </w:pPr>
            <w:r>
              <w:rPr/>
              <w:t>South Korea</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58,880</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81,301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(28</w:t>
            </w:r>
          </w:p>
        </w:tc>
        <w:tc>
          <w:tcPr>
            <w:tcW w:w="290" w:type="dxa"/>
            <w:tcBorders/>
            <w:vAlign w:val="bottom"/>
          </w:tcPr>
          <w:p>
            <w:pPr>
              <w:pStyle w:val="TableContents"/>
              <w:bidi w:val="0"/>
              <w:spacing w:before="0" w:after="0"/>
              <w:jc w:val="left"/>
              <w:rPr/>
            </w:pPr>
            <w:r>
              <w:rPr/>
              <w:t>)%</w:t>
            </w:r>
          </w:p>
        </w:tc>
      </w:tr>
      <w:tr>
        <w:trPr/>
        <w:tc>
          <w:tcPr>
            <w:tcW w:w="2135" w:type="dxa"/>
            <w:tcBorders/>
            <w:shd w:fill="CCEEFF" w:val="clear"/>
            <w:vAlign w:val="bottom"/>
          </w:tcPr>
          <w:p>
            <w:pPr>
              <w:pStyle w:val="TableContents"/>
              <w:bidi w:val="0"/>
              <w:spacing w:before="0" w:after="0"/>
              <w:ind w:left="324" w:right="0" w:hanging="144"/>
              <w:jc w:val="left"/>
              <w:rPr/>
            </w:pPr>
            <w:r>
              <w:rPr/>
              <w:t>Hong Kong/Taiwan</w:t>
            </w:r>
          </w:p>
        </w:tc>
        <w:tc>
          <w:tcPr>
            <w:tcW w:w="60" w:type="dxa"/>
            <w:tcBorders/>
            <w:shd w:fill="CCEEFF" w:val="clear"/>
            <w:vAlign w:val="bottom"/>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0" w:type="dxa"/>
            <w:tcBorders>
              <w:bottom w:val="single" w:sz="12" w:space="0" w:color="000000"/>
            </w:tcBorders>
            <w:shd w:fill="CCEEFF" w:val="clear"/>
            <w:tcMar>
              <w:bottom w:w="28" w:type="dxa"/>
            </w:tcMar>
            <w:vAlign w:val="bottom"/>
          </w:tcPr>
          <w:p>
            <w:pPr>
              <w:pStyle w:val="TableContents"/>
              <w:bidi w:val="0"/>
              <w:spacing w:before="0" w:after="0"/>
              <w:jc w:val="right"/>
              <w:rPr/>
            </w:pPr>
            <w:r>
              <w:rPr/>
              <w:t>39,217</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0" w:type="dxa"/>
            <w:tcBorders>
              <w:bottom w:val="single" w:sz="12" w:space="0" w:color="000000"/>
            </w:tcBorders>
            <w:shd w:fill="CCEEFF" w:val="clear"/>
            <w:tcMar>
              <w:bottom w:w="28" w:type="dxa"/>
            </w:tcMar>
            <w:vAlign w:val="bottom"/>
          </w:tcPr>
          <w:p>
            <w:pPr>
              <w:pStyle w:val="TableContents"/>
              <w:bidi w:val="0"/>
              <w:spacing w:before="0" w:after="0"/>
              <w:jc w:val="right"/>
              <w:rPr/>
            </w:pPr>
            <w:r>
              <w:rPr/>
              <w:t>46,053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(15</w:t>
            </w:r>
          </w:p>
        </w:tc>
        <w:tc>
          <w:tcPr>
            <w:tcW w:w="290" w:type="dxa"/>
            <w:tcBorders/>
            <w:shd w:fill="CCEEFF" w:val="clear"/>
            <w:vAlign w:val="bottom"/>
          </w:tcPr>
          <w:p>
            <w:pPr>
              <w:pStyle w:val="TableContents"/>
              <w:bidi w:val="0"/>
              <w:spacing w:before="0" w:after="0"/>
              <w:jc w:val="left"/>
              <w:rPr/>
            </w:pPr>
            <w:r>
              <w:rPr/>
              <w:t>)%</w:t>
            </w:r>
          </w:p>
        </w:tc>
      </w:tr>
      <w:tr>
        <w:trPr/>
        <w:tc>
          <w:tcPr>
            <w:tcW w:w="2135" w:type="dxa"/>
            <w:tcBorders/>
            <w:vAlign w:val="bottom"/>
          </w:tcPr>
          <w:p>
            <w:pPr>
              <w:pStyle w:val="TableContents"/>
              <w:bidi w:val="0"/>
              <w:spacing w:before="0" w:after="0"/>
              <w:ind w:left="144" w:right="0" w:hanging="144"/>
              <w:jc w:val="left"/>
              <w:rPr/>
            </w:pPr>
            <w:r>
              <w:rPr/>
              <w:t>Total</w:t>
            </w:r>
          </w:p>
        </w:tc>
        <w:tc>
          <w:tcPr>
            <w:tcW w:w="60" w:type="dxa"/>
            <w:tcBorders/>
            <w:vAlign w:val="bottom"/>
          </w:tcPr>
          <w:p>
            <w:pPr>
              <w:pStyle w:val="TableContents"/>
              <w:bidi w:val="0"/>
              <w:spacing w:before="0" w:after="283"/>
              <w:jc w:val="left"/>
              <w:rPr/>
            </w:pPr>
            <w:r>
              <w:rPr/>
              <w:t> </w:t>
            </w:r>
          </w:p>
        </w:tc>
        <w:tc>
          <w:tcPr>
            <w:tcW w:w="72" w:type="dxa"/>
            <w:tcBorders>
              <w:bottom w:val="single" w:sz="12" w:space="0" w:color="000000"/>
            </w:tcBorders>
            <w:tcMar>
              <w:bottom w:w="28" w:type="dxa"/>
            </w:tcMar>
            <w:vAlign w:val="bottom"/>
          </w:tcPr>
          <w:p>
            <w:pPr>
              <w:pStyle w:val="TableContents"/>
              <w:bidi w:val="0"/>
              <w:spacing w:before="0" w:after="283"/>
              <w:jc w:val="left"/>
              <w:rPr/>
            </w:pPr>
            <w:r>
              <w:rPr/>
              <w:t> </w:t>
            </w:r>
          </w:p>
        </w:tc>
        <w:tc>
          <w:tcPr>
            <w:tcW w:w="960" w:type="dxa"/>
            <w:tcBorders>
              <w:bottom w:val="single" w:sz="12" w:space="0" w:color="000000"/>
            </w:tcBorders>
            <w:tcMar>
              <w:bottom w:w="28" w:type="dxa"/>
            </w:tcMar>
            <w:vAlign w:val="bottom"/>
          </w:tcPr>
          <w:p>
            <w:pPr>
              <w:pStyle w:val="TableContents"/>
              <w:bidi w:val="0"/>
              <w:spacing w:before="0" w:after="0"/>
              <w:jc w:val="right"/>
              <w:rPr/>
            </w:pPr>
            <w:r>
              <w:rPr/>
              <w:t>748,796</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bottom w:val="single" w:sz="12" w:space="0" w:color="000000"/>
            </w:tcBorders>
            <w:tcMar>
              <w:bottom w:w="28" w:type="dxa"/>
            </w:tcMar>
            <w:vAlign w:val="bottom"/>
          </w:tcPr>
          <w:p>
            <w:pPr>
              <w:pStyle w:val="TableContents"/>
              <w:bidi w:val="0"/>
              <w:spacing w:before="0" w:after="283"/>
              <w:jc w:val="left"/>
              <w:rPr/>
            </w:pPr>
            <w:r>
              <w:rPr/>
              <w:t> </w:t>
            </w:r>
          </w:p>
        </w:tc>
        <w:tc>
          <w:tcPr>
            <w:tcW w:w="960" w:type="dxa"/>
            <w:tcBorders>
              <w:bottom w:val="single" w:sz="12" w:space="0" w:color="000000"/>
            </w:tcBorders>
            <w:tcMar>
              <w:bottom w:w="28" w:type="dxa"/>
            </w:tcMar>
            <w:vAlign w:val="bottom"/>
          </w:tcPr>
          <w:p>
            <w:pPr>
              <w:pStyle w:val="TableContents"/>
              <w:bidi w:val="0"/>
              <w:spacing w:before="0" w:after="0"/>
              <w:jc w:val="right"/>
              <w:rPr/>
            </w:pPr>
            <w:r>
              <w:rPr/>
              <w:t>831,972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(10</w:t>
            </w:r>
          </w:p>
        </w:tc>
        <w:tc>
          <w:tcPr>
            <w:tcW w:w="290" w:type="dxa"/>
            <w:tcBorders/>
            <w:vAlign w:val="bottom"/>
          </w:tcPr>
          <w:p>
            <w:pPr>
              <w:pStyle w:val="TableContents"/>
              <w:bidi w:val="0"/>
              <w:spacing w:before="0" w:after="0"/>
              <w:jc w:val="left"/>
              <w:rPr/>
            </w:pPr>
            <w:r>
              <w:rPr/>
              <w:t>)%</w:t>
            </w:r>
          </w:p>
        </w:tc>
      </w:tr>
      <w:tr>
        <w:trPr/>
        <w:tc>
          <w:tcPr>
            <w:tcW w:w="2135" w:type="dxa"/>
            <w:tcBorders/>
            <w:shd w:fill="CCEEFF" w:val="clear"/>
            <w:vAlign w:val="bottom"/>
          </w:tcPr>
          <w:p>
            <w:pPr>
              <w:pStyle w:val="TableContents"/>
              <w:bidi w:val="0"/>
              <w:spacing w:before="0" w:after="0"/>
              <w:ind w:left="144" w:right="0" w:hanging="144"/>
              <w:jc w:val="left"/>
              <w:rPr>
                <w:b/>
              </w:rPr>
            </w:pPr>
            <w:r>
              <w:rPr>
                <w:b/>
              </w:rPr>
              <w:t>Paid Affiliates</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r>
      <w:tr>
        <w:trPr/>
        <w:tc>
          <w:tcPr>
            <w:tcW w:w="2135" w:type="dxa"/>
            <w:tcBorders/>
            <w:vAlign w:val="bottom"/>
          </w:tcPr>
          <w:p>
            <w:pPr>
              <w:pStyle w:val="TableContents"/>
              <w:bidi w:val="0"/>
              <w:spacing w:before="0" w:after="0"/>
              <w:ind w:left="324" w:right="0" w:hanging="144"/>
              <w:jc w:val="left"/>
              <w:rPr/>
            </w:pPr>
            <w:r>
              <w:rPr/>
              <w:t>Americas</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28,900</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28,361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2</w:t>
            </w:r>
          </w:p>
        </w:tc>
        <w:tc>
          <w:tcPr>
            <w:tcW w:w="290" w:type="dxa"/>
            <w:tcBorders/>
            <w:vAlign w:val="bottom"/>
          </w:tcPr>
          <w:p>
            <w:pPr>
              <w:pStyle w:val="TableContents"/>
              <w:bidi w:val="0"/>
              <w:spacing w:before="0" w:after="0"/>
              <w:jc w:val="left"/>
              <w:rPr/>
            </w:pPr>
            <w:r>
              <w:rPr/>
              <w:t>%</w:t>
            </w:r>
          </w:p>
        </w:tc>
      </w:tr>
      <w:tr>
        <w:trPr/>
        <w:tc>
          <w:tcPr>
            <w:tcW w:w="2135" w:type="dxa"/>
            <w:tcBorders/>
            <w:shd w:fill="CCEEFF" w:val="clear"/>
            <w:vAlign w:val="bottom"/>
          </w:tcPr>
          <w:p>
            <w:pPr>
              <w:pStyle w:val="TableContents"/>
              <w:bidi w:val="0"/>
              <w:spacing w:before="0" w:after="0"/>
              <w:ind w:left="324" w:right="0" w:hanging="144"/>
              <w:jc w:val="left"/>
              <w:rPr/>
            </w:pPr>
            <w:r>
              <w:rPr/>
              <w:t>Southeast Asia/Pacific</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20,260</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26,310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(23</w:t>
            </w:r>
          </w:p>
        </w:tc>
        <w:tc>
          <w:tcPr>
            <w:tcW w:w="290" w:type="dxa"/>
            <w:tcBorders/>
            <w:shd w:fill="CCEEFF" w:val="clear"/>
            <w:vAlign w:val="bottom"/>
          </w:tcPr>
          <w:p>
            <w:pPr>
              <w:pStyle w:val="TableContents"/>
              <w:bidi w:val="0"/>
              <w:spacing w:before="0" w:after="0"/>
              <w:jc w:val="left"/>
              <w:rPr/>
            </w:pPr>
            <w:r>
              <w:rPr/>
              <w:t>)%</w:t>
            </w:r>
          </w:p>
        </w:tc>
      </w:tr>
      <w:tr>
        <w:trPr/>
        <w:tc>
          <w:tcPr>
            <w:tcW w:w="2135" w:type="dxa"/>
            <w:tcBorders/>
            <w:vAlign w:val="bottom"/>
          </w:tcPr>
          <w:p>
            <w:pPr>
              <w:pStyle w:val="TableContents"/>
              <w:bidi w:val="0"/>
              <w:spacing w:before="0" w:after="0"/>
              <w:ind w:left="324" w:right="0" w:hanging="144"/>
              <w:jc w:val="left"/>
              <w:rPr/>
            </w:pPr>
            <w:r>
              <w:rPr/>
              <w:t>Mainland China</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18,922</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22,125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(14</w:t>
            </w:r>
          </w:p>
        </w:tc>
        <w:tc>
          <w:tcPr>
            <w:tcW w:w="290" w:type="dxa"/>
            <w:tcBorders/>
            <w:vAlign w:val="bottom"/>
          </w:tcPr>
          <w:p>
            <w:pPr>
              <w:pStyle w:val="TableContents"/>
              <w:bidi w:val="0"/>
              <w:spacing w:before="0" w:after="0"/>
              <w:jc w:val="left"/>
              <w:rPr/>
            </w:pPr>
            <w:r>
              <w:rPr/>
              <w:t>)%</w:t>
            </w:r>
          </w:p>
        </w:tc>
      </w:tr>
      <w:tr>
        <w:trPr/>
        <w:tc>
          <w:tcPr>
            <w:tcW w:w="2135" w:type="dxa"/>
            <w:tcBorders/>
            <w:shd w:fill="CCEEFF" w:val="clear"/>
            <w:vAlign w:val="bottom"/>
          </w:tcPr>
          <w:p>
            <w:pPr>
              <w:pStyle w:val="TableContents"/>
              <w:bidi w:val="0"/>
              <w:spacing w:before="0" w:after="0"/>
              <w:ind w:left="324" w:right="0" w:hanging="144"/>
              <w:jc w:val="left"/>
              <w:rPr/>
            </w:pPr>
            <w:r>
              <w:rPr/>
              <w:t>Japan</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20,126</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22,318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(10</w:t>
            </w:r>
          </w:p>
        </w:tc>
        <w:tc>
          <w:tcPr>
            <w:tcW w:w="290" w:type="dxa"/>
            <w:tcBorders/>
            <w:shd w:fill="CCEEFF" w:val="clear"/>
            <w:vAlign w:val="bottom"/>
          </w:tcPr>
          <w:p>
            <w:pPr>
              <w:pStyle w:val="TableContents"/>
              <w:bidi w:val="0"/>
              <w:spacing w:before="0" w:after="0"/>
              <w:jc w:val="left"/>
              <w:rPr/>
            </w:pPr>
            <w:r>
              <w:rPr/>
              <w:t>)%</w:t>
            </w:r>
          </w:p>
        </w:tc>
      </w:tr>
      <w:tr>
        <w:trPr/>
        <w:tc>
          <w:tcPr>
            <w:tcW w:w="2135" w:type="dxa"/>
            <w:tcBorders/>
            <w:vAlign w:val="bottom"/>
          </w:tcPr>
          <w:p>
            <w:pPr>
              <w:pStyle w:val="TableContents"/>
              <w:bidi w:val="0"/>
              <w:spacing w:before="0" w:after="0"/>
              <w:ind w:left="324" w:right="0" w:hanging="144"/>
              <w:jc w:val="left"/>
              <w:rPr/>
            </w:pPr>
            <w:r>
              <w:rPr/>
              <w:t>Europe &amp; Africa</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14,918</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16,860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(12</w:t>
            </w:r>
          </w:p>
        </w:tc>
        <w:tc>
          <w:tcPr>
            <w:tcW w:w="290" w:type="dxa"/>
            <w:tcBorders/>
            <w:vAlign w:val="bottom"/>
          </w:tcPr>
          <w:p>
            <w:pPr>
              <w:pStyle w:val="TableContents"/>
              <w:bidi w:val="0"/>
              <w:spacing w:before="0" w:after="0"/>
              <w:jc w:val="left"/>
              <w:rPr/>
            </w:pPr>
            <w:r>
              <w:rPr/>
              <w:t>)%</w:t>
            </w:r>
          </w:p>
        </w:tc>
      </w:tr>
      <w:tr>
        <w:trPr/>
        <w:tc>
          <w:tcPr>
            <w:tcW w:w="2135" w:type="dxa"/>
            <w:tcBorders/>
            <w:shd w:fill="CCEEFF" w:val="clear"/>
            <w:vAlign w:val="bottom"/>
          </w:tcPr>
          <w:p>
            <w:pPr>
              <w:pStyle w:val="TableContents"/>
              <w:bidi w:val="0"/>
              <w:spacing w:before="0" w:after="0"/>
              <w:ind w:left="324" w:right="0" w:hanging="144"/>
              <w:jc w:val="left"/>
              <w:rPr/>
            </w:pPr>
            <w:r>
              <w:rPr/>
              <w:t>South Korea</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16,341</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17,939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(9</w:t>
            </w:r>
          </w:p>
        </w:tc>
        <w:tc>
          <w:tcPr>
            <w:tcW w:w="290" w:type="dxa"/>
            <w:tcBorders/>
            <w:shd w:fill="CCEEFF" w:val="clear"/>
            <w:vAlign w:val="bottom"/>
          </w:tcPr>
          <w:p>
            <w:pPr>
              <w:pStyle w:val="TableContents"/>
              <w:bidi w:val="0"/>
              <w:spacing w:before="0" w:after="0"/>
              <w:jc w:val="left"/>
              <w:rPr/>
            </w:pPr>
            <w:r>
              <w:rPr/>
              <w:t>)%</w:t>
            </w:r>
          </w:p>
        </w:tc>
      </w:tr>
      <w:tr>
        <w:trPr/>
        <w:tc>
          <w:tcPr>
            <w:tcW w:w="2135" w:type="dxa"/>
            <w:tcBorders/>
            <w:vAlign w:val="bottom"/>
          </w:tcPr>
          <w:p>
            <w:pPr>
              <w:pStyle w:val="TableContents"/>
              <w:bidi w:val="0"/>
              <w:spacing w:before="0" w:after="0"/>
              <w:ind w:left="324" w:right="0" w:hanging="144"/>
              <w:jc w:val="left"/>
              <w:rPr/>
            </w:pPr>
            <w:r>
              <w:rPr/>
              <w:t>Hong Kong/Taiwan</w:t>
            </w:r>
          </w:p>
        </w:tc>
        <w:tc>
          <w:tcPr>
            <w:tcW w:w="60" w:type="dxa"/>
            <w:tcBorders/>
            <w:vAlign w:val="bottom"/>
          </w:tcPr>
          <w:p>
            <w:pPr>
              <w:pStyle w:val="TableContents"/>
              <w:bidi w:val="0"/>
              <w:spacing w:before="0" w:after="283"/>
              <w:jc w:val="left"/>
              <w:rPr/>
            </w:pPr>
            <w:r>
              <w:rPr/>
              <w:t> </w:t>
            </w:r>
          </w:p>
        </w:tc>
        <w:tc>
          <w:tcPr>
            <w:tcW w:w="72" w:type="dxa"/>
            <w:tcBorders>
              <w:bottom w:val="single" w:sz="12" w:space="0" w:color="000000"/>
            </w:tcBorders>
            <w:tcMar>
              <w:bottom w:w="28" w:type="dxa"/>
            </w:tcMar>
            <w:vAlign w:val="bottom"/>
          </w:tcPr>
          <w:p>
            <w:pPr>
              <w:pStyle w:val="TableContents"/>
              <w:bidi w:val="0"/>
              <w:spacing w:before="0" w:after="283"/>
              <w:jc w:val="left"/>
              <w:rPr/>
            </w:pPr>
            <w:r>
              <w:rPr/>
              <w:t> </w:t>
            </w:r>
          </w:p>
        </w:tc>
        <w:tc>
          <w:tcPr>
            <w:tcW w:w="960" w:type="dxa"/>
            <w:tcBorders>
              <w:bottom w:val="single" w:sz="12" w:space="0" w:color="000000"/>
            </w:tcBorders>
            <w:tcMar>
              <w:bottom w:w="28" w:type="dxa"/>
            </w:tcMar>
            <w:vAlign w:val="bottom"/>
          </w:tcPr>
          <w:p>
            <w:pPr>
              <w:pStyle w:val="TableContents"/>
              <w:bidi w:val="0"/>
              <w:spacing w:before="0" w:after="0"/>
              <w:jc w:val="right"/>
              <w:rPr/>
            </w:pPr>
            <w:r>
              <w:rPr/>
              <w:t>9,844</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bottom w:val="single" w:sz="12" w:space="0" w:color="000000"/>
            </w:tcBorders>
            <w:tcMar>
              <w:bottom w:w="28" w:type="dxa"/>
            </w:tcMar>
            <w:vAlign w:val="bottom"/>
          </w:tcPr>
          <w:p>
            <w:pPr>
              <w:pStyle w:val="TableContents"/>
              <w:bidi w:val="0"/>
              <w:spacing w:before="0" w:after="283"/>
              <w:jc w:val="left"/>
              <w:rPr/>
            </w:pPr>
            <w:r>
              <w:rPr/>
              <w:t> </w:t>
            </w:r>
          </w:p>
        </w:tc>
        <w:tc>
          <w:tcPr>
            <w:tcW w:w="960" w:type="dxa"/>
            <w:tcBorders>
              <w:bottom w:val="single" w:sz="12" w:space="0" w:color="000000"/>
            </w:tcBorders>
            <w:tcMar>
              <w:bottom w:w="28" w:type="dxa"/>
            </w:tcMar>
            <w:vAlign w:val="bottom"/>
          </w:tcPr>
          <w:p>
            <w:pPr>
              <w:pStyle w:val="TableContents"/>
              <w:bidi w:val="0"/>
              <w:spacing w:before="0" w:after="0"/>
              <w:jc w:val="right"/>
              <w:rPr/>
            </w:pPr>
            <w:r>
              <w:rPr/>
              <w:t>10,961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(10</w:t>
            </w:r>
          </w:p>
        </w:tc>
        <w:tc>
          <w:tcPr>
            <w:tcW w:w="290" w:type="dxa"/>
            <w:tcBorders/>
            <w:vAlign w:val="bottom"/>
          </w:tcPr>
          <w:p>
            <w:pPr>
              <w:pStyle w:val="TableContents"/>
              <w:bidi w:val="0"/>
              <w:spacing w:before="0" w:after="0"/>
              <w:jc w:val="left"/>
              <w:rPr/>
            </w:pPr>
            <w:r>
              <w:rPr/>
              <w:t>)%</w:t>
            </w:r>
          </w:p>
        </w:tc>
      </w:tr>
      <w:tr>
        <w:trPr/>
        <w:tc>
          <w:tcPr>
            <w:tcW w:w="2135" w:type="dxa"/>
            <w:tcBorders/>
            <w:shd w:fill="CCEEFF" w:val="clear"/>
            <w:vAlign w:val="bottom"/>
          </w:tcPr>
          <w:p>
            <w:pPr>
              <w:pStyle w:val="TableContents"/>
              <w:bidi w:val="0"/>
              <w:spacing w:before="0" w:after="0"/>
              <w:ind w:left="144" w:right="0" w:hanging="144"/>
              <w:jc w:val="left"/>
              <w:rPr/>
            </w:pPr>
            <w:r>
              <w:rPr/>
              <w:t>Total</w:t>
            </w:r>
          </w:p>
        </w:tc>
        <w:tc>
          <w:tcPr>
            <w:tcW w:w="60" w:type="dxa"/>
            <w:tcBorders/>
            <w:shd w:fill="CCEEFF" w:val="clear"/>
            <w:vAlign w:val="bottom"/>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0" w:type="dxa"/>
            <w:tcBorders>
              <w:bottom w:val="single" w:sz="12" w:space="0" w:color="000000"/>
            </w:tcBorders>
            <w:shd w:fill="CCEEFF" w:val="clear"/>
            <w:tcMar>
              <w:bottom w:w="28" w:type="dxa"/>
            </w:tcMar>
            <w:vAlign w:val="bottom"/>
          </w:tcPr>
          <w:p>
            <w:pPr>
              <w:pStyle w:val="TableContents"/>
              <w:bidi w:val="0"/>
              <w:spacing w:before="0" w:after="0"/>
              <w:jc w:val="right"/>
              <w:rPr/>
            </w:pPr>
            <w:r>
              <w:rPr/>
              <w:t>129,311</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0" w:type="dxa"/>
            <w:tcBorders>
              <w:bottom w:val="single" w:sz="12" w:space="0" w:color="000000"/>
            </w:tcBorders>
            <w:shd w:fill="CCEEFF" w:val="clear"/>
            <w:tcMar>
              <w:bottom w:w="28" w:type="dxa"/>
            </w:tcMar>
            <w:vAlign w:val="bottom"/>
          </w:tcPr>
          <w:p>
            <w:pPr>
              <w:pStyle w:val="TableContents"/>
              <w:bidi w:val="0"/>
              <w:spacing w:before="0" w:after="0"/>
              <w:jc w:val="right"/>
              <w:rPr/>
            </w:pPr>
            <w:r>
              <w:rPr/>
              <w:t>144,874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(11</w:t>
            </w:r>
          </w:p>
        </w:tc>
        <w:tc>
          <w:tcPr>
            <w:tcW w:w="290" w:type="dxa"/>
            <w:tcBorders/>
            <w:shd w:fill="CCEEFF" w:val="clear"/>
            <w:vAlign w:val="bottom"/>
          </w:tcPr>
          <w:p>
            <w:pPr>
              <w:pStyle w:val="TableContents"/>
              <w:bidi w:val="0"/>
              <w:spacing w:before="0" w:after="0"/>
              <w:jc w:val="left"/>
              <w:rPr/>
            </w:pPr>
            <w:r>
              <w:rPr/>
              <w:t>)%</w:t>
            </w:r>
          </w:p>
        </w:tc>
      </w:tr>
      <w:tr>
        <w:trPr/>
        <w:tc>
          <w:tcPr>
            <w:tcW w:w="2135" w:type="dxa"/>
            <w:tcBorders/>
            <w:vAlign w:val="bottom"/>
          </w:tcPr>
          <w:p>
            <w:pPr>
              <w:pStyle w:val="TableContents"/>
              <w:bidi w:val="0"/>
              <w:spacing w:before="0" w:after="0"/>
              <w:ind w:left="144" w:right="0" w:hanging="144"/>
              <w:jc w:val="left"/>
              <w:rPr>
                <w:b/>
              </w:rPr>
            </w:pPr>
            <w:r>
              <w:rPr>
                <w:b/>
              </w:rPr>
              <w:t>Sales Leaders</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r>
      <w:tr>
        <w:trPr/>
        <w:tc>
          <w:tcPr>
            <w:tcW w:w="2135" w:type="dxa"/>
            <w:tcBorders/>
            <w:shd w:fill="CCEEFF" w:val="clear"/>
            <w:vAlign w:val="bottom"/>
          </w:tcPr>
          <w:p>
            <w:pPr>
              <w:pStyle w:val="TableContents"/>
              <w:bidi w:val="0"/>
              <w:spacing w:before="0" w:after="0"/>
              <w:ind w:left="324" w:right="0" w:hanging="144"/>
              <w:jc w:val="left"/>
              <w:rPr/>
            </w:pPr>
            <w:r>
              <w:rPr/>
              <w:t>Americas</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6,016</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6,778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(11</w:t>
            </w:r>
          </w:p>
        </w:tc>
        <w:tc>
          <w:tcPr>
            <w:tcW w:w="290" w:type="dxa"/>
            <w:tcBorders/>
            <w:shd w:fill="CCEEFF" w:val="clear"/>
            <w:vAlign w:val="bottom"/>
          </w:tcPr>
          <w:p>
            <w:pPr>
              <w:pStyle w:val="TableContents"/>
              <w:bidi w:val="0"/>
              <w:spacing w:before="0" w:after="0"/>
              <w:jc w:val="left"/>
              <w:rPr/>
            </w:pPr>
            <w:r>
              <w:rPr/>
              <w:t>)%</w:t>
            </w:r>
          </w:p>
        </w:tc>
      </w:tr>
      <w:tr>
        <w:trPr/>
        <w:tc>
          <w:tcPr>
            <w:tcW w:w="2135" w:type="dxa"/>
            <w:tcBorders/>
            <w:vAlign w:val="bottom"/>
          </w:tcPr>
          <w:p>
            <w:pPr>
              <w:pStyle w:val="TableContents"/>
              <w:bidi w:val="0"/>
              <w:spacing w:before="0" w:after="0"/>
              <w:ind w:left="324" w:right="0" w:hanging="144"/>
              <w:jc w:val="left"/>
              <w:rPr/>
            </w:pPr>
            <w:r>
              <w:rPr/>
              <w:t>Southeast Asia/Pacific</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4,272</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5,288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(19</w:t>
            </w:r>
          </w:p>
        </w:tc>
        <w:tc>
          <w:tcPr>
            <w:tcW w:w="290" w:type="dxa"/>
            <w:tcBorders/>
            <w:vAlign w:val="bottom"/>
          </w:tcPr>
          <w:p>
            <w:pPr>
              <w:pStyle w:val="TableContents"/>
              <w:bidi w:val="0"/>
              <w:spacing w:before="0" w:after="0"/>
              <w:jc w:val="left"/>
              <w:rPr/>
            </w:pPr>
            <w:r>
              <w:rPr/>
              <w:t>)%</w:t>
            </w:r>
          </w:p>
        </w:tc>
      </w:tr>
      <w:tr>
        <w:trPr/>
        <w:tc>
          <w:tcPr>
            <w:tcW w:w="2135" w:type="dxa"/>
            <w:tcBorders/>
            <w:shd w:fill="CCEEFF" w:val="clear"/>
            <w:vAlign w:val="bottom"/>
          </w:tcPr>
          <w:p>
            <w:pPr>
              <w:pStyle w:val="TableContents"/>
              <w:bidi w:val="0"/>
              <w:spacing w:before="0" w:after="0"/>
              <w:ind w:left="324" w:right="0" w:hanging="144"/>
              <w:jc w:val="left"/>
              <w:rPr/>
            </w:pPr>
            <w:r>
              <w:rPr/>
              <w:t>Mainland China</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6,065</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8,969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(32</w:t>
            </w:r>
          </w:p>
        </w:tc>
        <w:tc>
          <w:tcPr>
            <w:tcW w:w="290" w:type="dxa"/>
            <w:tcBorders/>
            <w:shd w:fill="CCEEFF" w:val="clear"/>
            <w:vAlign w:val="bottom"/>
          </w:tcPr>
          <w:p>
            <w:pPr>
              <w:pStyle w:val="TableContents"/>
              <w:bidi w:val="0"/>
              <w:spacing w:before="0" w:after="0"/>
              <w:jc w:val="left"/>
              <w:rPr/>
            </w:pPr>
            <w:r>
              <w:rPr/>
              <w:t>)%</w:t>
            </w:r>
          </w:p>
        </w:tc>
      </w:tr>
      <w:tr>
        <w:trPr/>
        <w:tc>
          <w:tcPr>
            <w:tcW w:w="2135" w:type="dxa"/>
            <w:tcBorders/>
            <w:vAlign w:val="bottom"/>
          </w:tcPr>
          <w:p>
            <w:pPr>
              <w:pStyle w:val="TableContents"/>
              <w:bidi w:val="0"/>
              <w:spacing w:before="0" w:after="0"/>
              <w:ind w:left="324" w:right="0" w:hanging="144"/>
              <w:jc w:val="left"/>
              <w:rPr/>
            </w:pPr>
            <w:r>
              <w:rPr/>
              <w:t>Japan</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6,259</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6,780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(8</w:t>
            </w:r>
          </w:p>
        </w:tc>
        <w:tc>
          <w:tcPr>
            <w:tcW w:w="290" w:type="dxa"/>
            <w:tcBorders/>
            <w:vAlign w:val="bottom"/>
          </w:tcPr>
          <w:p>
            <w:pPr>
              <w:pStyle w:val="TableContents"/>
              <w:bidi w:val="0"/>
              <w:spacing w:before="0" w:after="0"/>
              <w:jc w:val="left"/>
              <w:rPr/>
            </w:pPr>
            <w:r>
              <w:rPr/>
              <w:t>)%</w:t>
            </w:r>
          </w:p>
        </w:tc>
      </w:tr>
      <w:tr>
        <w:trPr/>
        <w:tc>
          <w:tcPr>
            <w:tcW w:w="2135" w:type="dxa"/>
            <w:tcBorders/>
            <w:shd w:fill="CCEEFF" w:val="clear"/>
            <w:vAlign w:val="bottom"/>
          </w:tcPr>
          <w:p>
            <w:pPr>
              <w:pStyle w:val="TableContents"/>
              <w:bidi w:val="0"/>
              <w:spacing w:before="0" w:after="0"/>
              <w:ind w:left="324" w:right="0" w:hanging="144"/>
              <w:jc w:val="left"/>
              <w:rPr/>
            </w:pPr>
            <w:r>
              <w:rPr/>
              <w:t>Europe &amp; Africa</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2,722</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0"/>
              <w:jc w:val="right"/>
              <w:rPr/>
            </w:pPr>
            <w:r>
              <w:rPr/>
              <w:t>3,343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(19</w:t>
            </w:r>
          </w:p>
        </w:tc>
        <w:tc>
          <w:tcPr>
            <w:tcW w:w="290" w:type="dxa"/>
            <w:tcBorders/>
            <w:shd w:fill="CCEEFF" w:val="clear"/>
            <w:vAlign w:val="bottom"/>
          </w:tcPr>
          <w:p>
            <w:pPr>
              <w:pStyle w:val="TableContents"/>
              <w:bidi w:val="0"/>
              <w:spacing w:before="0" w:after="0"/>
              <w:jc w:val="left"/>
              <w:rPr/>
            </w:pPr>
            <w:r>
              <w:rPr/>
              <w:t>)%</w:t>
            </w:r>
          </w:p>
        </w:tc>
      </w:tr>
      <w:tr>
        <w:trPr/>
        <w:tc>
          <w:tcPr>
            <w:tcW w:w="2135" w:type="dxa"/>
            <w:tcBorders/>
            <w:vAlign w:val="bottom"/>
          </w:tcPr>
          <w:p>
            <w:pPr>
              <w:pStyle w:val="TableContents"/>
              <w:bidi w:val="0"/>
              <w:spacing w:before="0" w:after="0"/>
              <w:ind w:left="324" w:right="0" w:hanging="144"/>
              <w:jc w:val="left"/>
              <w:rPr/>
            </w:pPr>
            <w:r>
              <w:rPr/>
              <w:t>South Korea</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2,547</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0"/>
              <w:jc w:val="right"/>
              <w:rPr/>
            </w:pPr>
            <w:r>
              <w:rPr/>
              <w:t>3,343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(24</w:t>
            </w:r>
          </w:p>
        </w:tc>
        <w:tc>
          <w:tcPr>
            <w:tcW w:w="290" w:type="dxa"/>
            <w:tcBorders/>
            <w:vAlign w:val="bottom"/>
          </w:tcPr>
          <w:p>
            <w:pPr>
              <w:pStyle w:val="TableContents"/>
              <w:bidi w:val="0"/>
              <w:spacing w:before="0" w:after="0"/>
              <w:jc w:val="left"/>
              <w:rPr/>
            </w:pPr>
            <w:r>
              <w:rPr/>
              <w:t>)%</w:t>
            </w:r>
          </w:p>
        </w:tc>
      </w:tr>
      <w:tr>
        <w:trPr/>
        <w:tc>
          <w:tcPr>
            <w:tcW w:w="2135" w:type="dxa"/>
            <w:tcBorders/>
            <w:shd w:fill="CCEEFF" w:val="clear"/>
            <w:vAlign w:val="bottom"/>
          </w:tcPr>
          <w:p>
            <w:pPr>
              <w:pStyle w:val="TableContents"/>
              <w:bidi w:val="0"/>
              <w:spacing w:before="0" w:after="0"/>
              <w:ind w:left="324" w:right="0" w:hanging="144"/>
              <w:jc w:val="left"/>
              <w:rPr/>
            </w:pPr>
            <w:r>
              <w:rPr/>
              <w:t>Hong Kong/Taiwan</w:t>
            </w:r>
          </w:p>
        </w:tc>
        <w:tc>
          <w:tcPr>
            <w:tcW w:w="60" w:type="dxa"/>
            <w:tcBorders/>
            <w:shd w:fill="CCEEFF" w:val="clear"/>
            <w:vAlign w:val="bottom"/>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0" w:type="dxa"/>
            <w:tcBorders>
              <w:bottom w:val="single" w:sz="12" w:space="0" w:color="000000"/>
            </w:tcBorders>
            <w:shd w:fill="CCEEFF" w:val="clear"/>
            <w:tcMar>
              <w:bottom w:w="28" w:type="dxa"/>
            </w:tcMar>
            <w:vAlign w:val="bottom"/>
          </w:tcPr>
          <w:p>
            <w:pPr>
              <w:pStyle w:val="TableContents"/>
              <w:bidi w:val="0"/>
              <w:spacing w:before="0" w:after="0"/>
              <w:jc w:val="right"/>
              <w:rPr/>
            </w:pPr>
            <w:r>
              <w:rPr/>
              <w:t>2,164</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0" w:type="dxa"/>
            <w:tcBorders>
              <w:bottom w:val="single" w:sz="12" w:space="0" w:color="000000"/>
            </w:tcBorders>
            <w:shd w:fill="CCEEFF" w:val="clear"/>
            <w:tcMar>
              <w:bottom w:w="28" w:type="dxa"/>
            </w:tcMar>
            <w:vAlign w:val="bottom"/>
          </w:tcPr>
          <w:p>
            <w:pPr>
              <w:pStyle w:val="TableContents"/>
              <w:bidi w:val="0"/>
              <w:spacing w:before="0" w:after="0"/>
              <w:jc w:val="right"/>
              <w:rPr/>
            </w:pPr>
            <w:r>
              <w:rPr/>
              <w:t>2,411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pPr>
            <w:r>
              <w:rPr/>
              <w:t>(10</w:t>
            </w:r>
          </w:p>
        </w:tc>
        <w:tc>
          <w:tcPr>
            <w:tcW w:w="290" w:type="dxa"/>
            <w:tcBorders/>
            <w:shd w:fill="CCEEFF" w:val="clear"/>
            <w:vAlign w:val="bottom"/>
          </w:tcPr>
          <w:p>
            <w:pPr>
              <w:pStyle w:val="TableContents"/>
              <w:bidi w:val="0"/>
              <w:spacing w:before="0" w:after="0"/>
              <w:jc w:val="left"/>
              <w:rPr/>
            </w:pPr>
            <w:r>
              <w:rPr/>
              <w:t>)%</w:t>
            </w:r>
          </w:p>
        </w:tc>
      </w:tr>
      <w:tr>
        <w:trPr/>
        <w:tc>
          <w:tcPr>
            <w:tcW w:w="2135" w:type="dxa"/>
            <w:tcBorders/>
            <w:vAlign w:val="bottom"/>
          </w:tcPr>
          <w:p>
            <w:pPr>
              <w:pStyle w:val="TableContents"/>
              <w:bidi w:val="0"/>
              <w:spacing w:before="0" w:after="0"/>
              <w:ind w:left="144" w:right="0" w:hanging="144"/>
              <w:jc w:val="left"/>
              <w:rPr/>
            </w:pPr>
            <w:r>
              <w:rPr/>
              <w:t>Total</w:t>
            </w:r>
          </w:p>
        </w:tc>
        <w:tc>
          <w:tcPr>
            <w:tcW w:w="60" w:type="dxa"/>
            <w:tcBorders/>
            <w:vAlign w:val="bottom"/>
          </w:tcPr>
          <w:p>
            <w:pPr>
              <w:pStyle w:val="TableContents"/>
              <w:bidi w:val="0"/>
              <w:spacing w:before="0" w:after="283"/>
              <w:jc w:val="left"/>
              <w:rPr/>
            </w:pPr>
            <w:r>
              <w:rPr/>
              <w:t> </w:t>
            </w:r>
          </w:p>
        </w:tc>
        <w:tc>
          <w:tcPr>
            <w:tcW w:w="72" w:type="dxa"/>
            <w:tcBorders>
              <w:bottom w:val="single" w:sz="12" w:space="0" w:color="000000"/>
            </w:tcBorders>
            <w:tcMar>
              <w:bottom w:w="28" w:type="dxa"/>
            </w:tcMar>
            <w:vAlign w:val="bottom"/>
          </w:tcPr>
          <w:p>
            <w:pPr>
              <w:pStyle w:val="TableContents"/>
              <w:bidi w:val="0"/>
              <w:spacing w:before="0" w:after="283"/>
              <w:jc w:val="left"/>
              <w:rPr/>
            </w:pPr>
            <w:r>
              <w:rPr/>
              <w:t> </w:t>
            </w:r>
          </w:p>
        </w:tc>
        <w:tc>
          <w:tcPr>
            <w:tcW w:w="960" w:type="dxa"/>
            <w:tcBorders>
              <w:bottom w:val="single" w:sz="12" w:space="0" w:color="000000"/>
            </w:tcBorders>
            <w:tcMar>
              <w:bottom w:w="28" w:type="dxa"/>
            </w:tcMar>
            <w:vAlign w:val="bottom"/>
          </w:tcPr>
          <w:p>
            <w:pPr>
              <w:pStyle w:val="TableContents"/>
              <w:bidi w:val="0"/>
              <w:spacing w:before="0" w:after="0"/>
              <w:jc w:val="right"/>
              <w:rPr/>
            </w:pPr>
            <w:r>
              <w:rPr/>
              <w:t>30,045</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bottom w:val="single" w:sz="12" w:space="0" w:color="000000"/>
            </w:tcBorders>
            <w:tcMar>
              <w:bottom w:w="28" w:type="dxa"/>
            </w:tcMar>
            <w:vAlign w:val="bottom"/>
          </w:tcPr>
          <w:p>
            <w:pPr>
              <w:pStyle w:val="TableContents"/>
              <w:bidi w:val="0"/>
              <w:spacing w:before="0" w:after="283"/>
              <w:jc w:val="left"/>
              <w:rPr/>
            </w:pPr>
            <w:r>
              <w:rPr/>
              <w:t> </w:t>
            </w:r>
          </w:p>
        </w:tc>
        <w:tc>
          <w:tcPr>
            <w:tcW w:w="960" w:type="dxa"/>
            <w:tcBorders>
              <w:bottom w:val="single" w:sz="12" w:space="0" w:color="000000"/>
            </w:tcBorders>
            <w:tcMar>
              <w:bottom w:w="28" w:type="dxa"/>
            </w:tcMar>
            <w:vAlign w:val="bottom"/>
          </w:tcPr>
          <w:p>
            <w:pPr>
              <w:pStyle w:val="TableContents"/>
              <w:bidi w:val="0"/>
              <w:spacing w:before="0" w:after="0"/>
              <w:jc w:val="right"/>
              <w:rPr/>
            </w:pPr>
            <w:r>
              <w:rPr/>
              <w:t>36,912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pPr>
            <w:r>
              <w:rPr/>
              <w:t>(19</w:t>
            </w:r>
          </w:p>
        </w:tc>
        <w:tc>
          <w:tcPr>
            <w:tcW w:w="290" w:type="dxa"/>
            <w:tcBorders/>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57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Following is a narrative discussion of our results in each segment, which supplements the tables above.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Americas</w:t>
      </w:r>
      <w:r>
        <w:rPr>
          <w:rFonts w:ascii="Times New Roman" w:hAnsi="Times New Roman"/>
          <w:color w:val="000000"/>
          <w:sz w:val="20"/>
          <w:shd w:fill="FFFFFF" w:val="clear"/>
        </w:rPr>
        <w:t>. The results in our Americas segment reflect a continued decline in our North America markets, while our Latin America markets grew year-over-year. Our North America markets continued to be challenged, where in November 2024 we introduced enhancements to the sales performance plan to address the macro environmental landscape. These enhancements have caused disruption as our sales force adapts to the changes. In addition, our reported revenue reflects negative impacts from unfavorable foreign currency fluctuations of 6.1% for fiscal year 2025.</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the second quarter of 2024, we launched our developing market strategy in Argentina, with a revised operating model with a focused product portfolio and modified business model that has enabled us to reach a broader demographic. During early 2025, we continued to roll out this strategy in additional Latin America markets. For 2025, our Latin America markets revenue increased from $57.8 million to $99.6 million, a 72.3% year-over-year increase; in addition, Latin America Customers increased 46%, Paid Affiliates increased 47%, and Sales Leaders increased 25%.</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year-over-year decrease in segment contribution for 2025 primarily reflects the decline in revenue, partially offset by an 0.8 percentage point decrease in selling expenses as a percentage of revenue.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Southeast Asia/Pacific</w:t>
      </w:r>
      <w:r>
        <w:rPr>
          <w:rFonts w:ascii="Times New Roman" w:hAnsi="Times New Roman"/>
          <w:color w:val="000000"/>
          <w:sz w:val="20"/>
          <w:shd w:fill="FFFFFF" w:val="clear"/>
        </w:rPr>
        <w:t>. The decline in revenue, Customers, Paid Affiliates and Sales Leaders for 2025 is partially attributable to slowing momentum from the general macroeconomic factors in the markets. In response to these challenges, in 2025 we began leveraging our learnings from the developing market strategy, including by launching products specifically aimed at expanding our customer base.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fourth quarter of 2025, we began pre-market activities in India, setting the operational foundation and infrastructure ahead of a full market opening anticipated in the back half of 2026. Our financial results and key performance indicators for this market, which are included in our Southeast Asia/Pacific segment in this report, were insignificant for 2025.</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year-over-year increase in segment contribution for 2025 is primarily attributable to a 2.2 percentage point increase to gross margin due to a shift in product mix, and a 1.3 percentage point decrease in selling expenses as a percentage of revenue primarily from a lower amount of local sales force incentives during the period as well as less qualifiers for the success trips.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Mainland China</w:t>
      </w:r>
      <w:r>
        <w:rPr>
          <w:rFonts w:ascii="Times New Roman" w:hAnsi="Times New Roman"/>
          <w:color w:val="000000"/>
          <w:sz w:val="20"/>
          <w:shd w:fill="FFFFFF" w:val="clear"/>
        </w:rPr>
        <w:t>. Our Mainland China market continued to be challenged during 2025, with ongoing macroeconomic factors, the associated decrease in consumer spending and a continued shift of market consumer awareness and demand to online product marketplaces.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decrease in segment contribution for 2025 primarily reflects the decline in revenue, partially offset by a 4.1 percentage point decrease in selling expenses as a percent of revenue and a 1.0 percentage point increase in gross margin. The salaries and service fees of our Sales Leaders in Mainland China are fixed until they are adjusted in a quarterly evaluation process. As a result, we have variations in our selling expenses as a percentage of revenue, particularly when there is a sequential change in revenue.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Japan</w:t>
      </w:r>
      <w:r>
        <w:rPr>
          <w:rFonts w:ascii="Times New Roman" w:hAnsi="Times New Roman"/>
          <w:color w:val="000000"/>
          <w:sz w:val="20"/>
          <w:shd w:fill="FFFFFF" w:val="clear"/>
        </w:rPr>
        <w:t>. The reduction in revenue, Customers, Paid Affiliates and Sales Leaders is partially attributable to consumer inflationary pressures which depressed spending.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year-over-year decrease in segment contribution is primarily attributable to the decreased revenue.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Europe &amp; Africa</w:t>
      </w:r>
      <w:r>
        <w:rPr>
          <w:rFonts w:ascii="Times New Roman" w:hAnsi="Times New Roman"/>
          <w:color w:val="000000"/>
          <w:sz w:val="20"/>
          <w:shd w:fill="FFFFFF" w:val="clear"/>
        </w:rPr>
        <w:t>. The reduction in revenue, Customers, Paid Affiliates and Sales Leaders reflects continued softness in these markets, as well as the macroeconomic factors that have led to a decline in the purchasing power of our customers. We introduced enhancements to the sales performance plan in Europe &amp; Africa starting in March 2025. In addition, our 2025 reported revenue reflects benefits from favorable foreign currency fluctuations of 4.1%.</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year-over-year increase in segment contribution was primarily driven by a 2.3 percentage point decline in selling expenses as a percent of revenue for 2025, primarily from elevated sales force events costs in the prior year, partially offset by the decline in revenue.</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58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South Korea</w:t>
      </w:r>
      <w:r>
        <w:rPr>
          <w:rFonts w:ascii="Times New Roman;Times;serif" w:hAnsi="Times New Roman;Times;serif"/>
          <w:color w:val="000000"/>
          <w:sz w:val="20"/>
          <w:shd w:fill="FFFFFF" w:val="clear"/>
        </w:rPr>
        <w:t>. Our South Korea market was challenged by difficult macroeconomic trends, including inflationary pressures, political instability, and our associated price increases which negatively impacted our revenue, Customers, Paid Affiliates and Sales Leaders for the 2025. In addition, our reported revenue reflects negative impacts from unfavorable foreign currency fluctuations of 3.4% for 2025.</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year-over-year decline in segment contribution primarily reflects the decline in revenue, as well as a 3.7 percentage point increase in selling expenses associated with incremental cost pressure from the enhancements to the sales performance plan, which we introduced in this segment during the fourth quarter of 2024, partially offset by a $5.9 million decline in general and administrative expenses from cost savings realized from our 2023 restructuring plan.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Hong Kong/Taiwan</w:t>
      </w:r>
      <w:r>
        <w:rPr>
          <w:rFonts w:ascii="Times New Roman" w:hAnsi="Times New Roman"/>
          <w:color w:val="000000"/>
          <w:sz w:val="20"/>
          <w:shd w:fill="FFFFFF" w:val="clear"/>
        </w:rPr>
        <w:t>. The decline in our Hong Kong/Taiwan segment for 2025 is attributable to macroeconomic issues, which are resulting in less purchasing power for our consumers. Our reported revenue reflects benefits from favorable foreign currency fluctuations of 1.8% for 2025.</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increase in segment contribution for 2025 was primarily driven by a 2.1 percentage point improvement in gross margin due to sales mix, a 1.9 percentage point decrease in selling expenses and a 1.1 percentage point decrease in general and administrative expenses, from our recent cost saving efforts, partially offset by the decline in revenue.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Manufacturing</w:t>
      </w:r>
      <w:r>
        <w:rPr>
          <w:rFonts w:ascii="Times New Roman" w:hAnsi="Times New Roman"/>
          <w:color w:val="000000"/>
          <w:sz w:val="20"/>
          <w:shd w:fill="FFFFFF" w:val="clear"/>
        </w:rPr>
        <w:t>. Our Manufacturing segment revenue increased 2.2% for 2025.</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increase in segment contribution for 2025 is primarily from the revenue mix amongst our manufacturing entities as well as product mix, which resulted in more profitability for the year.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Rhyz Other.</w:t>
      </w:r>
      <w:r>
        <w:rPr>
          <w:rFonts w:ascii="Times New Roman" w:hAnsi="Times New Roman"/>
          <w:color w:val="000000"/>
          <w:sz w:val="20"/>
          <w:shd w:fill="FFFFFF" w:val="clear"/>
        </w:rPr>
        <w:t>  The decrease in revenue of our Rhyz Other segment is primarily driven by the January 2, 2025 sale of Mavely. Mavely recognized $69.6 million of revenue in 2024. In addition, our BeautyBio entity continues to be challenged, with a 52.4% decline in revenue for 2025, as we continue to implement our strategy to minimize future losses and better position the brand.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Rhyz Other segment also includes LifeDNA, Inc. (“LifeDNA”), a DNA assessment and recommendation technology company. During 2025, LifeDNA revenue grew 188%, to $12.4 million. In addition, the profitability of LifeDNA has increased as part of the revenue growth, resulting in a 2025 operating margin of 7.7% compared to (30.8)% for the prior year period. We are currently evaluating strategic opportunities with LifeDNA, including potentially divesting it, to maximize our return on investment.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increase in segment contribution is primarily from our cost saving efforts at BeautyBio, which had smaller losses for 2025.</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Consolidated Results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Revenue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Revenue for the year ended December 31, 2025 decreased 14% to $1.49 billion, compared to $1.73 billion in the prior-year period. For a discussion and analysis of this decline in revenue, see “Overview” and “Segment Results,” above.</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Gross profit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Gross profit as a percentage of revenue increased to 69.4% in 2025, compared to 68.2% in 2024. Gross profit as a percentage of revenue for our core Nu Skin business increased 3.1 percentage points to 77.4%. Our Nu Skin gross margin continues to benefit from our strategic portfolio optimization as well as a favorable product mix shift. Our gross margin was also impacted by the gross margin of our owned manufacturing entities, which as previously disclosed, is significantly lower than the gross margin of our core Nu Skin business. With the year-over-year growth within our Manufacturing segment, their revenue represented a higher proportion of our overall consolidated revenue for the year ended December 31, 2025 than in the prior-year. In the fourth quarter of 2024, we recorded an incremental inventory write-off charge of $38.8 million, $32.7 million of which was recorded within our core Nu Skin business, as we continued to accelerate and expand our product portfolio optimization.</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59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Selling expenses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Selling expenses as a percentage of revenue decreased to 34.2% in 2025, compared to 37.6% for 2024. Our core Nu Skin business’s selling expense as a percentage of revenue decreased 1.6 percentage points to 40.3% for 2025, compared to 41.9% for 2024. Selling expenses for our core Nu Skin business are driven by the specific performance of our individual Sales Leaders. Given the size of our sales force and the various components of our compensation and incentive programs, selling expenses as a percentage of revenue typically fluctuate plus or minus approximately 100 basis points from period to period. Our 2025 core Nu Skin selling expenses decrease is partially attributable to our third quarter of 2024 global Nu Skin L!VE events, which drove approximately $10.2 million of incremental expenditures, that did not repeat in 2025. In addition, approximately 2.7 percentage points of the decline in selling expenses as a percentage of revenue in our consolidated results are attributable to the January 2, 2025 sale of Mavely.</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General and administrative expenses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General and administrative expenses decreased to $432.1 million in 2025, compared to $479.0 million in 2024. The $46.9 million decrease primarily was from $15.3 million decrease in depreciation and amortization following our 2024 and first quarter of 2025 impairments, $13.8 million of 2024 expenses from Mavely, which was sold in the first quarter of 2025, $8.5 million contraction in labor expenses from our 2024 cost savings initiatives, and a decrease in promotional expenses in connection with our prior-year product launches. As a percentage of revenue, general and administrative increased 1.4 percentage points to 29.1% for 2025, compared to 27.7% for 2024.</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Restructuring and impairment expenses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2022 restructuring plan</w:t>
      </w:r>
      <w:r>
        <w:rPr>
          <w:rFonts w:ascii="Times New Roman;Times;serif" w:hAnsi="Times New Roman;Times;serif"/>
          <w:color w:val="000000"/>
          <w:sz w:val="20"/>
          <w:shd w:fill="FFFFFF" w:val="clear"/>
        </w:rPr>
        <w:t>. In the third quarter of 2022, we adopted a strategic plan to focus resources on our strategic priorities and optimize future growth and profitability. The global program included workforce reductions and footprint optimization. Total charges incurred under the program were approximately $53.3 million, with $40.8 million in cash charges of severance and lease termination cost and approximately $12.5 million of non-cash charges of impairment of fixed assets, acceleration of depreciation and impairment of other intangibles related to our footprint optimization. During 2023, we incurred charges to be settled in cash of $4.0 million in severance charges, $1.9 million in lease termination cost, and $2.2 million in other associated cost, and non-cash charges of $1.7 million in accelerated depreciation.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2023 restructuring plan</w:t>
      </w:r>
      <w:r>
        <w:rPr>
          <w:rFonts w:ascii="Times New Roman;Times;serif" w:hAnsi="Times New Roman;Times;serif"/>
          <w:color w:val="000000"/>
          <w:sz w:val="20"/>
          <w:shd w:fill="FFFFFF" w:val="clear"/>
        </w:rPr>
        <w:t>. In the fourth quarter of 2023, we adopted another strategic plan to focus resources on our global priorities and optimize future growth and profitability. The global program includes workforce reductions and fixed asset impairments associated with our consolidation of technology assets. Total charges under the program included approximately $27.9 million in cash charges of severance, approximately $1.0 million in other cash charges and approximately $38.8 million in non-cash charges, including approximately $36.6 million in fixed asset impairments. We have incurred all expected charges under the 2023 plan. During the fourth quarter of 2023, we incurred charges to be settled in cash of $10.0 million in severance charges. During 2024, we incurred charges to be settled in cash of $17.9 million in severance charges and $1.1 million of other associated cost, and non-cash charges of $36.6 million of fixed asset impairments and $2.2 million of other non-cash charges.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Goodwill and intangibles impairment</w:t>
      </w:r>
      <w:r>
        <w:rPr>
          <w:rFonts w:ascii="Times New Roman;Times;serif" w:hAnsi="Times New Roman;Times;serif"/>
          <w:color w:val="000000"/>
          <w:sz w:val="20"/>
          <w:shd w:fill="FFFFFF" w:val="clear"/>
        </w:rPr>
        <w:t>. During the three months ended June 30, 2024, we determined that the continued decline in our stock price and corresponding decrease in market capitalization as well as declines in some of our reporting units’ forecasts were triggering events that required us to perform a quantitative impairment analysis. When we performed an impairment test during the second quarter of 2024, we concluded that the estimated fair value of Americas, Mainland China, Southeast Asia/Pacific, Japan, South Korea, Europe &amp; Africa, Hong Kong/Taiwan and our BeautyBio reporting units were less than their carrying value of equity as June 30, 2024. As a result, we recorded a non-cash goodwill impairment charge of $130.9 million in the second quarter of 2024. During the fourth quarter of 2024, the continued decline in our BeautyBio reporting unit forecast was a triggering event that required us to perform a quantitative analysis. As a result, we concluded the estimated fair value of our BeautyBio reporting unit was less than its carrying value and as a result recorded a non-cash goodwill impairment charge of $3.6 million.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during the three months ended June 30, 2024, we determined that the current operating losses and decline in forecasted losses associated with our BeautyBio retail asset group were an interim triggering event that required us to perform an interim impairment analysis on our BeautyBio retail asset group. We assessed the recoverability of the related asset group comparing the carrying value of the asset group to the undiscounted cash flows expected to be generated. The recoverability test indicated the retail asset group was impaired. We concluded the carrying value of the retail asset group exceeded the estimated fair value which resulted in an impairment charge of $10.1 million in our Rhyz Other segment during the three months ended June 30, 2024.</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60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three months ended March 31, 2025, we decided to make a strategic shift in how we operate the BeautyBio asset group. These strategic changes include exiting certain sales channels, which reduced the forecasted revenues for BeautyBio. We concluded these actions were an interim impairment triggering event that required us to perform an interim impairment analysis on our BeautyBio asset group. We assessed the recoverability of the related asset group comparing the carrying value to the undiscounted cash flows expected to be generated. The recoverability test indicated the asset group was impaired. We concluded that the carrying value of the asset group exceeded the estimated fair value which resulted in an impairment charge of $25.1 million in our Rhyz Other segment during the three months ended March 31, 2025.</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Interest expense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Interest expense decreased to $13.9 million for 2025, compared to $26.4 million in the prior-year period. The decrease in interest expense was primarily due to the debt payments made in the first quarter of 2025 using a portion of the proceeds from the Mavely sale. Our interest rate swap arrangements that we entered into in 2020 matured on July 31, 2025, at which time our effective interest rate increased.</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Gain on sale of business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January 2025, we completed the sale of our Mavely entity for $230 million in cash and shares of the purchaser’s common stock, subject to certain adjustments as set forth in the purchase agreement, including post-closing determination of net working capital and other elements of purchase price. Following the completion of certain payments to other equity holders in Mavely and the payment of certain transaction expenses, we received $193.7 million of cash and equity interest with an estimated fair value of $6.1 million.  Following the finalization of net working capital, we received additional cash payments of $2.7 million and $1.7 million in the second and third quarter of 2025, respectively. In 2025, we recorded a pre-tax gain on disposition of $176.2 million.</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Other income (expense), net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Other income (expense), net for 2025 was $(31.8) million, compared to $2.9 million in 2024. The decrease in other income for the year ended December 31, 2025 is primarily from a $28.1 million unrealized loss on investment. See Note 11 to the consolidated financial statements contained in this report for more information on the unrealized equity investment and the associated loss. In addition, for 2025 we had an incremental $4.4 million of foreign currency losses, primarily from our growth in Argentina, which currency is classified as highly inflationary.</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Provision for income taxes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Provision (benefit) for income taxes increased to $36.0 million in 2025 from $(28.5) million in 2024. Our effective tax rate increased to 18.3% of pre-tax income in 2025 from 16.3% in 2024. Our effective tax rate for 2025 was impacted by $8.1 million of additional research and development credits determined creditable during the year, the sale of Mavely, the impairment of the BeautyBio asset group and the impairment of an equity investment. Our effective tax rate for 2024 was impacted by the 2024 goodwill impairment.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2026, we currently anticipate that our effective tax rate will be approximately 28-36%. Our actual 2026 effective tax rate could differ materially from this estimate. Our future effective tax rates could fluctuate significantly, being affected by numerous factors, such as intercompany transactions, changes in our business operations, foreign audits, increases in uncertain tax positions, acquisitions, entry into new markets, the amount of our foreign earnings, including earnings being lower than anticipated in jurisdictions where we have a lower statutory rate and higher than anticipated in jurisdictions where we have a higher statutory rate, losses incurred in jurisdictions, the inability to realize tax benefits, withholding taxes, changes in foreign currency exchange rates, changes in our stock price, changes in our deferred tax assets and liabilities and their valuation.</w:t>
      </w:r>
    </w:p>
    <w:p>
      <w:pPr>
        <w:pStyle w:val="TextBody"/>
        <w:bidi w:val="0"/>
        <w:spacing w:before="0" w:after="0"/>
        <w:jc w:val="both"/>
        <w:rPr>
          <w:color w:val="000000"/>
        </w:rPr>
      </w:pPr>
      <w:r>
        <w:rPr>
          <w:color w:val="000000"/>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July 4, 2025, U.S. legislation formally titled “An Act to Provide for Reconciliation Pursuant to Title II of H. Con. Res. 14” (“the Act”) and commonly referred to as the One Big Beautiful Bill Act was signed into law. The Act, among other things, extended key provisions of the 2017 Tax Cuts and Jobs Act and introduced targeted changes to the U.S. federal income tax regime. The Act has not materially impacted the Company’s effective tax rate.</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Net income (loss)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As a result of the foregoing factors, net income (loss) in 2025 increased to $160.2 million, compared to $(146.6) million in 2024.</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61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2024 Compared to 2023</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For a comparison of our operating results for 2024 compared to 2023, see Item 7. Management’s Discussion and Analysis of Financial Condition and Results of Operations beginning on page 49 of our Annual Report on Form 10-K for the fiscal year ended December 31, 2024, as filed with the SEC on February 14, 2025.</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Liquidity and Capital Resources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Historically, our principal uses of cash have included operating expenses (particularly selling expenses) and working capital (principally inventory purchases), as well as capital expenditures, stock repurchases, dividends, debt repayment and the development of operations in new markets. We have at times incurred long-term debt, or drawn on our revolving line of credit, to fund strategic transactions, stock repurchases, capital investments and short-term operating needs. We typically generate positive cash flow from operations due to favorable margins and have generally relied on cash from operations to fund operating activities. We generated $80.3 million in cash from operations during 2025, compared to $111.7 million in cash from operations during 2024. The decrease in cash flow from operations primarily reflects cash payments made in the first quarter of 2025 related to expenses accrued as of year-end, which included restructuring and other accrued expenses as well as an increase in prepaid taxes primarily associated with estimated payments related to the Mavely sale.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As of December 31, 2025, cash and cash equivalents, including current investments, were $239.8 million compared to $198.0 million as of December 31, 2024. The increase was primarily driven by the proceeds from the sale of Mavely and cash generated from operations as described above, partially offset by $170.0 million in net debt payments, which was comprised of $135.0 million toward our term loan and $35.0 million toward our revolving credit facility, $34.3 million capital expenditures, and $20.0 million in share repurchases.  Working capital as of December 31, 2025 was $284.0 million compared to $242.0 million as of December 31, 2024. Our increase in working capital is primarily attributable to the increase in cash as discussed above.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Cash requirements</w:t>
      </w:r>
      <w:r>
        <w:rPr>
          <w:rFonts w:ascii="Times New Roman" w:hAnsi="Times New Roman"/>
          <w:color w:val="000000"/>
          <w:sz w:val="20"/>
          <w:shd w:fill="FFFFFF" w:val="clear"/>
        </w:rPr>
        <w:t>. For 2026, we currently expect that our material cash requirements will include the following:</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Cash requirements for operating activities. Our operating expenses typically total approximately 85%-90% of our revenue, with compensation to our sales force constituting 40%-43% of our core Nu Skin revenue. These compensation expenses consist primarily of commission payments, which we generally pay to our sales force within approximately one to two months of the sale. Inventory purchases have historically constituted approximately 15%-20% of our revenue. On average, we purchase our inventory approximately three to six months prior to sale. While our actual cash usage may vary based on the timing of payments, we currently expect these approximate percentages and payment practices to continue in 2026. In addition, we expect our 2026 lease payments will be approximately $23.5 million.</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Cash requirements for investing activities. As discussed in more detail below, our capital expenditures are expected to be $40-60 million for 2026.</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Cash requirements for financing activities. In 2025 we are obligated to make a total of $20.0 million in quarterly principal payments plus the associated interest on our term loan. We also anticipate paying quarterly cash dividends throughout 2026, approximating $3 million per quarter depending on the number of shares outstanding as of record date. Additional details about our dividends and term loan are provided below.</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2026 and onward, we currently expect the above material cash requirements will remain. See Note 7 and Note 8 to the consolidated financial statements contained in this report for our future cash requirements related to our debt principal repayment and our maturities of lease liabilities.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intend to fund the aforementioned cash requirements with our cash from operations and draw on our revolving credit facility, as needed, to address any short-term funding requirements.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Capital expenditures</w:t>
      </w:r>
      <w:r>
        <w:rPr>
          <w:rFonts w:ascii="Times New Roman" w:hAnsi="Times New Roman"/>
          <w:color w:val="000000"/>
          <w:sz w:val="20"/>
          <w:shd w:fill="FFFFFF" w:val="clear"/>
        </w:rPr>
        <w:t>. Capital expenditures in 2025 totaled $34.3 million. As with 2025, we expect that the capital expenditures in 2026 will be primarily related to:</w:t>
      </w:r>
    </w:p>
    <w:p>
      <w:pPr>
        <w:pStyle w:val="TextBody"/>
        <w:bidi w:val="0"/>
        <w:spacing w:before="0" w:after="0"/>
        <w:jc w:val="left"/>
        <w:rPr/>
      </w:pPr>
      <w:r>
        <w:rPr/>
      </w:r>
    </w:p>
    <w:tbl>
      <w:tblPr>
        <w:tblW w:w="5778" w:type="dxa"/>
        <w:jc w:val="left"/>
        <w:tblInd w:w="0" w:type="dxa"/>
        <w:tblLayout w:type="fixed"/>
        <w:tblCellMar>
          <w:top w:w="0" w:type="dxa"/>
          <w:left w:w="0" w:type="dxa"/>
          <w:bottom w:w="0" w:type="dxa"/>
          <w:right w:w="0" w:type="dxa"/>
        </w:tblCellMar>
      </w:tblPr>
      <w:tblGrid>
        <w:gridCol w:w="38"/>
        <w:gridCol w:w="170"/>
        <w:gridCol w:w="557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5570" w:type="dxa"/>
            <w:tcBorders/>
            <w:vAlign w:val="center"/>
          </w:tcPr>
          <w:p>
            <w:pPr>
              <w:pStyle w:val="TableContents"/>
              <w:bidi w:val="0"/>
              <w:spacing w:before="0" w:after="0"/>
              <w:jc w:val="both"/>
              <w:rPr>
                <w:color w:val="000000"/>
              </w:rPr>
            </w:pPr>
            <w:r>
              <w:rPr>
                <w:color w:val="000000"/>
              </w:rPr>
              <w:t>Rhyz plant expansion to increase capacity and capabilities;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purchases and expenditures for computer systems and equipment, software, and application development; and</w:t>
            </w:r>
          </w:p>
        </w:tc>
      </w:tr>
    </w:tbl>
    <w:tbl>
      <w:tblPr>
        <w:tblW w:w="6093" w:type="dxa"/>
        <w:jc w:val="left"/>
        <w:tblInd w:w="0" w:type="dxa"/>
        <w:tblLayout w:type="fixed"/>
        <w:tblCellMar>
          <w:top w:w="0" w:type="dxa"/>
          <w:left w:w="0" w:type="dxa"/>
          <w:bottom w:w="0" w:type="dxa"/>
          <w:right w:w="0" w:type="dxa"/>
        </w:tblCellMar>
      </w:tblPr>
      <w:tblGrid>
        <w:gridCol w:w="38"/>
        <w:gridCol w:w="170"/>
        <w:gridCol w:w="588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5885" w:type="dxa"/>
            <w:tcBorders/>
            <w:vAlign w:val="center"/>
          </w:tcPr>
          <w:p>
            <w:pPr>
              <w:pStyle w:val="TableContents"/>
              <w:bidi w:val="0"/>
              <w:spacing w:before="0" w:after="0"/>
              <w:jc w:val="both"/>
              <w:rPr>
                <w:color w:val="000000"/>
              </w:rPr>
            </w:pPr>
            <w:r>
              <w:rPr>
                <w:color w:val="000000"/>
              </w:rPr>
              <w:t>the expansion and upgrade of facilities in our various markets.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estimate that capital expenditures for the uses listed above will total approximately $40-60 million for 2026.</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62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Credit Agreement</w:t>
      </w:r>
      <w:r>
        <w:rPr>
          <w:rFonts w:ascii="Times New Roman;Times;serif" w:hAnsi="Times New Roman;Times;serif"/>
          <w:color w:val="000000"/>
          <w:sz w:val="20"/>
          <w:shd w:fill="FFFFFF" w:val="clear"/>
        </w:rPr>
        <w:t>. On June 14, 2022, we entered into an Amended and Restated Credit Agreement (the “Credit Agreement”) with various financial institutions as lenders and Bank of America, N.A., as administrative agent. The Credit Agreement provides for a $400.0 million term loan facility and a $500.0 million revolving credit facility, each with a term of five years. We used the proceeds of the term loan and the draw on the revolving facility to pay off the previous credit agreement. Both facilities bear interest at the Secured Overnight Financing Rate (“SOFR”), plus a margin based on our consolidated leverage ratio. The term loan facility amortizes in quarterly installments in amounts resulting in an annual amortization of 2.5% during the first year and 5.0% during the subsequent years after the closing date of the Credit Agreement, with the remainder payable at final maturity. As of December 31, 2025 and 2024, we had $0 and $35.0 million of outstanding borrowings under our revolving credit facility, and $225.0 million and $360.0 million on our term loan facility. The carrying value of the debt also reflects debt issuance costs of $0.8 million and $1.4 million as of December 31, 2025 and 2024, respectively, related to the Credit Agreement. The Credit Agreement requires us to maintain a consolidated leverage ratio not exceeding 2.75 to 1.00 and a consolidated interest coverage ratio of no less than 3.00 to 1.00. As of December 31, 2025, we were in compliance with all debt covenants under the Credit Agreement. We are planning to refinance our Credit Agreement during the first half of 2026; however, no assurance can be given that we will be able to complete such refinancing on favorable terms, or at all.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Derivative instruments</w:t>
      </w:r>
      <w:r>
        <w:rPr>
          <w:rFonts w:ascii="Times New Roman" w:hAnsi="Times New Roman"/>
          <w:color w:val="000000"/>
          <w:sz w:val="20"/>
          <w:shd w:fill="FFFFFF" w:val="clear"/>
        </w:rPr>
        <w:t>. During the third quarter of 2025, we had four interest rate swaps mature, with a total notional principal amount of $200 million. We entered into these interest rate swap arrangements during the third quarter of 2020 to hedge the variable cash flows associated with our variable-rate debt under the Credit Agreement.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Stock repurchase plan</w:t>
      </w:r>
      <w:r>
        <w:rPr>
          <w:rFonts w:ascii="Times New Roman" w:hAnsi="Times New Roman"/>
          <w:color w:val="000000"/>
          <w:sz w:val="20"/>
          <w:shd w:fill="FFFFFF" w:val="clear"/>
        </w:rPr>
        <w:t>. In 2018, our board of directors approved a stock repurchase plan authorizing us to repurchase up to $500.0 million of our outstanding shares of Class A common stock on the open market or in private transactions. During 2025, we repurchased 2.0 million shares of our Class A common stock under the plan for $20.0 million. As of December 31, 2025, $142.3 million was available for repurchases under the plan. Our stock repurchases are used primarily to offset dilution from our equity incentive plans and for strategic initiatives.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Dividends</w:t>
      </w:r>
      <w:r>
        <w:rPr>
          <w:rFonts w:ascii="Times New Roman;Times;serif" w:hAnsi="Times New Roman;Times;serif"/>
          <w:color w:val="000000"/>
          <w:sz w:val="20"/>
          <w:shd w:fill="FFFFFF" w:val="clear"/>
        </w:rPr>
        <w:t>. In February, May, August and November 2025, our board of directors declared quarterly cash dividends of $0.06 per share. The quarterly cash dividends of $3.0 million, $3.0 million, $3.0 million, and $2.9 million were paid on March 5, 2025, June 11, 2025, September 10, 2025 and December 10, 2025 to stockholders of record on February 24, 2025, May 30, 2025, August 29, 2025 and November 28, 2025, respectively. In February 2026, our board of directors declared a quarterly cash dividend of $0.06 per share to be paid on March 11, 2026 to stockholders of record on February 27, 2026. Currently, we anticipate that our board of directors will continue to declare quarterly cash dividends and that the cash flows from operations will be sufficient to fund our future dividend payments. However, the continued declaration of dividends is subject to the discretion of our board of directors and will depend upon various factors, including our net earnings, financial condition, cash requirements, future prospects and other relevant factors.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Cash from foreign subsidiaries</w:t>
      </w:r>
      <w:r>
        <w:rPr>
          <w:rFonts w:ascii="Times New Roman" w:hAnsi="Times New Roman"/>
          <w:color w:val="000000"/>
          <w:sz w:val="20"/>
          <w:shd w:fill="FFFFFF" w:val="clear"/>
        </w:rPr>
        <w:t>. As of December 31, 2025 and 2024, we held $239.8 million and $198.0 million, respectively, in cash and cash equivalents, including current investments. These amounts include $170.7 million and $154.1 million as of December 31, 2025 and 2024, respectively, held in our operations outside of the United States. Substantially all of our non-U.S. cash and cash equivalents are readily convertible into U.S. dollars or other currencies, subject to procedural or other requirements in certain markets, as well as an indefinite-reinvestment designation, as described below.</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typically fund the cash requirements of our operations in the United States through intercompany dividends, intercompany loans and intercompany charges for products, use of intangible property, and corporate services. However, some markets impose government-approval or other requirements for the repatriation of dividends. For example, in Mainland China, we are unable to repatriate cash from current operations in the form of dividends until we file the necessary statutory financial statements for the relevant period. As of December 31, 2025 and 2024, we had $35.7 million and $27.4 million, respectively, in cash denominated in Chinese RMB. We also have experienced delays in repatriating cash from Argentina. As of December 31, 2025 and 2024, we had $23.9 million and $22.4 million, respectively, in intercompany receivable with our Argentina subsidiary. We also have intercompany loan arrangements with some of our markets, including Mainland China, that allow us to access available cash, subject to certain limits in Mainland China and other jurisdictions. We also have drawn on our revolving line of credit to address cash needs until we can repatriate cash from Mainland China or other markets, and we may continue to do so. Except for $60 million of earnings in Mainland China that we designated as indefinitely reinvested during the second quarter of 2018, we currently plan to repatriate undistributed earnings from our non-U.S. operations as necessary, considering the cash needs of our non-U.S. operations and the cash needs of our U.S. operations for dividends, stock repurchases, capital investments, debt repayment and strategic transactions. Repatriation of non-U.S. earnings is subject to withholding taxes in certain foreign jurisdictions. Accordingly, we have accrued the necessary withholding taxes related to the non-U.S. earnings.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63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currently believe that existing cash balances, future cash flows from operations and existing lines of credit will be adequate to fund our cash needs on both a short- and long-term basis. The majority of our historical expenses have been variable in nature and as such, a potential reduction in the level of revenue would reduce our cash flow needs. In the event that our current cash balances, future cash flow from operations and current lines of credit are not sufficient to meet our obligations or strategic needs, we would consider raising additional funds in the debt or equity markets or restructuring our current debt obligations. Additionally, we would consider realigning our strategic plans, including a reduction in capital spending, stock repurchases or dividend payments.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Non-GAAP Financial Measures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Constant-currency revenue change is a non-GAAP financial measure that removes the impact of fluctuations in foreign-currency exchange rates, thereby facilitating period-to-period comparisons of the Company’s performance. It is calculated by translating the current period’s revenue at the same average exchange rates in effect during the applicable prior-year period and then comparing that amount to the prior-year period’s revenue. We believe that constant-currency revenue change is useful to investors, lenders, and analysts because such information enables them to gauge the impact of foreign-currency fluctuations on our revenue from period to period.</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Contingent Liabilities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Please refer to Note 17 to the consolidated financial statements contained in this report for information regarding our contingent liabilities.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Seasonality and Cyclicality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to general economic factors, we are impacted by seasonal factors and trends such as major cultural events and vacation patterns. For example, most Asian markets celebrate their respective local New Year in the first quarter, which generally has a negative impact on that quarter. We believe that direct selling is also generally negatively impacted during the third quarter, when many individuals, including our sales force, traditionally take vacations.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Prior to making a product generally available for purchase in a market, we often do one or more introductory offerings of the product, such as a preview of the product to our Sales Leaders or other product introduction or promotion. These offerings sometimes generate significant activity and a high level of purchasing, which can result in a higher-than-normal increase in revenue, Sales Leaders, Paid Affiliates and/or Customers during the quarter and skew year-over-year and sequential comparisons.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Recent Accounting Pronouncements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description of new accounting pronouncements is contained in Note 2 to consolidated financial statements contained in this report.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QUANTITATIVEANDQUALITATIV"/>
      <w:bookmarkStart w:id="35" w:name="QUANTITATIVEANDQUALITATIV"/>
      <w:bookmarkEnd w:id="35"/>
    </w:p>
    <w:tbl>
      <w:tblPr>
        <w:tblW w:w="9970" w:type="dxa"/>
        <w:jc w:val="left"/>
        <w:tblInd w:w="0" w:type="dxa"/>
        <w:tblLayout w:type="fixed"/>
        <w:tblCellMar>
          <w:top w:w="0" w:type="dxa"/>
          <w:left w:w="0" w:type="dxa"/>
          <w:bottom w:w="0" w:type="dxa"/>
          <w:right w:w="0" w:type="dxa"/>
        </w:tblCellMar>
      </w:tblPr>
      <w:tblGrid>
        <w:gridCol w:w="1100"/>
        <w:gridCol w:w="8870"/>
      </w:tblGrid>
      <w:tr>
        <w:trPr/>
        <w:tc>
          <w:tcPr>
            <w:tcW w:w="1100" w:type="dxa"/>
            <w:tcBorders/>
            <w:vAlign w:val="center"/>
          </w:tcPr>
          <w:p>
            <w:pPr>
              <w:pStyle w:val="TableContents"/>
              <w:bidi w:val="0"/>
              <w:spacing w:before="0" w:after="283"/>
              <w:jc w:val="left"/>
              <w:rPr>
                <w:b/>
                <w:color w:val="000000"/>
              </w:rPr>
            </w:pPr>
            <w:r>
              <w:rPr>
                <w:b/>
                <w:color w:val="000000"/>
              </w:rPr>
              <w:t>ITEM 7A.</w:t>
            </w:r>
          </w:p>
        </w:tc>
        <w:tc>
          <w:tcPr>
            <w:tcW w:w="8870" w:type="dxa"/>
            <w:tcBorders/>
            <w:vAlign w:val="center"/>
          </w:tcPr>
          <w:p>
            <w:pPr>
              <w:pStyle w:val="TableContents"/>
              <w:bidi w:val="0"/>
              <w:spacing w:before="0" w:after="0"/>
              <w:jc w:val="both"/>
              <w:rPr>
                <w:b/>
                <w:color w:val="000000"/>
                <w:u w:val="single"/>
              </w:rPr>
            </w:pPr>
            <w:r>
              <w:rPr>
                <w:b/>
                <w:color w:val="000000"/>
                <w:u w:val="single"/>
              </w:rPr>
              <w:t>QUANTITATIVE AND QUALITATIVE DISCLOSURES ABOUT MARKET RISK</w:t>
            </w:r>
          </w:p>
        </w:tc>
      </w:tr>
    </w:tbl>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Currency Risk and Exchange Rate Information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majority of our revenue and many of our expenses are recognized outside of the United States, except for inventory purchases, a significant portion of which are primarily transacted in U.S. dollars from vendors in the United States. The local currency of each of our Subsidiaries’ primary markets is considered the functional currency with the exception of our Asia product-distribution subsidiary in Singapore and, as discussed below, our subsidiary in Argentina. All revenue and expenses are translated at weighted-average exchange rates for the periods reported. Therefore, our reported revenue and earnings will be positively impacted by a weakening of the U.S. dollar and will be negatively impacted by a strengthening of the U.S. dollar. These impacts may be significant because a large portion of our business is derived from outside of the United States. Given the uncertainty of exchange rate fluctuations, it is difficult to predict the effect of these fluctuations on our future business, product pricing and results of operations or financial condition.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the second quarter of 2018, published inflation indices indicated that the three-year cumulative inflation in Argentina exceeded 100%, and as of July 1, 2018, we elected to adopt highly inflationary accounting for our subsidiary in Argentina. Under highly inflationary accounting, Argentina’s functional currency became the U.S. dollar, and its income statement and balance sheet have been measured in U.S. dollars using both current and historical rates of exchange. The effect of changes in exchange rates on peso-denominated monetary assets and liabilities has been reflected in earnings in Other income (expense), net and was not material. As of December 31, 2025, our Argentina subsidiary had a small net peso monetary position. Net sales of Argentina were less than 4% of our consolidated net sales for 2025, 2024 and 2023.</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64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may seek to reduce our exposure to fluctuations in foreign currency exchange rates through the use of foreign currency exchange contracts and through intercompany loans of foreign currency. We do not use derivative financial instruments for trading or speculative purposes. We regularly monitor our foreign currency risks and periodically take measures to reduce the impact of foreign exchange fluctuations on our operating results. As of December 31, 2025, and 2024, we did not hold non-designated mark-to-market forward derivative contracts to hedge foreign-denominated intercompany positions or third-party foreign debt. As of December 31, 2025 and 2024, we did not hold any forward contracts designated as foreign-currency cash flow hedges.  We continue to evaluate our foreign currency hedging policy.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Following are the weighted-average currency exchange rates of U.S. $1 into local currency for each of our international or foreign markets in which revenue exceeded U.S. $5.0 million for at least one of the quarters listed:</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480"/>
        <w:gridCol w:w="60"/>
        <w:gridCol w:w="88"/>
        <w:gridCol w:w="877"/>
        <w:gridCol w:w="60"/>
        <w:gridCol w:w="60"/>
        <w:gridCol w:w="88"/>
        <w:gridCol w:w="889"/>
        <w:gridCol w:w="60"/>
        <w:gridCol w:w="60"/>
        <w:gridCol w:w="90"/>
        <w:gridCol w:w="900"/>
        <w:gridCol w:w="60"/>
        <w:gridCol w:w="60"/>
        <w:gridCol w:w="85"/>
        <w:gridCol w:w="854"/>
        <w:gridCol w:w="60"/>
        <w:gridCol w:w="60"/>
        <w:gridCol w:w="88"/>
        <w:gridCol w:w="877"/>
        <w:gridCol w:w="60"/>
        <w:gridCol w:w="60"/>
        <w:gridCol w:w="88"/>
        <w:gridCol w:w="889"/>
        <w:gridCol w:w="60"/>
        <w:gridCol w:w="60"/>
        <w:gridCol w:w="90"/>
        <w:gridCol w:w="900"/>
        <w:gridCol w:w="60"/>
        <w:gridCol w:w="60"/>
        <w:gridCol w:w="85"/>
        <w:gridCol w:w="854"/>
        <w:gridCol w:w="83"/>
      </w:tblGrid>
      <w:tr>
        <w:trPr/>
        <w:tc>
          <w:tcPr>
            <w:tcW w:w="14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31" w:type="dxa"/>
            <w:gridSpan w:val="14"/>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31" w:type="dxa"/>
            <w:gridSpan w:val="14"/>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83" w:type="dxa"/>
            <w:tcBorders/>
            <w:vAlign w:val="bottom"/>
          </w:tcPr>
          <w:p>
            <w:pPr>
              <w:pStyle w:val="TableContents"/>
              <w:bidi w:val="0"/>
              <w:spacing w:before="0" w:after="283"/>
              <w:jc w:val="left"/>
              <w:rPr/>
            </w:pPr>
            <w:r>
              <w:rPr/>
              <w:t> </w:t>
            </w:r>
          </w:p>
        </w:tc>
      </w:tr>
      <w:tr>
        <w:trPr/>
        <w:tc>
          <w:tcPr>
            <w:tcW w:w="14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4</w:t>
            </w:r>
            <w:r>
              <w:rPr>
                <w:rFonts w:ascii="Times New Roman;Times;serif" w:hAnsi="Times New Roman;Times;serif"/>
                <w:b/>
                <w:position w:val="7"/>
                <w:sz w:val="16"/>
                <w:sz w:val="20"/>
              </w:rPr>
              <w:t xml:space="preserve">th </w:t>
            </w:r>
            <w:r>
              <w:rPr>
                <w:rFonts w:ascii="Times New Roman;Times;serif" w:hAnsi="Times New Roman;Times;serif"/>
                <w:b/>
                <w:sz w:val="20"/>
              </w:rPr>
              <w:t>Quarter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7"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3</w:t>
            </w:r>
            <w:r>
              <w:rPr>
                <w:rFonts w:ascii="Times New Roman;Times;serif" w:hAnsi="Times New Roman;Times;serif"/>
                <w:b/>
                <w:position w:val="7"/>
                <w:sz w:val="16"/>
                <w:sz w:val="20"/>
              </w:rPr>
              <w:t xml:space="preserve">rd </w:t>
            </w:r>
            <w:r>
              <w:rPr>
                <w:rFonts w:ascii="Times New Roman;Times;serif" w:hAnsi="Times New Roman;Times;serif"/>
                <w:b/>
                <w:sz w:val="20"/>
              </w:rPr>
              <w:t>Quarter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w:t>
            </w:r>
            <w:r>
              <w:rPr>
                <w:rFonts w:ascii="Times New Roman;Times;serif" w:hAnsi="Times New Roman;Times;serif"/>
                <w:b/>
                <w:position w:val="7"/>
                <w:sz w:val="16"/>
                <w:sz w:val="20"/>
              </w:rPr>
              <w:t xml:space="preserve">nd </w:t>
            </w:r>
            <w:r>
              <w:rPr>
                <w:rFonts w:ascii="Times New Roman;Times;serif" w:hAnsi="Times New Roman;Times;serif"/>
                <w:b/>
                <w:sz w:val="20"/>
              </w:rPr>
              <w:t>Quarter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1</w:t>
            </w:r>
            <w:r>
              <w:rPr>
                <w:rFonts w:ascii="Times New Roman;Times;serif" w:hAnsi="Times New Roman;Times;serif"/>
                <w:b/>
                <w:position w:val="7"/>
                <w:sz w:val="16"/>
                <w:sz w:val="20"/>
              </w:rPr>
              <w:t xml:space="preserve">st </w:t>
            </w:r>
            <w:r>
              <w:rPr>
                <w:rFonts w:ascii="Times New Roman;Times;serif" w:hAnsi="Times New Roman;Times;serif"/>
                <w:b/>
                <w:sz w:val="20"/>
              </w:rPr>
              <w:t>Quarter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4</w:t>
            </w:r>
            <w:r>
              <w:rPr>
                <w:rFonts w:ascii="Times New Roman;Times;serif" w:hAnsi="Times New Roman;Times;serif"/>
                <w:b/>
                <w:position w:val="7"/>
                <w:sz w:val="16"/>
                <w:sz w:val="20"/>
              </w:rPr>
              <w:t xml:space="preserve">th </w:t>
            </w:r>
            <w:r>
              <w:rPr>
                <w:rFonts w:ascii="Times New Roman;Times;serif" w:hAnsi="Times New Roman;Times;serif"/>
                <w:b/>
                <w:sz w:val="20"/>
              </w:rPr>
              <w:t>Quarter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7"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3</w:t>
            </w:r>
            <w:r>
              <w:rPr>
                <w:rFonts w:ascii="Times New Roman;Times;serif" w:hAnsi="Times New Roman;Times;serif"/>
                <w:b/>
                <w:position w:val="7"/>
                <w:sz w:val="16"/>
                <w:sz w:val="20"/>
              </w:rPr>
              <w:t xml:space="preserve">rd </w:t>
            </w:r>
            <w:r>
              <w:rPr>
                <w:rFonts w:ascii="Times New Roman;Times;serif" w:hAnsi="Times New Roman;Times;serif"/>
                <w:b/>
                <w:sz w:val="20"/>
              </w:rPr>
              <w:t>Quarter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w:t>
            </w:r>
            <w:r>
              <w:rPr>
                <w:rFonts w:ascii="Times New Roman;Times;serif" w:hAnsi="Times New Roman;Times;serif"/>
                <w:b/>
                <w:position w:val="7"/>
                <w:sz w:val="16"/>
                <w:sz w:val="20"/>
              </w:rPr>
              <w:t xml:space="preserve">nd </w:t>
            </w:r>
            <w:r>
              <w:rPr>
                <w:rFonts w:ascii="Times New Roman;Times;serif" w:hAnsi="Times New Roman;Times;serif"/>
                <w:b/>
                <w:sz w:val="20"/>
              </w:rPr>
              <w:t>Quarter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1</w:t>
            </w:r>
            <w:r>
              <w:rPr>
                <w:rFonts w:ascii="Times New Roman;Times;serif" w:hAnsi="Times New Roman;Times;serif"/>
                <w:b/>
                <w:position w:val="7"/>
                <w:sz w:val="16"/>
                <w:sz w:val="20"/>
              </w:rPr>
              <w:t xml:space="preserve">st </w:t>
            </w:r>
            <w:r>
              <w:rPr>
                <w:rFonts w:ascii="Times New Roman;Times;serif" w:hAnsi="Times New Roman;Times;serif"/>
                <w:b/>
                <w:sz w:val="20"/>
              </w:rPr>
              <w:t>Quarter</w:t>
            </w:r>
          </w:p>
        </w:tc>
        <w:tc>
          <w:tcPr>
            <w:tcW w:w="83" w:type="dxa"/>
            <w:tcBorders/>
            <w:vAlign w:val="bottom"/>
          </w:tcPr>
          <w:p>
            <w:pPr>
              <w:pStyle w:val="TableContents"/>
              <w:bidi w:val="0"/>
              <w:spacing w:before="0" w:after="283"/>
              <w:jc w:val="left"/>
              <w:rPr/>
            </w:pPr>
            <w:r>
              <w:rPr/>
              <w:t> </w:t>
            </w:r>
          </w:p>
        </w:tc>
      </w:tr>
      <w:tr>
        <w:trPr/>
        <w:tc>
          <w:tcPr>
            <w:tcW w:w="1480" w:type="dxa"/>
            <w:tcBorders/>
            <w:shd w:fill="CCEEFF" w:val="cle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Argentina</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948.8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888.9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821.9</w:t>
            </w:r>
          </w:p>
        </w:tc>
        <w:tc>
          <w:tcPr>
            <w:tcW w:w="83" w:type="dxa"/>
            <w:tcBorders/>
            <w:shd w:fill="CCEEFF" w:val="clear"/>
            <w:vAlign w:val="bottom"/>
          </w:tcPr>
          <w:p>
            <w:pPr>
              <w:pStyle w:val="TableContents"/>
              <w:bidi w:val="0"/>
              <w:spacing w:before="0" w:after="283"/>
              <w:jc w:val="left"/>
              <w:rPr/>
            </w:pPr>
            <w:r>
              <w:rPr/>
              <w:t> </w:t>
            </w:r>
          </w:p>
        </w:tc>
      </w:tr>
      <w:tr>
        <w:trPr/>
        <w:tc>
          <w:tcPr>
            <w:tcW w:w="1480" w:type="dxa"/>
            <w:tcBorders/>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Australia</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w:t>
            </w:r>
          </w:p>
        </w:tc>
        <w:tc>
          <w:tcPr>
            <w:tcW w:w="83" w:type="dxa"/>
            <w:tcBorders/>
            <w:vAlign w:val="bottom"/>
          </w:tcPr>
          <w:p>
            <w:pPr>
              <w:pStyle w:val="TableContents"/>
              <w:bidi w:val="0"/>
              <w:spacing w:before="0" w:after="283"/>
              <w:jc w:val="left"/>
              <w:rPr/>
            </w:pPr>
            <w:r>
              <w:rPr/>
              <w:t> </w:t>
            </w:r>
          </w:p>
        </w:tc>
      </w:tr>
      <w:tr>
        <w:trPr/>
        <w:tc>
          <w:tcPr>
            <w:tcW w:w="1480" w:type="dxa"/>
            <w:tcBorders/>
            <w:shd w:fill="CCEEFF" w:val="cle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Canada</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w:t>
            </w:r>
          </w:p>
        </w:tc>
        <w:tc>
          <w:tcPr>
            <w:tcW w:w="83" w:type="dxa"/>
            <w:tcBorders/>
            <w:shd w:fill="CCEEFF" w:val="clear"/>
            <w:vAlign w:val="bottom"/>
          </w:tcPr>
          <w:p>
            <w:pPr>
              <w:pStyle w:val="TableContents"/>
              <w:bidi w:val="0"/>
              <w:spacing w:before="0" w:after="283"/>
              <w:jc w:val="left"/>
              <w:rPr/>
            </w:pPr>
            <w:r>
              <w:rPr/>
              <w:t> </w:t>
            </w:r>
          </w:p>
        </w:tc>
      </w:tr>
      <w:tr>
        <w:trPr/>
        <w:tc>
          <w:tcPr>
            <w:tcW w:w="1480" w:type="dxa"/>
            <w:tcBorders/>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Eurozone countries</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0.9</w:t>
            </w:r>
          </w:p>
        </w:tc>
        <w:tc>
          <w:tcPr>
            <w:tcW w:w="83" w:type="dxa"/>
            <w:tcBorders/>
            <w:vAlign w:val="bottom"/>
          </w:tcPr>
          <w:p>
            <w:pPr>
              <w:pStyle w:val="TableContents"/>
              <w:bidi w:val="0"/>
              <w:spacing w:before="0" w:after="283"/>
              <w:jc w:val="left"/>
              <w:rPr/>
            </w:pPr>
            <w:r>
              <w:rPr/>
              <w:t> </w:t>
            </w:r>
          </w:p>
        </w:tc>
      </w:tr>
      <w:tr>
        <w:trPr/>
        <w:tc>
          <w:tcPr>
            <w:tcW w:w="1480" w:type="dxa"/>
            <w:tcBorders/>
            <w:shd w:fill="CCEEFF" w:val="cle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Hong Kong</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7.8</w:t>
            </w:r>
          </w:p>
        </w:tc>
        <w:tc>
          <w:tcPr>
            <w:tcW w:w="83" w:type="dxa"/>
            <w:tcBorders/>
            <w:shd w:fill="CCEEFF" w:val="clear"/>
            <w:vAlign w:val="bottom"/>
          </w:tcPr>
          <w:p>
            <w:pPr>
              <w:pStyle w:val="TableContents"/>
              <w:bidi w:val="0"/>
              <w:spacing w:before="0" w:after="283"/>
              <w:jc w:val="left"/>
              <w:rPr/>
            </w:pPr>
            <w:r>
              <w:rPr/>
              <w:t> </w:t>
            </w:r>
          </w:p>
        </w:tc>
      </w:tr>
      <w:tr>
        <w:trPr/>
        <w:tc>
          <w:tcPr>
            <w:tcW w:w="1480" w:type="dxa"/>
            <w:tcBorders/>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Indonesia</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16,662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16,374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16,511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16,336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15,839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15,805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16,167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15,664</w:t>
            </w:r>
          </w:p>
        </w:tc>
        <w:tc>
          <w:tcPr>
            <w:tcW w:w="83" w:type="dxa"/>
            <w:tcBorders/>
            <w:vAlign w:val="bottom"/>
          </w:tcPr>
          <w:p>
            <w:pPr>
              <w:pStyle w:val="TableContents"/>
              <w:bidi w:val="0"/>
              <w:spacing w:before="0" w:after="283"/>
              <w:jc w:val="left"/>
              <w:rPr/>
            </w:pPr>
            <w:r>
              <w:rPr/>
              <w:t> </w:t>
            </w:r>
          </w:p>
        </w:tc>
      </w:tr>
      <w:tr>
        <w:trPr/>
        <w:tc>
          <w:tcPr>
            <w:tcW w:w="1480" w:type="dxa"/>
            <w:tcBorders/>
            <w:shd w:fill="CCEEFF" w:val="cle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Japan</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148.5</w:t>
            </w:r>
          </w:p>
        </w:tc>
        <w:tc>
          <w:tcPr>
            <w:tcW w:w="83" w:type="dxa"/>
            <w:tcBorders/>
            <w:shd w:fill="CCEEFF" w:val="clear"/>
            <w:vAlign w:val="bottom"/>
          </w:tcPr>
          <w:p>
            <w:pPr>
              <w:pStyle w:val="TableContents"/>
              <w:bidi w:val="0"/>
              <w:spacing w:before="0" w:after="283"/>
              <w:jc w:val="left"/>
              <w:rPr/>
            </w:pPr>
            <w:r>
              <w:rPr/>
              <w:t> </w:t>
            </w:r>
          </w:p>
        </w:tc>
      </w:tr>
      <w:tr>
        <w:trPr/>
        <w:tc>
          <w:tcPr>
            <w:tcW w:w="1480" w:type="dxa"/>
            <w:tcBorders/>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Mainland China</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7.2</w:t>
            </w:r>
          </w:p>
        </w:tc>
        <w:tc>
          <w:tcPr>
            <w:tcW w:w="83" w:type="dxa"/>
            <w:tcBorders/>
            <w:vAlign w:val="bottom"/>
          </w:tcPr>
          <w:p>
            <w:pPr>
              <w:pStyle w:val="TableContents"/>
              <w:bidi w:val="0"/>
              <w:spacing w:before="0" w:after="283"/>
              <w:jc w:val="left"/>
              <w:rPr/>
            </w:pPr>
            <w:r>
              <w:rPr/>
              <w:t> </w:t>
            </w:r>
          </w:p>
        </w:tc>
      </w:tr>
      <w:tr>
        <w:trPr/>
        <w:tc>
          <w:tcPr>
            <w:tcW w:w="1480" w:type="dxa"/>
            <w:tcBorders/>
            <w:shd w:fill="CCEEFF" w:val="cle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Malaysia</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4.7</w:t>
            </w:r>
          </w:p>
        </w:tc>
        <w:tc>
          <w:tcPr>
            <w:tcW w:w="83" w:type="dxa"/>
            <w:tcBorders/>
            <w:shd w:fill="CCEEFF" w:val="clear"/>
            <w:vAlign w:val="bottom"/>
          </w:tcPr>
          <w:p>
            <w:pPr>
              <w:pStyle w:val="TableContents"/>
              <w:bidi w:val="0"/>
              <w:spacing w:before="0" w:after="283"/>
              <w:jc w:val="left"/>
              <w:rPr/>
            </w:pPr>
            <w:r>
              <w:rPr/>
              <w:t> </w:t>
            </w:r>
          </w:p>
        </w:tc>
      </w:tr>
      <w:tr>
        <w:trPr/>
        <w:tc>
          <w:tcPr>
            <w:tcW w:w="1480" w:type="dxa"/>
            <w:tcBorders/>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Mexico</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17.0</w:t>
            </w:r>
          </w:p>
        </w:tc>
        <w:tc>
          <w:tcPr>
            <w:tcW w:w="83" w:type="dxa"/>
            <w:tcBorders/>
            <w:vAlign w:val="bottom"/>
          </w:tcPr>
          <w:p>
            <w:pPr>
              <w:pStyle w:val="TableContents"/>
              <w:bidi w:val="0"/>
              <w:spacing w:before="0" w:after="283"/>
              <w:jc w:val="left"/>
              <w:rPr/>
            </w:pPr>
            <w:r>
              <w:rPr/>
              <w:t> </w:t>
            </w:r>
          </w:p>
        </w:tc>
      </w:tr>
      <w:tr>
        <w:trPr/>
        <w:tc>
          <w:tcPr>
            <w:tcW w:w="1480" w:type="dxa"/>
            <w:tcBorders/>
            <w:shd w:fill="CCEEFF" w:val="cle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Singapore</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w:t>
            </w:r>
          </w:p>
        </w:tc>
        <w:tc>
          <w:tcPr>
            <w:tcW w:w="83" w:type="dxa"/>
            <w:tcBorders/>
            <w:shd w:fill="CCEEFF" w:val="clear"/>
            <w:vAlign w:val="bottom"/>
          </w:tcPr>
          <w:p>
            <w:pPr>
              <w:pStyle w:val="TableContents"/>
              <w:bidi w:val="0"/>
              <w:spacing w:before="0" w:after="283"/>
              <w:jc w:val="left"/>
              <w:rPr/>
            </w:pPr>
            <w:r>
              <w:rPr/>
              <w:t> </w:t>
            </w:r>
          </w:p>
        </w:tc>
      </w:tr>
      <w:tr>
        <w:trPr/>
        <w:tc>
          <w:tcPr>
            <w:tcW w:w="1480" w:type="dxa"/>
            <w:tcBorders/>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South Korea</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1,330</w:t>
            </w:r>
          </w:p>
        </w:tc>
        <w:tc>
          <w:tcPr>
            <w:tcW w:w="83" w:type="dxa"/>
            <w:tcBorders/>
            <w:vAlign w:val="bottom"/>
          </w:tcPr>
          <w:p>
            <w:pPr>
              <w:pStyle w:val="TableContents"/>
              <w:bidi w:val="0"/>
              <w:spacing w:before="0" w:after="283"/>
              <w:jc w:val="left"/>
              <w:rPr/>
            </w:pPr>
            <w:r>
              <w:rPr/>
              <w:t> </w:t>
            </w:r>
          </w:p>
        </w:tc>
      </w:tr>
      <w:tr>
        <w:trPr/>
        <w:tc>
          <w:tcPr>
            <w:tcW w:w="1480" w:type="dxa"/>
            <w:tcBorders/>
            <w:shd w:fill="CCEEFF" w:val="clear"/>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Taiwan</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31.5</w:t>
            </w:r>
          </w:p>
        </w:tc>
        <w:tc>
          <w:tcPr>
            <w:tcW w:w="83" w:type="dxa"/>
            <w:tcBorders/>
            <w:shd w:fill="CCEEFF" w:val="clear"/>
            <w:vAlign w:val="bottom"/>
          </w:tcPr>
          <w:p>
            <w:pPr>
              <w:pStyle w:val="TableContents"/>
              <w:bidi w:val="0"/>
              <w:spacing w:before="0" w:after="283"/>
              <w:jc w:val="left"/>
              <w:rPr/>
            </w:pPr>
            <w:r>
              <w:rPr/>
              <w:t> </w:t>
            </w:r>
          </w:p>
        </w:tc>
      </w:tr>
      <w:tr>
        <w:trPr/>
        <w:tc>
          <w:tcPr>
            <w:tcW w:w="1480" w:type="dxa"/>
            <w:tcBorders/>
            <w:vAlign w:val="bottom"/>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Vietnam</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26,339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26,278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25,963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25,416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25,282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25,046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25,363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24,568</w:t>
            </w:r>
          </w:p>
        </w:tc>
        <w:tc>
          <w:tcPr>
            <w:tcW w:w="83"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Interest Rate Risk</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are exposed to risks related to fluctuations in interest rates on our outstanding variable rate debt. As of December 31, 2025, we had $224.2 million outstanding on the term loan, net of unamortized debt issuance cost and outstanding borrowings on our revolving credit facility. Our four interest rate swaps ended in the third quarter of 2025. As a result, the total variable debt of $224.2 million was exposed to market risks as of December 31, 2025. A hypothetical one percentage point increase (decrease) in interest rates on our variable rate debt would increase (decrease) our annual interest expense by approximately $2.2 million.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variable rate debt, interest rate changes generally do not affect the fair value of the debt instrument, but do impact future earnings and cash flows, assuming other factors are held constant. We have not entered into and currently do not hold derivatives for trading or speculative purposes.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additional information about our market risk see Note 15 to the consolidated financial statements contained in this report.</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65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Normal"/>
        <w:bidi w:val="0"/>
        <w:spacing w:before="0" w:after="0"/>
        <w:jc w:val="left"/>
        <w:rPr>
          <w:sz w:val="4"/>
          <w:szCs w:val="4"/>
        </w:rPr>
      </w:pPr>
      <w:r>
        <w:rPr>
          <w:sz w:val="4"/>
          <w:szCs w:val="4"/>
        </w:rPr>
      </w:r>
      <w:bookmarkStart w:id="36" w:name="FINANCIALSTATEMENTSANDSUP"/>
      <w:bookmarkStart w:id="37" w:name="ITEM8."/>
      <w:bookmarkStart w:id="38" w:name="FINANCIALSTATEMENTSANDSUP"/>
      <w:bookmarkStart w:id="39" w:name="ITEM8."/>
      <w:bookmarkEnd w:id="38"/>
      <w:bookmarkEnd w:id="39"/>
    </w:p>
    <w:tbl>
      <w:tblPr>
        <w:tblW w:w="7735" w:type="dxa"/>
        <w:jc w:val="left"/>
        <w:tblInd w:w="0" w:type="dxa"/>
        <w:tblLayout w:type="fixed"/>
        <w:tblCellMar>
          <w:top w:w="0" w:type="dxa"/>
          <w:left w:w="0" w:type="dxa"/>
          <w:bottom w:w="0" w:type="dxa"/>
          <w:right w:w="0" w:type="dxa"/>
        </w:tblCellMar>
      </w:tblPr>
      <w:tblGrid>
        <w:gridCol w:w="920"/>
        <w:gridCol w:w="6815"/>
      </w:tblGrid>
      <w:tr>
        <w:trPr/>
        <w:tc>
          <w:tcPr>
            <w:tcW w:w="920" w:type="dxa"/>
            <w:tcBorders/>
            <w:vAlign w:val="center"/>
          </w:tcPr>
          <w:p>
            <w:pPr>
              <w:pStyle w:val="TableContents"/>
              <w:bidi w:val="0"/>
              <w:spacing w:before="0" w:after="283"/>
              <w:jc w:val="left"/>
              <w:rPr>
                <w:b/>
                <w:color w:val="000000"/>
              </w:rPr>
            </w:pPr>
            <w:r>
              <w:rPr>
                <w:b/>
                <w:color w:val="000000"/>
              </w:rPr>
              <w:t>ITEM 8.</w:t>
            </w:r>
          </w:p>
        </w:tc>
        <w:tc>
          <w:tcPr>
            <w:tcW w:w="6815" w:type="dxa"/>
            <w:tcBorders/>
            <w:vAlign w:val="center"/>
          </w:tcPr>
          <w:p>
            <w:pPr>
              <w:pStyle w:val="TableContents"/>
              <w:bidi w:val="0"/>
              <w:spacing w:before="0" w:after="0"/>
              <w:jc w:val="left"/>
              <w:rPr>
                <w:b/>
                <w:color w:val="000000"/>
                <w:u w:val="single"/>
              </w:rPr>
            </w:pPr>
            <w:r>
              <w:rPr>
                <w:b/>
                <w:color w:val="000000"/>
                <w:u w:val="single"/>
              </w:rPr>
              <w:t>FINANCIAL STATEMENTS AND SUPPLEMENTARY DATA</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9730" w:type="dxa"/>
        <w:jc w:val="left"/>
        <w:tblInd w:w="0" w:type="dxa"/>
        <w:tblLayout w:type="fixed"/>
        <w:tblCellMar>
          <w:top w:w="0" w:type="dxa"/>
          <w:left w:w="0" w:type="dxa"/>
          <w:bottom w:w="0" w:type="dxa"/>
          <w:right w:w="0" w:type="dxa"/>
        </w:tblCellMar>
      </w:tblPr>
      <w:tblGrid>
        <w:gridCol w:w="215"/>
        <w:gridCol w:w="9515"/>
      </w:tblGrid>
      <w:tr>
        <w:trPr/>
        <w:tc>
          <w:tcPr>
            <w:tcW w:w="215" w:type="dxa"/>
            <w:tcBorders/>
            <w:vAlign w:val="center"/>
          </w:tcPr>
          <w:p>
            <w:pPr>
              <w:pStyle w:val="TableContents"/>
              <w:bidi w:val="0"/>
              <w:spacing w:before="0" w:after="283"/>
              <w:jc w:val="left"/>
              <w:rPr>
                <w:color w:val="000000"/>
              </w:rPr>
            </w:pPr>
            <w:r>
              <w:rPr>
                <w:color w:val="000000"/>
              </w:rPr>
              <w:t>1.</w:t>
            </w:r>
          </w:p>
        </w:tc>
        <w:tc>
          <w:tcPr>
            <w:tcW w:w="9515" w:type="dxa"/>
            <w:tcBorders/>
            <w:vAlign w:val="center"/>
          </w:tcPr>
          <w:p>
            <w:pPr>
              <w:pStyle w:val="TableContents"/>
              <w:bidi w:val="0"/>
              <w:spacing w:before="0" w:after="0"/>
              <w:jc w:val="left"/>
              <w:rPr>
                <w:color w:val="000000"/>
              </w:rPr>
            </w:pPr>
            <w:r>
              <w:rPr>
                <w:color w:val="000000"/>
                <w:u w:val="single"/>
              </w:rPr>
              <w:t>Financial Statements</w:t>
            </w:r>
            <w:r>
              <w:rPr>
                <w:color w:val="000000"/>
              </w:rPr>
              <w:t>. Set forth below is the index to the Financial Statements included in this Item 8:</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9720"/>
        <w:gridCol w:w="485"/>
      </w:tblGrid>
      <w:tr>
        <w:trPr/>
        <w:tc>
          <w:tcPr>
            <w:tcW w:w="9720" w:type="dxa"/>
            <w:tcBorders/>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Page</w:t>
            </w:r>
          </w:p>
        </w:tc>
      </w:tr>
      <w:tr>
        <w:trPr/>
        <w:tc>
          <w:tcPr>
            <w:tcW w:w="9720" w:type="dxa"/>
            <w:tcBorders/>
            <w:shd w:fill="CCEEFF" w:val="clear"/>
            <w:vAlign w:val="center"/>
          </w:tcPr>
          <w:p>
            <w:pPr>
              <w:pStyle w:val="TableContents"/>
              <w:bidi w:val="0"/>
              <w:spacing w:before="0" w:after="0"/>
              <w:jc w:val="left"/>
              <w:rPr/>
            </w:pPr>
            <w:hyperlink w:anchor="ConsolidatedBalanceSheets">
              <w:r>
                <w:rPr>
                  <w:rStyle w:val="InternetLink"/>
                  <w:color w:val="000080"/>
                </w:rPr>
                <w:t xml:space="preserve">Consolidated Balance Sheets at December 31, </w:t>
              </w:r>
            </w:hyperlink>
            <w:hyperlink w:anchor="ConsolidatedBalanceSheets">
              <w:r>
                <w:rPr>
                  <w:rStyle w:val="InternetLink"/>
                  <w:color w:val="000080"/>
                </w:rPr>
                <w:t>2025 and 2024</w:t>
              </w:r>
            </w:hyperlink>
          </w:p>
        </w:tc>
        <w:tc>
          <w:tcPr>
            <w:tcW w:w="485" w:type="dxa"/>
            <w:tcBorders/>
            <w:shd w:fill="CCEEFF" w:val="clear"/>
            <w:vAlign w:val="center"/>
          </w:tcPr>
          <w:p>
            <w:pPr>
              <w:pStyle w:val="TableContents"/>
              <w:bidi w:val="0"/>
              <w:spacing w:before="0" w:after="283"/>
              <w:jc w:val="center"/>
              <w:rPr/>
            </w:pPr>
            <w:r>
              <w:rPr/>
              <w:t>67</w:t>
            </w:r>
          </w:p>
        </w:tc>
      </w:tr>
      <w:tr>
        <w:trPr/>
        <w:tc>
          <w:tcPr>
            <w:tcW w:w="9720" w:type="dxa"/>
            <w:tcBorders/>
            <w:vAlign w:val="center"/>
          </w:tcPr>
          <w:p>
            <w:pPr>
              <w:pStyle w:val="TableContents"/>
              <w:bidi w:val="0"/>
              <w:spacing w:before="0" w:after="0"/>
              <w:jc w:val="left"/>
              <w:rPr/>
            </w:pPr>
            <w:hyperlink w:anchor="ConsolidatedStatementsofI">
              <w:r>
                <w:rPr>
                  <w:rStyle w:val="InternetLink"/>
                  <w:color w:val="000000"/>
                </w:rPr>
                <w:t>Consolidated Statements of Income for the years ended December 31, 2025, 2024 and 2023</w:t>
              </w:r>
            </w:hyperlink>
          </w:p>
        </w:tc>
        <w:tc>
          <w:tcPr>
            <w:tcW w:w="485" w:type="dxa"/>
            <w:tcBorders/>
            <w:vAlign w:val="center"/>
          </w:tcPr>
          <w:p>
            <w:pPr>
              <w:pStyle w:val="TableContents"/>
              <w:bidi w:val="0"/>
              <w:spacing w:before="0" w:after="0"/>
              <w:jc w:val="center"/>
              <w:rPr>
                <w:color w:val="000000"/>
              </w:rPr>
            </w:pPr>
            <w:r>
              <w:rPr>
                <w:color w:val="000000"/>
              </w:rPr>
              <w:t>68</w:t>
            </w:r>
          </w:p>
        </w:tc>
      </w:tr>
      <w:tr>
        <w:trPr/>
        <w:tc>
          <w:tcPr>
            <w:tcW w:w="9720" w:type="dxa"/>
            <w:tcBorders/>
            <w:shd w:fill="CCEEFF" w:val="clear"/>
            <w:vAlign w:val="center"/>
          </w:tcPr>
          <w:p>
            <w:pPr>
              <w:pStyle w:val="TableContents"/>
              <w:bidi w:val="0"/>
              <w:spacing w:before="0" w:after="0"/>
              <w:jc w:val="left"/>
              <w:rPr/>
            </w:pPr>
            <w:hyperlink w:anchor="ConsolidatedStatementsofC">
              <w:r>
                <w:rPr>
                  <w:rStyle w:val="InternetLink"/>
                  <w:color w:val="000000"/>
                </w:rPr>
                <w:t>Consolidated Statements of Comprehensive Income for the years ended December 31, 2025, 2024 and 2023</w:t>
              </w:r>
            </w:hyperlink>
          </w:p>
        </w:tc>
        <w:tc>
          <w:tcPr>
            <w:tcW w:w="485" w:type="dxa"/>
            <w:tcBorders/>
            <w:shd w:fill="CCEEFF" w:val="clear"/>
            <w:vAlign w:val="center"/>
          </w:tcPr>
          <w:p>
            <w:pPr>
              <w:pStyle w:val="TableContents"/>
              <w:bidi w:val="0"/>
              <w:spacing w:before="0" w:after="283"/>
              <w:jc w:val="center"/>
              <w:rPr/>
            </w:pPr>
            <w:r>
              <w:rPr/>
              <w:t>69</w:t>
            </w:r>
          </w:p>
        </w:tc>
      </w:tr>
      <w:tr>
        <w:trPr/>
        <w:tc>
          <w:tcPr>
            <w:tcW w:w="9720" w:type="dxa"/>
            <w:tcBorders/>
            <w:vAlign w:val="center"/>
          </w:tcPr>
          <w:p>
            <w:pPr>
              <w:pStyle w:val="TableContents"/>
              <w:bidi w:val="0"/>
              <w:spacing w:before="0" w:after="0"/>
              <w:jc w:val="left"/>
              <w:rPr/>
            </w:pPr>
            <w:hyperlink w:anchor="ConsolidatedStatementsofS">
              <w:r>
                <w:rPr>
                  <w:rStyle w:val="InternetLink"/>
                  <w:color w:val="000080"/>
                </w:rPr>
                <w:t xml:space="preserve">Consolidated Statements of Stockholders’ Equity for the years ended December 31, </w:t>
              </w:r>
            </w:hyperlink>
            <w:hyperlink w:anchor="ConsolidatedStatementsofS">
              <w:r>
                <w:rPr>
                  <w:rStyle w:val="InternetLink"/>
                  <w:color w:val="000080"/>
                </w:rPr>
                <w:t>2025, 2024 and 2023</w:t>
              </w:r>
            </w:hyperlink>
          </w:p>
        </w:tc>
        <w:tc>
          <w:tcPr>
            <w:tcW w:w="485" w:type="dxa"/>
            <w:tcBorders/>
            <w:vAlign w:val="center"/>
          </w:tcPr>
          <w:p>
            <w:pPr>
              <w:pStyle w:val="TableContents"/>
              <w:bidi w:val="0"/>
              <w:spacing w:before="0" w:after="283"/>
              <w:jc w:val="center"/>
              <w:rPr/>
            </w:pPr>
            <w:r>
              <w:rPr/>
              <w:t>70</w:t>
            </w:r>
          </w:p>
        </w:tc>
      </w:tr>
      <w:tr>
        <w:trPr/>
        <w:tc>
          <w:tcPr>
            <w:tcW w:w="9720" w:type="dxa"/>
            <w:tcBorders/>
            <w:shd w:fill="CCEEFF" w:val="clear"/>
            <w:vAlign w:val="center"/>
          </w:tcPr>
          <w:p>
            <w:pPr>
              <w:pStyle w:val="TableContents"/>
              <w:bidi w:val="0"/>
              <w:spacing w:before="0" w:after="0"/>
              <w:jc w:val="left"/>
              <w:rPr/>
            </w:pPr>
            <w:hyperlink w:anchor="ConsolidatedStatementsofCash">
              <w:r>
                <w:rPr>
                  <w:rStyle w:val="InternetLink"/>
                  <w:color w:val="000080"/>
                </w:rPr>
                <w:t xml:space="preserve">Consolidated Statements of Cash Flows for the years ended December 31, </w:t>
              </w:r>
            </w:hyperlink>
            <w:hyperlink w:anchor="ConsolidatedStatementsofCash">
              <w:r>
                <w:rPr>
                  <w:rStyle w:val="InternetLink"/>
                  <w:color w:val="000080"/>
                </w:rPr>
                <w:t>2025, 2024 and 2023</w:t>
              </w:r>
            </w:hyperlink>
          </w:p>
        </w:tc>
        <w:tc>
          <w:tcPr>
            <w:tcW w:w="485" w:type="dxa"/>
            <w:tcBorders/>
            <w:shd w:fill="CCEEFF" w:val="clear"/>
            <w:vAlign w:val="center"/>
          </w:tcPr>
          <w:p>
            <w:pPr>
              <w:pStyle w:val="TableContents"/>
              <w:bidi w:val="0"/>
              <w:spacing w:before="0" w:after="0"/>
              <w:jc w:val="center"/>
              <w:rPr>
                <w:color w:val="000000"/>
              </w:rPr>
            </w:pPr>
            <w:r>
              <w:rPr>
                <w:color w:val="000000"/>
              </w:rPr>
              <w:t>71</w:t>
            </w:r>
          </w:p>
        </w:tc>
      </w:tr>
      <w:tr>
        <w:trPr/>
        <w:tc>
          <w:tcPr>
            <w:tcW w:w="9720" w:type="dxa"/>
            <w:tcBorders/>
            <w:vAlign w:val="center"/>
          </w:tcPr>
          <w:p>
            <w:pPr>
              <w:pStyle w:val="TableContents"/>
              <w:bidi w:val="0"/>
              <w:spacing w:before="0" w:after="0"/>
              <w:jc w:val="left"/>
              <w:rPr/>
            </w:pPr>
            <w:hyperlink w:anchor="NotestoConsolidatedFinanc">
              <w:r>
                <w:rPr>
                  <w:rStyle w:val="InternetLink"/>
                  <w:color w:val="000000"/>
                </w:rPr>
                <w:t>Notes to Consolidated Financial Statements</w:t>
              </w:r>
            </w:hyperlink>
          </w:p>
        </w:tc>
        <w:tc>
          <w:tcPr>
            <w:tcW w:w="485" w:type="dxa"/>
            <w:tcBorders/>
            <w:vAlign w:val="center"/>
          </w:tcPr>
          <w:p>
            <w:pPr>
              <w:pStyle w:val="TableContents"/>
              <w:bidi w:val="0"/>
              <w:spacing w:before="0" w:after="283"/>
              <w:jc w:val="center"/>
              <w:rPr/>
            </w:pPr>
            <w:r>
              <w:rPr/>
              <w:t>72</w:t>
            </w:r>
          </w:p>
        </w:tc>
      </w:tr>
      <w:tr>
        <w:trPr/>
        <w:tc>
          <w:tcPr>
            <w:tcW w:w="9720" w:type="dxa"/>
            <w:tcBorders/>
            <w:shd w:fill="CCEEFF" w:val="clear"/>
            <w:vAlign w:val="center"/>
          </w:tcPr>
          <w:p>
            <w:pPr>
              <w:pStyle w:val="TableContents"/>
              <w:bidi w:val="0"/>
              <w:spacing w:before="0" w:after="0"/>
              <w:jc w:val="left"/>
              <w:rPr/>
            </w:pPr>
            <w:hyperlink w:anchor="Report">
              <w:r>
                <w:rPr>
                  <w:rStyle w:val="InternetLink"/>
                  <w:color w:val="000080"/>
                </w:rPr>
                <w:t>Report of Independent Registered Public Accounting Firm</w:t>
              </w:r>
            </w:hyperlink>
            <w:r>
              <w:rPr>
                <w:color w:val="000000"/>
              </w:rPr>
              <w:t xml:space="preserve"> </w:t>
            </w:r>
            <w:r>
              <w:rPr>
                <w:rFonts w:ascii="Times New Roman" w:hAnsi="Times New Roman"/>
                <w:color w:val="000000"/>
                <w:sz w:val="20"/>
              </w:rPr>
              <w:t>(PricewaterhouseCoopers LLP, PCAOB ID 238</w:t>
            </w:r>
            <w:r>
              <w:rPr>
                <w:color w:val="000000"/>
              </w:rPr>
              <w:t>)</w:t>
            </w:r>
          </w:p>
        </w:tc>
        <w:tc>
          <w:tcPr>
            <w:tcW w:w="485" w:type="dxa"/>
            <w:tcBorders/>
            <w:shd w:fill="CCEEFF" w:val="clear"/>
            <w:vAlign w:val="center"/>
          </w:tcPr>
          <w:p>
            <w:pPr>
              <w:pStyle w:val="TableContents"/>
              <w:bidi w:val="0"/>
              <w:spacing w:before="0" w:after="283"/>
              <w:jc w:val="center"/>
              <w:rPr/>
            </w:pPr>
            <w:r>
              <w:rPr/>
              <w:t>101</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color w:val="000000"/>
              </w:rPr>
            </w:pPr>
            <w:r>
              <w:rPr>
                <w:color w:val="000000"/>
              </w:rPr>
              <w:t>2.</w:t>
            </w:r>
          </w:p>
        </w:tc>
        <w:tc>
          <w:tcPr>
            <w:tcW w:w="10023" w:type="dxa"/>
            <w:tcBorders/>
            <w:vAlign w:val="center"/>
          </w:tcPr>
          <w:p>
            <w:pPr>
              <w:pStyle w:val="TableContents"/>
              <w:bidi w:val="0"/>
              <w:spacing w:before="0" w:after="0"/>
              <w:jc w:val="both"/>
              <w:rPr>
                <w:color w:val="000000"/>
              </w:rPr>
            </w:pPr>
            <w:r>
              <w:rPr>
                <w:color w:val="000000"/>
                <w:u w:val="single"/>
              </w:rPr>
              <w:t>Financial Statement Schedules</w:t>
            </w:r>
            <w:r>
              <w:rPr>
                <w:color w:val="000000"/>
              </w:rPr>
              <w:t>: Financial statement schedules have been omitted because they are not required or are not applicable, or because the required information is shown in the financial statements or notes thereto.</w:t>
            </w:r>
          </w:p>
        </w:tc>
      </w:tr>
    </w:tbl>
    <w:p>
      <w:pPr>
        <w:pStyle w:val="TextBody"/>
        <w:bidi w:val="0"/>
        <w:spacing w:before="0" w:after="0"/>
        <w:jc w:val="left"/>
        <w:rPr>
          <w:color w:val="000000"/>
        </w:rPr>
      </w:pPr>
      <w:r>
        <w:rPr>
          <w:color w:val="00000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66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rFonts w:ascii="Times New Roman" w:hAnsi="Times New Roman"/>
          <w:b/>
          <w:color w:val="000000"/>
          <w:sz w:val="20"/>
          <w:shd w:fill="FFFFFF" w:val="clear"/>
        </w:rPr>
      </w:pPr>
      <w:bookmarkStart w:id="40" w:name="ConsolidatedBalanceSheets"/>
      <w:bookmarkEnd w:id="40"/>
      <w:r>
        <w:rPr>
          <w:rFonts w:ascii="Times New Roman" w:hAnsi="Times New Roman"/>
          <w:b/>
          <w:color w:val="000000"/>
          <w:sz w:val="20"/>
          <w:shd w:fill="FFFFFF" w:val="clear"/>
        </w:rPr>
        <w:t>Consolidated Balance Sheets</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(U.S. dollars 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850"/>
        <w:gridCol w:w="60"/>
        <w:gridCol w:w="125"/>
        <w:gridCol w:w="905"/>
        <w:gridCol w:w="80"/>
        <w:gridCol w:w="60"/>
        <w:gridCol w:w="125"/>
        <w:gridCol w:w="905"/>
        <w:gridCol w:w="95"/>
      </w:tblGrid>
      <w:tr>
        <w:trPr/>
        <w:tc>
          <w:tcPr>
            <w:tcW w:w="78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w:t>
            </w:r>
          </w:p>
        </w:tc>
        <w:tc>
          <w:tcPr>
            <w:tcW w:w="95" w:type="dxa"/>
            <w:tcBorders/>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95" w:type="dxa"/>
            <w:tcBorders/>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ASSETS</w:t>
            </w:r>
          </w:p>
        </w:tc>
        <w:tc>
          <w:tcPr>
            <w:tcW w:w="60"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60"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Cash and cash equivalents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238,630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186,883</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Current investments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1,211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11,111</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Accounts receivable, net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39,544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50,784</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Inventories, net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178,643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190,242</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Prepaid expenses and other</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89,670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72,643</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180" w:right="0" w:hanging="0"/>
              <w:jc w:val="left"/>
              <w:rPr/>
            </w:pPr>
            <w:r>
              <w:rPr/>
              <w:t>Current assets held for sale</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283"/>
              <w:jc w:val="right"/>
              <w:rPr/>
            </w:pPr>
            <w:r>
              <w:rPr/>
              <w:t>26,936</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Total current assets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547,698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538,599</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Property and equipment, net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377,168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379,595</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Operating lease right-of-use assets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74,021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72,605</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Goodwill</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83,625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83,625</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Other intangible assets, net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42,614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74,278</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Other assets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280,187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298,008</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180" w:right="0" w:hanging="180"/>
              <w:jc w:val="left"/>
              <w:rPr/>
            </w:pPr>
            <w:r>
              <w:rPr/>
              <w:t>Long-term assets held for sale</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283"/>
              <w:jc w:val="right"/>
              <w:rPr/>
            </w:pPr>
            <w:r>
              <w:rPr/>
              <w:t>22,204</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Total assets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1,405,313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1,468,914</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LIABILITIES AND STOCKHOLDERS’ EQUITY</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Current liabilities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Accounts payable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26,183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34,880</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Accrued expenses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217,551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217,808</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Current portion of long-term debt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20,000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30,000</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180" w:right="0" w:hanging="0"/>
              <w:jc w:val="left"/>
              <w:rPr/>
            </w:pPr>
            <w:r>
              <w:rPr/>
              <w:t>Current liabilities held for sale</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283"/>
              <w:jc w:val="right"/>
              <w:rPr/>
            </w:pPr>
            <w:r>
              <w:rPr/>
              <w:t>13,919</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Total current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263,734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296,607</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Operating lease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57,640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58,439</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Long-term debt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204,187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363,613</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Other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74,512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97,475</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283"/>
              <w:jc w:val="left"/>
              <w:rPr/>
            </w:pPr>
            <w:r>
              <w:rPr/>
              <w:t>Long-term liabilities held for sale</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283"/>
              <w:jc w:val="right"/>
              <w:rPr/>
            </w:pPr>
            <w:r>
              <w:rPr/>
              <w:t>1,325</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432" w:right="0" w:hanging="144"/>
              <w:jc w:val="left"/>
              <w:rPr/>
            </w:pPr>
            <w:r>
              <w:rPr/>
              <w:t> </w:t>
            </w:r>
            <w:r>
              <w:rPr>
                <w:rFonts w:ascii="Times New Roman" w:hAnsi="Times New Roman"/>
                <w:sz w:val="20"/>
              </w:rPr>
              <w:t>Total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600,073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817,459</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Commitments and contingencies (Notes 8 and 17)</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xml:space="preserve">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xml:space="preserve">  </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Stockholders’ equity</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Class A common stock – 500 million shares authorized, $0.001 par value, 90.6 million shares issued</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91</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Additional paid-in capital</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635,994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627,787</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Treasury stock, at cost – 42.4 million and 40.8 million shares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(1,575,059</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(1,563,614</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85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Accumulated other comprehensive loss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(116,105</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(124,758</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85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Retained earnings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1,860,319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1,711,949</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Total stockholders’ equity</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805,240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651,455</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Total liabilities and stockholders’ equity</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1,405,313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1,468,914</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67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rFonts w:ascii="Times New Roman" w:hAnsi="Times New Roman"/>
          <w:b/>
          <w:color w:val="000000"/>
          <w:sz w:val="20"/>
          <w:shd w:fill="FFFFFF" w:val="clear"/>
        </w:rPr>
      </w:pPr>
      <w:bookmarkStart w:id="41" w:name="ConsolidatedStatementsofI"/>
      <w:bookmarkEnd w:id="41"/>
      <w:r>
        <w:rPr>
          <w:rFonts w:ascii="Times New Roman" w:hAnsi="Times New Roman"/>
          <w:b/>
          <w:color w:val="000000"/>
          <w:sz w:val="20"/>
          <w:shd w:fill="FFFFFF" w:val="clear"/>
        </w:rPr>
        <w:t>Consolidated Statements of Income</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(U.S. dollars in thousands, except per share amounts)</w:t>
      </w:r>
    </w:p>
    <w:p>
      <w:pPr>
        <w:pStyle w:val="TextBody"/>
        <w:bidi w:val="0"/>
        <w:spacing w:before="0" w:after="0"/>
        <w:jc w:val="left"/>
        <w:rPr/>
      </w:pPr>
      <w:r>
        <w:rPr/>
      </w:r>
    </w:p>
    <w:tbl>
      <w:tblPr>
        <w:tblW w:w="7770" w:type="dxa"/>
        <w:jc w:val="left"/>
        <w:tblInd w:w="0" w:type="dxa"/>
        <w:tblLayout w:type="fixed"/>
        <w:tblCellMar>
          <w:top w:w="0" w:type="dxa"/>
          <w:left w:w="0" w:type="dxa"/>
          <w:bottom w:w="0" w:type="dxa"/>
          <w:right w:w="0" w:type="dxa"/>
        </w:tblCellMar>
      </w:tblPr>
      <w:tblGrid>
        <w:gridCol w:w="4445"/>
        <w:gridCol w:w="60"/>
        <w:gridCol w:w="125"/>
        <w:gridCol w:w="845"/>
        <w:gridCol w:w="80"/>
        <w:gridCol w:w="60"/>
        <w:gridCol w:w="125"/>
        <w:gridCol w:w="845"/>
        <w:gridCol w:w="80"/>
        <w:gridCol w:w="60"/>
        <w:gridCol w:w="125"/>
        <w:gridCol w:w="845"/>
        <w:gridCol w:w="75"/>
      </w:tblGrid>
      <w:tr>
        <w:trPr/>
        <w:tc>
          <w:tcPr>
            <w:tcW w:w="44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90"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Year Ended December 31,</w:t>
            </w:r>
          </w:p>
        </w:tc>
        <w:tc>
          <w:tcPr>
            <w:tcW w:w="75" w:type="dxa"/>
            <w:tcBorders/>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7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Revenue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1,485,159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1,732,084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1,969,131</w:t>
            </w:r>
          </w:p>
        </w:tc>
        <w:tc>
          <w:tcPr>
            <w:tcW w:w="7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Cost of sales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453,761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550,233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611,850</w:t>
            </w:r>
          </w:p>
        </w:tc>
        <w:tc>
          <w:tcPr>
            <w:tcW w:w="7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Gross profit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1,031,398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1,181,851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1,357,281</w:t>
            </w:r>
          </w:p>
        </w:tc>
        <w:tc>
          <w:tcPr>
            <w:tcW w:w="7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Operating expenses: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Selling expenses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508,380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652,039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742,365</w:t>
            </w:r>
          </w:p>
        </w:tc>
        <w:tc>
          <w:tcPr>
            <w:tcW w:w="7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General and administrative expenses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432,141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479,037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546,858</w:t>
            </w:r>
          </w:p>
        </w:tc>
        <w:tc>
          <w:tcPr>
            <w:tcW w:w="7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Restructuring and impairment expenses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25,114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202,360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19,790</w:t>
            </w:r>
          </w:p>
        </w:tc>
        <w:tc>
          <w:tcPr>
            <w:tcW w:w="7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Total operating expenses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965,635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1,333,436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1,309,013</w:t>
            </w:r>
          </w:p>
        </w:tc>
        <w:tc>
          <w:tcPr>
            <w:tcW w:w="7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Operating income (loss)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65,763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(151,585</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48,268</w:t>
            </w:r>
          </w:p>
        </w:tc>
        <w:tc>
          <w:tcPr>
            <w:tcW w:w="7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283"/>
              <w:jc w:val="left"/>
              <w:rPr/>
            </w:pPr>
            <w:r>
              <w:rPr/>
              <w:t>Interest expense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13,948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26,409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25,560</w:t>
            </w:r>
          </w:p>
        </w:tc>
        <w:tc>
          <w:tcPr>
            <w:tcW w:w="7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283"/>
              <w:jc w:val="left"/>
              <w:rPr/>
            </w:pPr>
            <w:r>
              <w:rPr/>
              <w:t>Gain on sale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176,162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w:t>
            </w:r>
          </w:p>
        </w:tc>
        <w:tc>
          <w:tcPr>
            <w:tcW w:w="7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Other income (expense), net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(31,780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2,943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3,870</w:t>
            </w:r>
          </w:p>
        </w:tc>
        <w:tc>
          <w:tcPr>
            <w:tcW w:w="7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Income (loss) before provision for income taxes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196,197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(175,051</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26,578</w:t>
            </w:r>
          </w:p>
        </w:tc>
        <w:tc>
          <w:tcPr>
            <w:tcW w:w="7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Provision (benefit) for income taxes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35,993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(28,457</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17,983</w:t>
            </w:r>
          </w:p>
        </w:tc>
        <w:tc>
          <w:tcPr>
            <w:tcW w:w="7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Net income (loss)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160,204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(146,594</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8,595</w:t>
            </w:r>
          </w:p>
        </w:tc>
        <w:tc>
          <w:tcPr>
            <w:tcW w:w="7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Net income (loss) per share: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Basic</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(2.95</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0.17</w:t>
            </w:r>
          </w:p>
        </w:tc>
        <w:tc>
          <w:tcPr>
            <w:tcW w:w="7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Diluted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3.18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(2.95</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0.17</w:t>
            </w:r>
          </w:p>
        </w:tc>
        <w:tc>
          <w:tcPr>
            <w:tcW w:w="7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Weighted-average common shares outstanding (000s):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Basic</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49,293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49,662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49,711</w:t>
            </w:r>
          </w:p>
        </w:tc>
        <w:tc>
          <w:tcPr>
            <w:tcW w:w="7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Diluted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50,301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49,662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49,860</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68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rFonts w:ascii="Times New Roman" w:hAnsi="Times New Roman"/>
          <w:b/>
          <w:color w:val="000000"/>
          <w:sz w:val="20"/>
          <w:shd w:fill="FFFFFF" w:val="clear"/>
        </w:rPr>
      </w:pPr>
      <w:bookmarkStart w:id="42" w:name="ConsolidatedStatementsofC"/>
      <w:bookmarkEnd w:id="42"/>
      <w:r>
        <w:rPr>
          <w:rFonts w:ascii="Times New Roman" w:hAnsi="Times New Roman"/>
          <w:b/>
          <w:color w:val="000000"/>
          <w:sz w:val="20"/>
          <w:shd w:fill="FFFFFF" w:val="clear"/>
        </w:rPr>
        <w:t>Consolidated Statements of Comprehensive Income</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(U.S. dollars 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295"/>
        <w:gridCol w:w="60"/>
        <w:gridCol w:w="125"/>
        <w:gridCol w:w="695"/>
        <w:gridCol w:w="80"/>
        <w:gridCol w:w="60"/>
        <w:gridCol w:w="125"/>
        <w:gridCol w:w="755"/>
        <w:gridCol w:w="80"/>
        <w:gridCol w:w="60"/>
        <w:gridCol w:w="125"/>
        <w:gridCol w:w="650"/>
        <w:gridCol w:w="95"/>
      </w:tblGrid>
      <w:tr>
        <w:trPr/>
        <w:tc>
          <w:tcPr>
            <w:tcW w:w="7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55"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Year Ended December 31,</w:t>
            </w:r>
          </w:p>
        </w:tc>
        <w:tc>
          <w:tcPr>
            <w:tcW w:w="95" w:type="dxa"/>
            <w:tcBorders/>
            <w:vAlign w:val="bottom"/>
          </w:tcPr>
          <w:p>
            <w:pPr>
              <w:pStyle w:val="TableContents"/>
              <w:bidi w:val="0"/>
              <w:spacing w:before="0" w:after="283"/>
              <w:jc w:val="left"/>
              <w:rPr/>
            </w:pPr>
            <w:r>
              <w:rPr/>
              <w:t> </w:t>
            </w:r>
          </w:p>
        </w:tc>
      </w:tr>
      <w:tr>
        <w:trPr/>
        <w:tc>
          <w:tcPr>
            <w:tcW w:w="72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95" w:type="dxa"/>
            <w:tcBorders/>
            <w:vAlign w:val="bottom"/>
          </w:tcPr>
          <w:p>
            <w:pPr>
              <w:pStyle w:val="TableContents"/>
              <w:bidi w:val="0"/>
              <w:spacing w:before="0" w:after="283"/>
              <w:jc w:val="left"/>
              <w:rPr/>
            </w:pPr>
            <w:r>
              <w:rPr/>
              <w:t> </w:t>
            </w:r>
          </w:p>
        </w:tc>
      </w:tr>
      <w:tr>
        <w:trPr/>
        <w:tc>
          <w:tcPr>
            <w:tcW w:w="729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Net income (loss)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160,204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(146,594</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8,595</w:t>
            </w:r>
          </w:p>
        </w:tc>
        <w:tc>
          <w:tcPr>
            <w:tcW w:w="95" w:type="dxa"/>
            <w:tcBorders/>
            <w:shd w:fill="CCEEFF" w:val="clear"/>
            <w:vAlign w:val="bottom"/>
          </w:tcPr>
          <w:p>
            <w:pPr>
              <w:pStyle w:val="TableContents"/>
              <w:bidi w:val="0"/>
              <w:spacing w:before="0" w:after="283"/>
              <w:jc w:val="left"/>
              <w:rPr/>
            </w:pPr>
            <w:r>
              <w:rPr/>
              <w:t> </w:t>
            </w:r>
          </w:p>
        </w:tc>
      </w:tr>
      <w:tr>
        <w:trPr/>
        <w:tc>
          <w:tcPr>
            <w:tcW w:w="729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Other comprehensive income (loss):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7295" w:type="dxa"/>
            <w:tcBorders/>
            <w:shd w:fill="CCEEFF" w:val="clear"/>
            <w:vAlign w:val="bottom"/>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Foreign currency translation adjustment, net of taxes of $(2), $406, and $(626), respectively</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12,343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(18,497</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(7,973</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295" w:type="dxa"/>
            <w:tcBorders/>
            <w:vAlign w:val="bottom"/>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Net unrealized gains/(losses) on cash flow hedges, net of taxes of $(51), $(497) and $(629), respectively</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2,281</w:t>
            </w:r>
          </w:p>
        </w:tc>
        <w:tc>
          <w:tcPr>
            <w:tcW w:w="95" w:type="dxa"/>
            <w:tcBorders/>
            <w:vAlign w:val="bottom"/>
          </w:tcPr>
          <w:p>
            <w:pPr>
              <w:pStyle w:val="TableContents"/>
              <w:bidi w:val="0"/>
              <w:spacing w:before="0" w:after="283"/>
              <w:jc w:val="left"/>
              <w:rPr/>
            </w:pPr>
            <w:r>
              <w:rPr/>
              <w:t> </w:t>
            </w:r>
          </w:p>
        </w:tc>
      </w:tr>
      <w:tr>
        <w:trPr/>
        <w:tc>
          <w:tcPr>
            <w:tcW w:w="7295" w:type="dxa"/>
            <w:tcBorders/>
            <w:shd w:fill="CCEEFF" w:val="clear"/>
            <w:vAlign w:val="bottom"/>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Less: Reclassification adjustment for realized losses/(gains) in current earnings on cash flow hedges, net of taxes of $1,069, $2,223, and $2,154, respectively</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(3,875</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(8,055</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(7,805</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2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8,653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(24,752</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(13,497</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29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Comprehensive income (loss)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168,857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(171,346</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(4,902</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69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rFonts w:ascii="Times New Roman" w:hAnsi="Times New Roman"/>
          <w:b/>
          <w:color w:val="000000"/>
          <w:sz w:val="20"/>
          <w:shd w:fill="FFFFFF" w:val="clear"/>
        </w:rPr>
      </w:pPr>
      <w:bookmarkStart w:id="43" w:name="ConsolidatedStatementsofS"/>
      <w:bookmarkEnd w:id="43"/>
      <w:r>
        <w:rPr>
          <w:rFonts w:ascii="Times New Roman" w:hAnsi="Times New Roman"/>
          <w:b/>
          <w:color w:val="000000"/>
          <w:sz w:val="20"/>
          <w:shd w:fill="FFFFFF" w:val="clear"/>
        </w:rPr>
        <w:t>Consolidated Statements of Stockholders’ Equity</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(U.S. dollars 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381"/>
        <w:gridCol w:w="60"/>
        <w:gridCol w:w="259"/>
        <w:gridCol w:w="541"/>
        <w:gridCol w:w="60"/>
        <w:gridCol w:w="60"/>
        <w:gridCol w:w="140"/>
        <w:gridCol w:w="780"/>
        <w:gridCol w:w="80"/>
        <w:gridCol w:w="60"/>
        <w:gridCol w:w="125"/>
        <w:gridCol w:w="905"/>
        <w:gridCol w:w="95"/>
        <w:gridCol w:w="60"/>
        <w:gridCol w:w="192"/>
        <w:gridCol w:w="1165"/>
        <w:gridCol w:w="80"/>
        <w:gridCol w:w="60"/>
        <w:gridCol w:w="125"/>
        <w:gridCol w:w="845"/>
        <w:gridCol w:w="80"/>
        <w:gridCol w:w="60"/>
        <w:gridCol w:w="125"/>
        <w:gridCol w:w="755"/>
        <w:gridCol w:w="112"/>
      </w:tblGrid>
      <w:tr>
        <w:trPr/>
        <w:tc>
          <w:tcPr>
            <w:tcW w:w="33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Class A</w:t>
            </w:r>
          </w:p>
          <w:p>
            <w:pPr>
              <w:pStyle w:val="TableContents"/>
              <w:bidi w:val="0"/>
              <w:spacing w:before="0" w:after="0"/>
              <w:jc w:val="center"/>
              <w:rPr>
                <w:rFonts w:ascii="Times New Roman" w:hAnsi="Times New Roman"/>
                <w:b/>
                <w:sz w:val="20"/>
              </w:rPr>
            </w:pPr>
            <w:r>
              <w:rPr>
                <w:rFonts w:ascii="Times New Roman" w:hAnsi="Times New Roman"/>
                <w:b/>
                <w:sz w:val="20"/>
              </w:rPr>
              <w:t>Common</w:t>
            </w:r>
          </w:p>
          <w:p>
            <w:pPr>
              <w:pStyle w:val="TableContents"/>
              <w:bidi w:val="0"/>
              <w:spacing w:before="0" w:after="0"/>
              <w:jc w:val="center"/>
              <w:rPr>
                <w:rFonts w:ascii="Times New Roman" w:hAnsi="Times New Roman"/>
                <w:b/>
                <w:sz w:val="20"/>
              </w:rPr>
            </w:pPr>
            <w:r>
              <w:rPr>
                <w:rFonts w:ascii="Times New Roman" w:hAnsi="Times New Roman"/>
                <w:b/>
                <w:sz w:val="20"/>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Additional</w:t>
            </w:r>
          </w:p>
          <w:p>
            <w:pPr>
              <w:pStyle w:val="TableContents"/>
              <w:bidi w:val="0"/>
              <w:spacing w:before="0" w:after="0"/>
              <w:jc w:val="center"/>
              <w:rPr>
                <w:rFonts w:ascii="Times New Roman" w:hAnsi="Times New Roman"/>
                <w:b/>
                <w:sz w:val="20"/>
              </w:rPr>
            </w:pPr>
            <w:r>
              <w:rPr>
                <w:rFonts w:ascii="Times New Roman" w:hAnsi="Times New Roman"/>
                <w:b/>
                <w:sz w:val="20"/>
              </w:rPr>
              <w:t>Paid-in</w:t>
            </w:r>
          </w:p>
          <w:p>
            <w:pPr>
              <w:pStyle w:val="TableContents"/>
              <w:bidi w:val="0"/>
              <w:spacing w:before="0" w:after="0"/>
              <w:jc w:val="center"/>
              <w:rPr>
                <w:rFonts w:ascii="Times New Roman" w:hAnsi="Times New Roman"/>
                <w:b/>
                <w:sz w:val="20"/>
              </w:rPr>
            </w:pPr>
            <w:r>
              <w:rPr>
                <w:rFonts w:ascii="Times New Roman" w:hAnsi="Times New Roman"/>
                <w:b/>
                <w:sz w:val="20"/>
              </w:rPr>
              <w:t>Capital</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Treasury</w:t>
            </w:r>
          </w:p>
          <w:p>
            <w:pPr>
              <w:pStyle w:val="TableContents"/>
              <w:bidi w:val="0"/>
              <w:spacing w:before="0" w:after="0"/>
              <w:jc w:val="center"/>
              <w:rPr>
                <w:rFonts w:ascii="Times New Roman" w:hAnsi="Times New Roman"/>
                <w:b/>
                <w:sz w:val="20"/>
              </w:rPr>
            </w:pPr>
            <w:r>
              <w:rPr>
                <w:rFonts w:ascii="Times New Roman" w:hAnsi="Times New Roman"/>
                <w:b/>
                <w:sz w:val="20"/>
              </w:rPr>
              <w:t>Stock, at</w:t>
            </w:r>
          </w:p>
          <w:p>
            <w:pPr>
              <w:pStyle w:val="TableContents"/>
              <w:bidi w:val="0"/>
              <w:spacing w:before="0" w:after="0"/>
              <w:jc w:val="center"/>
              <w:rPr>
                <w:rFonts w:ascii="Times New Roman" w:hAnsi="Times New Roman"/>
                <w:b/>
                <w:sz w:val="20"/>
              </w:rPr>
            </w:pPr>
            <w:r>
              <w:rPr>
                <w:rFonts w:ascii="Times New Roman" w:hAnsi="Times New Roman"/>
                <w:b/>
                <w:sz w:val="20"/>
              </w:rPr>
              <w:t>cost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Accumulated</w:t>
            </w:r>
          </w:p>
          <w:p>
            <w:pPr>
              <w:pStyle w:val="TableContents"/>
              <w:bidi w:val="0"/>
              <w:spacing w:before="0" w:after="0"/>
              <w:jc w:val="center"/>
              <w:rPr>
                <w:rFonts w:ascii="Times New Roman" w:hAnsi="Times New Roman"/>
                <w:b/>
                <w:sz w:val="20"/>
              </w:rPr>
            </w:pPr>
            <w:r>
              <w:rPr>
                <w:rFonts w:ascii="Times New Roman" w:hAnsi="Times New Roman"/>
                <w:b/>
                <w:sz w:val="20"/>
              </w:rPr>
              <w:t>Other</w:t>
            </w:r>
          </w:p>
          <w:p>
            <w:pPr>
              <w:pStyle w:val="TableContents"/>
              <w:bidi w:val="0"/>
              <w:spacing w:before="0" w:after="0"/>
              <w:jc w:val="center"/>
              <w:rPr>
                <w:rFonts w:ascii="Times New Roman" w:hAnsi="Times New Roman"/>
                <w:b/>
                <w:sz w:val="20"/>
              </w:rPr>
            </w:pPr>
            <w:r>
              <w:rPr>
                <w:rFonts w:ascii="Times New Roman" w:hAnsi="Times New Roman"/>
                <w:b/>
                <w:sz w:val="20"/>
              </w:rPr>
              <w:t xml:space="preserve">Comprehensive </w:t>
            </w:r>
          </w:p>
          <w:p>
            <w:pPr>
              <w:pStyle w:val="TableContents"/>
              <w:bidi w:val="0"/>
              <w:spacing w:before="0" w:after="0"/>
              <w:jc w:val="center"/>
              <w:rPr>
                <w:rFonts w:ascii="Times New Roman" w:hAnsi="Times New Roman"/>
                <w:b/>
                <w:sz w:val="20"/>
              </w:rPr>
            </w:pPr>
            <w:r>
              <w:rPr>
                <w:rFonts w:ascii="Times New Roman" w:hAnsi="Times New Roman"/>
                <w:b/>
                <w:sz w:val="20"/>
              </w:rPr>
              <w:t>Loss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Retained</w:t>
            </w:r>
          </w:p>
          <w:p>
            <w:pPr>
              <w:pStyle w:val="TableContents"/>
              <w:bidi w:val="0"/>
              <w:spacing w:before="0" w:after="0"/>
              <w:jc w:val="center"/>
              <w:rPr>
                <w:rFonts w:ascii="Times New Roman" w:hAnsi="Times New Roman"/>
                <w:b/>
                <w:sz w:val="20"/>
              </w:rPr>
            </w:pPr>
            <w:r>
              <w:rPr>
                <w:rFonts w:ascii="Times New Roman" w:hAnsi="Times New Roman"/>
                <w:b/>
                <w:sz w:val="20"/>
              </w:rPr>
              <w:t>Earnings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Total</w:t>
            </w:r>
          </w:p>
        </w:tc>
        <w:tc>
          <w:tcPr>
            <w:tcW w:w="112" w:type="dxa"/>
            <w:tcBorders/>
            <w:vAlign w:val="bottom"/>
          </w:tcPr>
          <w:p>
            <w:pPr>
              <w:pStyle w:val="TableContents"/>
              <w:bidi w:val="0"/>
              <w:spacing w:before="0" w:after="283"/>
              <w:jc w:val="left"/>
              <w:rPr/>
            </w:pPr>
            <w:r>
              <w:rPr/>
              <w:t> </w:t>
            </w:r>
          </w:p>
        </w:tc>
      </w:tr>
      <w:tr>
        <w:trPr/>
        <w:tc>
          <w:tcPr>
            <w:tcW w:w="338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Balance at January 1, 2023</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613,278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(1,569,061</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6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(86,509</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1,939,497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897,296</w:t>
            </w:r>
          </w:p>
        </w:tc>
        <w:tc>
          <w:tcPr>
            <w:tcW w:w="112" w:type="dxa"/>
            <w:tcBorders/>
            <w:shd w:fill="CCEEFF" w:val="clear"/>
            <w:vAlign w:val="bottom"/>
          </w:tcPr>
          <w:p>
            <w:pPr>
              <w:pStyle w:val="TableContents"/>
              <w:bidi w:val="0"/>
              <w:spacing w:before="0" w:after="283"/>
              <w:jc w:val="left"/>
              <w:rPr/>
            </w:pPr>
            <w:r>
              <w:rPr/>
              <w:t> </w:t>
            </w:r>
          </w:p>
        </w:tc>
      </w:tr>
      <w:tr>
        <w:trPr/>
        <w:tc>
          <w:tcPr>
            <w:tcW w:w="33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12" w:type="dxa"/>
            <w:tcBorders/>
            <w:vAlign w:val="bottom"/>
          </w:tcPr>
          <w:p>
            <w:pPr>
              <w:pStyle w:val="TableContents"/>
              <w:bidi w:val="0"/>
              <w:spacing w:before="0" w:after="283"/>
              <w:jc w:val="left"/>
              <w:rPr/>
            </w:pPr>
            <w:r>
              <w:rPr/>
              <w:t> </w:t>
            </w:r>
          </w:p>
        </w:tc>
      </w:tr>
      <w:tr>
        <w:trPr/>
        <w:tc>
          <w:tcPr>
            <w:tcW w:w="3381"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Net income</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8,595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8,595</w:t>
            </w:r>
          </w:p>
        </w:tc>
        <w:tc>
          <w:tcPr>
            <w:tcW w:w="112" w:type="dxa"/>
            <w:tcBorders/>
            <w:shd w:fill="CCEEFF" w:val="clear"/>
            <w:vAlign w:val="bottom"/>
          </w:tcPr>
          <w:p>
            <w:pPr>
              <w:pStyle w:val="TableContents"/>
              <w:bidi w:val="0"/>
              <w:spacing w:before="0" w:after="283"/>
              <w:jc w:val="left"/>
              <w:rPr/>
            </w:pPr>
            <w:r>
              <w:rPr/>
              <w:t> </w:t>
            </w:r>
          </w:p>
        </w:tc>
      </w:tr>
      <w:tr>
        <w:trPr/>
        <w:tc>
          <w:tcPr>
            <w:tcW w:w="3381"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Other comprehensive loss, net of tax</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(13,497</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(13,497</w:t>
            </w:r>
          </w:p>
        </w:tc>
        <w:tc>
          <w:tcPr>
            <w:tcW w:w="1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381"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Repurchase of Class A common stock (Note 9)</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(13,011</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(13,011</w:t>
            </w:r>
          </w:p>
        </w:tc>
        <w:tc>
          <w:tcPr>
            <w:tcW w:w="11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381" w:type="dxa"/>
            <w:tcBorders/>
            <w:vAlign w:val="bottom"/>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Exercise of employee stock options (0.5 million shares)/vesting of stock awards</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(7,071</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11,632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4,561</w:t>
            </w:r>
          </w:p>
        </w:tc>
        <w:tc>
          <w:tcPr>
            <w:tcW w:w="112" w:type="dxa"/>
            <w:tcBorders/>
            <w:vAlign w:val="bottom"/>
          </w:tcPr>
          <w:p>
            <w:pPr>
              <w:pStyle w:val="TableContents"/>
              <w:bidi w:val="0"/>
              <w:spacing w:before="0" w:after="283"/>
              <w:jc w:val="left"/>
              <w:rPr/>
            </w:pPr>
            <w:r>
              <w:rPr/>
              <w:t> </w:t>
            </w:r>
          </w:p>
        </w:tc>
      </w:tr>
      <w:tr>
        <w:trPr/>
        <w:tc>
          <w:tcPr>
            <w:tcW w:w="3381"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Stock-based compensation</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15,646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15,646</w:t>
            </w:r>
          </w:p>
        </w:tc>
        <w:tc>
          <w:tcPr>
            <w:tcW w:w="112" w:type="dxa"/>
            <w:tcBorders/>
            <w:shd w:fill="CCEEFF" w:val="clear"/>
            <w:vAlign w:val="bottom"/>
          </w:tcPr>
          <w:p>
            <w:pPr>
              <w:pStyle w:val="TableContents"/>
              <w:bidi w:val="0"/>
              <w:spacing w:before="0" w:after="283"/>
              <w:jc w:val="left"/>
              <w:rPr/>
            </w:pPr>
            <w:r>
              <w:rPr/>
              <w:t> </w:t>
            </w:r>
          </w:p>
        </w:tc>
      </w:tr>
      <w:tr>
        <w:trPr/>
        <w:tc>
          <w:tcPr>
            <w:tcW w:w="33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Cash dividends</w:t>
            </w:r>
          </w:p>
        </w:tc>
        <w:tc>
          <w:tcPr>
            <w:tcW w:w="60" w:type="dxa"/>
            <w:tcBorders/>
            <w:vAlign w:val="bottom"/>
          </w:tcPr>
          <w:p>
            <w:pPr>
              <w:pStyle w:val="TableContents"/>
              <w:bidi w:val="0"/>
              <w:spacing w:before="0" w:after="283"/>
              <w:jc w:val="right"/>
              <w:rPr/>
            </w:pPr>
            <w:r>
              <w:rPr/>
              <w:t> </w:t>
            </w:r>
          </w:p>
        </w:tc>
        <w:tc>
          <w:tcPr>
            <w:tcW w:w="259" w:type="dxa"/>
            <w:tcBorders>
              <w:bottom w:val="single" w:sz="12" w:space="0" w:color="000000"/>
            </w:tcBorders>
            <w:tcMar>
              <w:bottom w:w="28" w:type="dxa"/>
            </w:tcMar>
            <w:vAlign w:val="bottom"/>
          </w:tcPr>
          <w:p>
            <w:pPr>
              <w:pStyle w:val="TableContents"/>
              <w:bidi w:val="0"/>
              <w:spacing w:before="0" w:after="283"/>
              <w:jc w:val="left"/>
              <w:rPr/>
            </w:pPr>
            <w:r>
              <w:rPr/>
              <w:t> </w:t>
            </w:r>
          </w:p>
        </w:tc>
        <w:tc>
          <w:tcPr>
            <w:tcW w:w="541"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0"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1165"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(77,622</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(77,622</w:t>
            </w:r>
          </w:p>
        </w:tc>
        <w:tc>
          <w:tcPr>
            <w:tcW w:w="1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381" w:type="dxa"/>
            <w:tcBorders/>
            <w:shd w:fill="CCEEFF" w:val="clear"/>
            <w:vAlign w:val="bottom"/>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Balance at December 31, 2023</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621,853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(1,570,440</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6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(100,006</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1,870,470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821,968</w:t>
            </w:r>
          </w:p>
        </w:tc>
        <w:tc>
          <w:tcPr>
            <w:tcW w:w="112" w:type="dxa"/>
            <w:tcBorders/>
            <w:shd w:fill="CCEEFF" w:val="clear"/>
            <w:vAlign w:val="bottom"/>
          </w:tcPr>
          <w:p>
            <w:pPr>
              <w:pStyle w:val="TableContents"/>
              <w:bidi w:val="0"/>
              <w:spacing w:before="0" w:after="283"/>
              <w:jc w:val="left"/>
              <w:rPr/>
            </w:pPr>
            <w:r>
              <w:rPr/>
              <w:t> </w:t>
            </w:r>
          </w:p>
        </w:tc>
      </w:tr>
      <w:tr>
        <w:trPr/>
        <w:tc>
          <w:tcPr>
            <w:tcW w:w="33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12" w:type="dxa"/>
            <w:tcBorders/>
            <w:vAlign w:val="bottom"/>
          </w:tcPr>
          <w:p>
            <w:pPr>
              <w:pStyle w:val="TableContents"/>
              <w:bidi w:val="0"/>
              <w:spacing w:before="0" w:after="283"/>
              <w:jc w:val="left"/>
              <w:rPr/>
            </w:pPr>
            <w:r>
              <w:rPr/>
              <w:t> </w:t>
            </w:r>
          </w:p>
        </w:tc>
      </w:tr>
      <w:tr>
        <w:trPr/>
        <w:tc>
          <w:tcPr>
            <w:tcW w:w="3381"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Net income (loss)</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(146,594</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(146,594</w:t>
            </w:r>
          </w:p>
        </w:tc>
        <w:tc>
          <w:tcPr>
            <w:tcW w:w="11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381"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Other comprehensive loss, net of tax</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(24,752</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(24,752</w:t>
            </w:r>
          </w:p>
        </w:tc>
        <w:tc>
          <w:tcPr>
            <w:tcW w:w="1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381" w:type="dxa"/>
            <w:tcBorders/>
            <w:shd w:fill="CCEEFF" w:val="clear"/>
            <w:vAlign w:val="bottom"/>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Exercise of employee stock options (0.3 million shares)/vesting of stock awards</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(8,889</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6,826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(2,063</w:t>
            </w:r>
          </w:p>
        </w:tc>
        <w:tc>
          <w:tcPr>
            <w:tcW w:w="11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381"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Stock-based compensation</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14,823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14,823</w:t>
            </w:r>
          </w:p>
        </w:tc>
        <w:tc>
          <w:tcPr>
            <w:tcW w:w="112" w:type="dxa"/>
            <w:tcBorders/>
            <w:vAlign w:val="bottom"/>
          </w:tcPr>
          <w:p>
            <w:pPr>
              <w:pStyle w:val="TableContents"/>
              <w:bidi w:val="0"/>
              <w:spacing w:before="0" w:after="283"/>
              <w:jc w:val="left"/>
              <w:rPr/>
            </w:pPr>
            <w:r>
              <w:rPr/>
              <w:t> </w:t>
            </w:r>
          </w:p>
        </w:tc>
      </w:tr>
      <w:tr>
        <w:trPr/>
        <w:tc>
          <w:tcPr>
            <w:tcW w:w="3381"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Cash dividends</w:t>
            </w:r>
          </w:p>
        </w:tc>
        <w:tc>
          <w:tcPr>
            <w:tcW w:w="60" w:type="dxa"/>
            <w:tcBorders/>
            <w:shd w:fill="CCEEFF" w:val="clear"/>
            <w:vAlign w:val="bottom"/>
          </w:tcPr>
          <w:p>
            <w:pPr>
              <w:pStyle w:val="TableContents"/>
              <w:bidi w:val="0"/>
              <w:spacing w:before="0" w:after="283"/>
              <w:jc w:val="right"/>
              <w:rPr/>
            </w:pPr>
            <w:r>
              <w:rPr/>
              <w:t> </w:t>
            </w:r>
          </w:p>
        </w:tc>
        <w:tc>
          <w:tcPr>
            <w:tcW w:w="2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41"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65"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(11,927</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(11,927</w:t>
            </w:r>
          </w:p>
        </w:tc>
        <w:tc>
          <w:tcPr>
            <w:tcW w:w="11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381" w:type="dxa"/>
            <w:tcBorders/>
            <w:vAlign w:val="bottom"/>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Balance at December 31, 2024</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627,787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(1,563,614</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6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(124,758</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1,711,949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651,455</w:t>
            </w:r>
          </w:p>
        </w:tc>
        <w:tc>
          <w:tcPr>
            <w:tcW w:w="112" w:type="dxa"/>
            <w:tcBorders/>
            <w:vAlign w:val="bottom"/>
          </w:tcPr>
          <w:p>
            <w:pPr>
              <w:pStyle w:val="TableContents"/>
              <w:bidi w:val="0"/>
              <w:spacing w:before="0" w:after="283"/>
              <w:jc w:val="left"/>
              <w:rPr/>
            </w:pPr>
            <w:r>
              <w:rPr/>
              <w:t> </w:t>
            </w:r>
          </w:p>
        </w:tc>
      </w:tr>
      <w:tr>
        <w:trPr/>
        <w:tc>
          <w:tcPr>
            <w:tcW w:w="33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12" w:type="dxa"/>
            <w:tcBorders/>
            <w:shd w:fill="CCEEFF" w:val="clear"/>
            <w:vAlign w:val="bottom"/>
          </w:tcPr>
          <w:p>
            <w:pPr>
              <w:pStyle w:val="TableContents"/>
              <w:bidi w:val="0"/>
              <w:spacing w:before="0" w:after="283"/>
              <w:jc w:val="left"/>
              <w:rPr/>
            </w:pPr>
            <w:r>
              <w:rPr/>
              <w:t> </w:t>
            </w:r>
          </w:p>
        </w:tc>
      </w:tr>
      <w:tr>
        <w:trPr/>
        <w:tc>
          <w:tcPr>
            <w:tcW w:w="3381"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Net income</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160,204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160,204</w:t>
            </w:r>
          </w:p>
        </w:tc>
        <w:tc>
          <w:tcPr>
            <w:tcW w:w="112" w:type="dxa"/>
            <w:tcBorders/>
            <w:vAlign w:val="bottom"/>
          </w:tcPr>
          <w:p>
            <w:pPr>
              <w:pStyle w:val="TableContents"/>
              <w:bidi w:val="0"/>
              <w:spacing w:before="0" w:after="283"/>
              <w:jc w:val="left"/>
              <w:rPr/>
            </w:pPr>
            <w:r>
              <w:rPr/>
              <w:t> </w:t>
            </w:r>
          </w:p>
        </w:tc>
      </w:tr>
      <w:tr>
        <w:trPr/>
        <w:tc>
          <w:tcPr>
            <w:tcW w:w="3381"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Other comprehensive income, net of tax</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8,653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8,653</w:t>
            </w:r>
          </w:p>
        </w:tc>
        <w:tc>
          <w:tcPr>
            <w:tcW w:w="112" w:type="dxa"/>
            <w:tcBorders/>
            <w:shd w:fill="CCEEFF" w:val="clear"/>
            <w:vAlign w:val="bottom"/>
          </w:tcPr>
          <w:p>
            <w:pPr>
              <w:pStyle w:val="TableContents"/>
              <w:bidi w:val="0"/>
              <w:spacing w:before="0" w:after="283"/>
              <w:jc w:val="left"/>
              <w:rPr/>
            </w:pPr>
            <w:r>
              <w:rPr/>
              <w:t> </w:t>
            </w:r>
          </w:p>
        </w:tc>
      </w:tr>
      <w:tr>
        <w:trPr/>
        <w:tc>
          <w:tcPr>
            <w:tcW w:w="3381" w:type="dxa"/>
            <w:tcBorders/>
            <w:vAlign w:val="bottom"/>
          </w:tcPr>
          <w:p>
            <w:pPr>
              <w:pStyle w:val="TableContents"/>
              <w:bidi w:val="0"/>
              <w:spacing w:before="0" w:after="0"/>
              <w:ind w:left="180" w:right="0" w:hanging="180"/>
              <w:jc w:val="left"/>
              <w:rPr/>
            </w:pPr>
            <w:r>
              <w:rPr/>
              <w:t>Repurchase of Class A common stock (Note 9)</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(20,040</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(20,040</w:t>
            </w:r>
          </w:p>
        </w:tc>
        <w:tc>
          <w:tcPr>
            <w:tcW w:w="112" w:type="dxa"/>
            <w:tcBorders/>
            <w:vAlign w:val="bottom"/>
          </w:tcPr>
          <w:p>
            <w:pPr>
              <w:pStyle w:val="TableContents"/>
              <w:bidi w:val="0"/>
              <w:spacing w:before="0" w:after="283"/>
              <w:jc w:val="left"/>
              <w:rPr/>
            </w:pPr>
            <w:r>
              <w:rPr/>
              <w:t>)</w:t>
            </w:r>
          </w:p>
        </w:tc>
      </w:tr>
      <w:tr>
        <w:trPr/>
        <w:tc>
          <w:tcPr>
            <w:tcW w:w="3381" w:type="dxa"/>
            <w:tcBorders/>
            <w:shd w:fill="CCEEFF" w:val="clear"/>
            <w:vAlign w:val="bottom"/>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 xml:space="preserve">Exercise of employee stock options (0.4 million shares)/vesting of stock awards </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(10,507</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8,595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(1,912</w:t>
            </w:r>
          </w:p>
        </w:tc>
        <w:tc>
          <w:tcPr>
            <w:tcW w:w="11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381"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Stock-based compensation</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18,714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18,714</w:t>
            </w:r>
          </w:p>
        </w:tc>
        <w:tc>
          <w:tcPr>
            <w:tcW w:w="112" w:type="dxa"/>
            <w:tcBorders/>
            <w:vAlign w:val="bottom"/>
          </w:tcPr>
          <w:p>
            <w:pPr>
              <w:pStyle w:val="TableContents"/>
              <w:bidi w:val="0"/>
              <w:spacing w:before="0" w:after="283"/>
              <w:jc w:val="left"/>
              <w:rPr/>
            </w:pPr>
            <w:r>
              <w:rPr/>
              <w:t> </w:t>
            </w:r>
          </w:p>
        </w:tc>
      </w:tr>
      <w:tr>
        <w:trPr/>
        <w:tc>
          <w:tcPr>
            <w:tcW w:w="3381"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Cash dividends</w:t>
            </w:r>
          </w:p>
        </w:tc>
        <w:tc>
          <w:tcPr>
            <w:tcW w:w="60" w:type="dxa"/>
            <w:tcBorders/>
            <w:shd w:fill="CCEEFF" w:val="clear"/>
            <w:vAlign w:val="bottom"/>
          </w:tcPr>
          <w:p>
            <w:pPr>
              <w:pStyle w:val="TableContents"/>
              <w:bidi w:val="0"/>
              <w:spacing w:before="0" w:after="283"/>
              <w:jc w:val="right"/>
              <w:rPr/>
            </w:pPr>
            <w:r>
              <w:rPr/>
              <w:t> </w:t>
            </w:r>
          </w:p>
        </w:tc>
        <w:tc>
          <w:tcPr>
            <w:tcW w:w="2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41"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65"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(11,834</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(11,834</w:t>
            </w:r>
          </w:p>
        </w:tc>
        <w:tc>
          <w:tcPr>
            <w:tcW w:w="11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381" w:type="dxa"/>
            <w:tcBorders/>
            <w:vAlign w:val="bottom"/>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Balance at December 31, 2025</w:t>
            </w:r>
          </w:p>
        </w:tc>
        <w:tc>
          <w:tcPr>
            <w:tcW w:w="60" w:type="dxa"/>
            <w:tcBorders/>
            <w:vAlign w:val="bottom"/>
          </w:tcPr>
          <w:p>
            <w:pPr>
              <w:pStyle w:val="TableContents"/>
              <w:bidi w:val="0"/>
              <w:spacing w:before="0" w:after="283"/>
              <w:jc w:val="right"/>
              <w:rPr/>
            </w:pPr>
            <w:r>
              <w:rPr/>
              <w:t> </w:t>
            </w:r>
          </w:p>
        </w:tc>
        <w:tc>
          <w:tcPr>
            <w:tcW w:w="259"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1"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635,994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(1,575,059</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9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6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(116,105</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1,860,319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805,240</w:t>
            </w:r>
          </w:p>
        </w:tc>
        <w:tc>
          <w:tcPr>
            <w:tcW w:w="112"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70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rFonts w:ascii="Times New Roman" w:hAnsi="Times New Roman"/>
          <w:b/>
          <w:color w:val="000000"/>
          <w:sz w:val="20"/>
          <w:shd w:fill="FFFFFF" w:val="clear"/>
        </w:rPr>
      </w:pPr>
      <w:bookmarkStart w:id="44" w:name="ConsolidatedStatementsofCash"/>
      <w:bookmarkEnd w:id="44"/>
      <w:r>
        <w:rPr>
          <w:rFonts w:ascii="Times New Roman" w:hAnsi="Times New Roman"/>
          <w:b/>
          <w:color w:val="000000"/>
          <w:sz w:val="20"/>
          <w:shd w:fill="FFFFFF" w:val="clear"/>
        </w:rPr>
        <w:t>Consolidated Statements of Cash Flows</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(U.S. dollars 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980"/>
        <w:gridCol w:w="60"/>
        <w:gridCol w:w="125"/>
        <w:gridCol w:w="875"/>
        <w:gridCol w:w="95"/>
        <w:gridCol w:w="60"/>
        <w:gridCol w:w="125"/>
        <w:gridCol w:w="755"/>
        <w:gridCol w:w="95"/>
        <w:gridCol w:w="60"/>
        <w:gridCol w:w="125"/>
        <w:gridCol w:w="755"/>
        <w:gridCol w:w="95"/>
      </w:tblGrid>
      <w:tr>
        <w:trPr/>
        <w:tc>
          <w:tcPr>
            <w:tcW w:w="6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70"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Year Ended December 31,</w:t>
            </w:r>
          </w:p>
        </w:tc>
        <w:tc>
          <w:tcPr>
            <w:tcW w:w="95" w:type="dxa"/>
            <w:tcBorders/>
            <w:vAlign w:val="bottom"/>
          </w:tcPr>
          <w:p>
            <w:pPr>
              <w:pStyle w:val="TableContents"/>
              <w:bidi w:val="0"/>
              <w:spacing w:before="0" w:after="283"/>
              <w:jc w:val="left"/>
              <w:rPr/>
            </w:pPr>
            <w:r>
              <w:rPr/>
              <w:t> </w:t>
            </w:r>
          </w:p>
        </w:tc>
      </w:tr>
      <w:tr>
        <w:trPr/>
        <w:tc>
          <w:tcPr>
            <w:tcW w:w="6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95" w:type="dxa"/>
            <w:tcBorders/>
            <w:vAlign w:val="bottom"/>
          </w:tcPr>
          <w:p>
            <w:pPr>
              <w:pStyle w:val="TableContents"/>
              <w:bidi w:val="0"/>
              <w:spacing w:before="0" w:after="283"/>
              <w:jc w:val="left"/>
              <w:rPr/>
            </w:pPr>
            <w:r>
              <w:rPr/>
              <w:t> </w:t>
            </w:r>
          </w:p>
        </w:tc>
      </w:tr>
      <w:tr>
        <w:trPr/>
        <w:tc>
          <w:tcPr>
            <w:tcW w:w="698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Cash flows from operating activities:</w:t>
            </w:r>
          </w:p>
        </w:tc>
        <w:tc>
          <w:tcPr>
            <w:tcW w:w="6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698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Net income (loss)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160,204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(146,594</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8,595</w:t>
            </w:r>
          </w:p>
        </w:tc>
        <w:tc>
          <w:tcPr>
            <w:tcW w:w="95" w:type="dxa"/>
            <w:tcBorders/>
            <w:shd w:fill="CCEEFF" w:val="clear"/>
            <w:vAlign w:val="bottom"/>
          </w:tcPr>
          <w:p>
            <w:pPr>
              <w:pStyle w:val="TableContents"/>
              <w:bidi w:val="0"/>
              <w:spacing w:before="0" w:after="283"/>
              <w:jc w:val="left"/>
              <w:rPr/>
            </w:pPr>
            <w:r>
              <w:rPr/>
              <w:t> </w:t>
            </w:r>
          </w:p>
        </w:tc>
      </w:tr>
      <w:tr>
        <w:trPr/>
        <w:tc>
          <w:tcPr>
            <w:tcW w:w="698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Adjustments to reconcile net income to net cash provided by operating activities: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980" w:type="dxa"/>
            <w:tcBorders/>
            <w:shd w:fill="CCEEFF" w:val="clear"/>
            <w:vAlign w:val="bottom"/>
          </w:tcPr>
          <w:p>
            <w:pPr>
              <w:pStyle w:val="TableContents"/>
              <w:bidi w:val="0"/>
              <w:spacing w:before="0" w:after="0"/>
              <w:ind w:left="360" w:right="0" w:hanging="0"/>
              <w:jc w:val="left"/>
              <w:rPr/>
            </w:pPr>
            <w:r>
              <w:rPr/>
              <w:t>Gain on sale of business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(176,162</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6980" w:type="dxa"/>
            <w:tcBorders/>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Depreciation and amortization</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52,261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69,810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70,923</w:t>
            </w:r>
          </w:p>
        </w:tc>
        <w:tc>
          <w:tcPr>
            <w:tcW w:w="95" w:type="dxa"/>
            <w:tcBorders/>
            <w:vAlign w:val="bottom"/>
          </w:tcPr>
          <w:p>
            <w:pPr>
              <w:pStyle w:val="TableContents"/>
              <w:bidi w:val="0"/>
              <w:spacing w:before="0" w:after="283"/>
              <w:jc w:val="left"/>
              <w:rPr/>
            </w:pPr>
            <w:r>
              <w:rPr/>
              <w:t> </w:t>
            </w:r>
          </w:p>
        </w:tc>
      </w:tr>
      <w:tr>
        <w:trPr/>
        <w:tc>
          <w:tcPr>
            <w:tcW w:w="6980" w:type="dxa"/>
            <w:tcBorders/>
            <w:shd w:fill="CCEEFF" w:val="clear"/>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Non-cash lease expense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26,227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26,600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33,321</w:t>
            </w:r>
          </w:p>
        </w:tc>
        <w:tc>
          <w:tcPr>
            <w:tcW w:w="95" w:type="dxa"/>
            <w:tcBorders/>
            <w:shd w:fill="CCEEFF" w:val="clear"/>
            <w:vAlign w:val="bottom"/>
          </w:tcPr>
          <w:p>
            <w:pPr>
              <w:pStyle w:val="TableContents"/>
              <w:bidi w:val="0"/>
              <w:spacing w:before="0" w:after="283"/>
              <w:jc w:val="left"/>
              <w:rPr/>
            </w:pPr>
            <w:r>
              <w:rPr/>
              <w:t> </w:t>
            </w:r>
          </w:p>
        </w:tc>
      </w:tr>
      <w:tr>
        <w:trPr/>
        <w:tc>
          <w:tcPr>
            <w:tcW w:w="6980" w:type="dxa"/>
            <w:tcBorders/>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Stock-based compensation</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24,105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14,823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15,646</w:t>
            </w:r>
          </w:p>
        </w:tc>
        <w:tc>
          <w:tcPr>
            <w:tcW w:w="95" w:type="dxa"/>
            <w:tcBorders/>
            <w:vAlign w:val="bottom"/>
          </w:tcPr>
          <w:p>
            <w:pPr>
              <w:pStyle w:val="TableContents"/>
              <w:bidi w:val="0"/>
              <w:spacing w:before="0" w:after="283"/>
              <w:jc w:val="left"/>
              <w:rPr/>
            </w:pPr>
            <w:r>
              <w:rPr/>
              <w:t> </w:t>
            </w:r>
          </w:p>
        </w:tc>
      </w:tr>
      <w:tr>
        <w:trPr/>
        <w:tc>
          <w:tcPr>
            <w:tcW w:w="6980" w:type="dxa"/>
            <w:tcBorders/>
            <w:shd w:fill="CCEEFF" w:val="clear"/>
            <w:vAlign w:val="bottom"/>
          </w:tcPr>
          <w:p>
            <w:pPr>
              <w:pStyle w:val="TableContents"/>
              <w:bidi w:val="0"/>
              <w:spacing w:before="0" w:after="0"/>
              <w:ind w:left="540" w:right="0" w:hanging="180"/>
              <w:jc w:val="left"/>
              <w:rPr/>
            </w:pPr>
            <w:r>
              <w:rPr/>
              <w:t>Inventory write-down</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3,807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48,221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88,108</w:t>
            </w:r>
          </w:p>
        </w:tc>
        <w:tc>
          <w:tcPr>
            <w:tcW w:w="95" w:type="dxa"/>
            <w:tcBorders/>
            <w:shd w:fill="CCEEFF" w:val="clear"/>
            <w:vAlign w:val="bottom"/>
          </w:tcPr>
          <w:p>
            <w:pPr>
              <w:pStyle w:val="TableContents"/>
              <w:bidi w:val="0"/>
              <w:spacing w:before="0" w:after="283"/>
              <w:jc w:val="left"/>
              <w:rPr/>
            </w:pPr>
            <w:r>
              <w:rPr/>
              <w:t> </w:t>
            </w:r>
          </w:p>
        </w:tc>
      </w:tr>
      <w:tr>
        <w:trPr/>
        <w:tc>
          <w:tcPr>
            <w:tcW w:w="6980" w:type="dxa"/>
            <w:tcBorders/>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Foreign currency losses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6,092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1,709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1,039</w:t>
            </w:r>
          </w:p>
        </w:tc>
        <w:tc>
          <w:tcPr>
            <w:tcW w:w="95" w:type="dxa"/>
            <w:tcBorders/>
            <w:vAlign w:val="bottom"/>
          </w:tcPr>
          <w:p>
            <w:pPr>
              <w:pStyle w:val="TableContents"/>
              <w:bidi w:val="0"/>
              <w:spacing w:before="0" w:after="283"/>
              <w:jc w:val="left"/>
              <w:rPr/>
            </w:pPr>
            <w:r>
              <w:rPr/>
              <w:t> </w:t>
            </w:r>
          </w:p>
        </w:tc>
      </w:tr>
      <w:tr>
        <w:trPr/>
        <w:tc>
          <w:tcPr>
            <w:tcW w:w="6980" w:type="dxa"/>
            <w:tcBorders/>
            <w:shd w:fill="CCEEFF" w:val="clear"/>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(Gain) loss on disposal of assets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160</w:t>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(84</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780</w:t>
            </w:r>
          </w:p>
        </w:tc>
        <w:tc>
          <w:tcPr>
            <w:tcW w:w="95" w:type="dxa"/>
            <w:tcBorders/>
            <w:shd w:fill="CCEEFF" w:val="clear"/>
            <w:vAlign w:val="bottom"/>
          </w:tcPr>
          <w:p>
            <w:pPr>
              <w:pStyle w:val="TableContents"/>
              <w:bidi w:val="0"/>
              <w:spacing w:before="0" w:after="283"/>
              <w:jc w:val="left"/>
              <w:rPr/>
            </w:pPr>
            <w:r>
              <w:rPr/>
              <w:t> </w:t>
            </w:r>
          </w:p>
        </w:tc>
      </w:tr>
      <w:tr>
        <w:trPr/>
        <w:tc>
          <w:tcPr>
            <w:tcW w:w="6980" w:type="dxa"/>
            <w:tcBorders/>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Impairment of fixed assets, goodwill and other intangibles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25,114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181,069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r>
      <w:tr>
        <w:trPr/>
        <w:tc>
          <w:tcPr>
            <w:tcW w:w="6980" w:type="dxa"/>
            <w:tcBorders/>
            <w:shd w:fill="CCEEFF" w:val="clear"/>
            <w:vAlign w:val="bottom"/>
          </w:tcPr>
          <w:p>
            <w:pPr>
              <w:pStyle w:val="TableContents"/>
              <w:bidi w:val="0"/>
              <w:spacing w:before="0" w:after="0"/>
              <w:ind w:left="360" w:right="0" w:hanging="0"/>
              <w:jc w:val="left"/>
              <w:rPr/>
            </w:pPr>
            <w:r>
              <w:rPr/>
              <w:t>Unrealized losses on equity investments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28,077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6980" w:type="dxa"/>
            <w:tcBorders/>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Deferred taxes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(55,477</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(18,090</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980" w:type="dxa"/>
            <w:tcBorders/>
            <w:shd w:fill="CCEEFF" w:val="clear"/>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Changes in operating assets and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980" w:type="dxa"/>
            <w:tcBorders/>
            <w:vAlign w:val="bottom"/>
          </w:tcPr>
          <w:p>
            <w:pPr>
              <w:pStyle w:val="TableContents"/>
              <w:bidi w:val="0"/>
              <w:spacing w:before="0" w:after="0"/>
              <w:ind w:left="720" w:right="0" w:hanging="180"/>
              <w:jc w:val="left"/>
              <w:rPr>
                <w:rFonts w:ascii="Times New Roman" w:hAnsi="Times New Roman"/>
                <w:sz w:val="20"/>
              </w:rPr>
            </w:pPr>
            <w:r>
              <w:rPr>
                <w:rFonts w:ascii="Times New Roman" w:hAnsi="Times New Roman"/>
                <w:sz w:val="20"/>
              </w:rPr>
              <w:t>Accounts receivable, net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10,055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(7,763</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(22,679</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980" w:type="dxa"/>
            <w:tcBorders/>
            <w:shd w:fill="CCEEFF" w:val="clear"/>
            <w:vAlign w:val="bottom"/>
          </w:tcPr>
          <w:p>
            <w:pPr>
              <w:pStyle w:val="TableContents"/>
              <w:bidi w:val="0"/>
              <w:spacing w:before="0" w:after="0"/>
              <w:ind w:left="720" w:right="0" w:hanging="180"/>
              <w:jc w:val="left"/>
              <w:rPr>
                <w:rFonts w:ascii="Times New Roman" w:hAnsi="Times New Roman"/>
                <w:sz w:val="20"/>
              </w:rPr>
            </w:pPr>
            <w:r>
              <w:rPr>
                <w:rFonts w:ascii="Times New Roman" w:hAnsi="Times New Roman"/>
                <w:sz w:val="20"/>
              </w:rPr>
              <w:t>Inventories, net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11,887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30,318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(13,222</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980" w:type="dxa"/>
            <w:tcBorders/>
            <w:vAlign w:val="bottom"/>
          </w:tcPr>
          <w:p>
            <w:pPr>
              <w:pStyle w:val="TableContents"/>
              <w:bidi w:val="0"/>
              <w:spacing w:before="0" w:after="0"/>
              <w:ind w:left="720" w:right="0" w:hanging="180"/>
              <w:jc w:val="left"/>
              <w:rPr>
                <w:rFonts w:ascii="Times New Roman" w:hAnsi="Times New Roman"/>
                <w:sz w:val="20"/>
              </w:rPr>
            </w:pPr>
            <w:r>
              <w:rPr>
                <w:rFonts w:ascii="Times New Roman" w:hAnsi="Times New Roman"/>
                <w:sz w:val="20"/>
              </w:rPr>
              <w:t>Prepaid expenses and other</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(20,415</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579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6,359</w:t>
            </w:r>
          </w:p>
        </w:tc>
        <w:tc>
          <w:tcPr>
            <w:tcW w:w="95" w:type="dxa"/>
            <w:tcBorders/>
            <w:vAlign w:val="bottom"/>
          </w:tcPr>
          <w:p>
            <w:pPr>
              <w:pStyle w:val="TableContents"/>
              <w:bidi w:val="0"/>
              <w:spacing w:before="0" w:after="283"/>
              <w:jc w:val="left"/>
              <w:rPr/>
            </w:pPr>
            <w:r>
              <w:rPr/>
              <w:t> </w:t>
            </w:r>
          </w:p>
        </w:tc>
      </w:tr>
      <w:tr>
        <w:trPr/>
        <w:tc>
          <w:tcPr>
            <w:tcW w:w="6980" w:type="dxa"/>
            <w:tcBorders/>
            <w:shd w:fill="CCEEFF" w:val="clear"/>
            <w:vAlign w:val="bottom"/>
          </w:tcPr>
          <w:p>
            <w:pPr>
              <w:pStyle w:val="TableContents"/>
              <w:bidi w:val="0"/>
              <w:spacing w:before="0" w:after="0"/>
              <w:ind w:left="720" w:right="0" w:hanging="180"/>
              <w:jc w:val="left"/>
              <w:rPr>
                <w:rFonts w:ascii="Times New Roman" w:hAnsi="Times New Roman"/>
                <w:sz w:val="20"/>
              </w:rPr>
            </w:pPr>
            <w:r>
              <w:rPr>
                <w:rFonts w:ascii="Times New Roman" w:hAnsi="Times New Roman"/>
                <w:sz w:val="20"/>
              </w:rPr>
              <w:t>Other assets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(8,577</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(1,054</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45</w:t>
            </w:r>
          </w:p>
        </w:tc>
        <w:tc>
          <w:tcPr>
            <w:tcW w:w="95" w:type="dxa"/>
            <w:tcBorders/>
            <w:shd w:fill="CCEEFF" w:val="clear"/>
            <w:vAlign w:val="bottom"/>
          </w:tcPr>
          <w:p>
            <w:pPr>
              <w:pStyle w:val="TableContents"/>
              <w:bidi w:val="0"/>
              <w:spacing w:before="0" w:after="283"/>
              <w:jc w:val="left"/>
              <w:rPr/>
            </w:pPr>
            <w:r>
              <w:rPr/>
              <w:t> </w:t>
            </w:r>
          </w:p>
        </w:tc>
      </w:tr>
      <w:tr>
        <w:trPr/>
        <w:tc>
          <w:tcPr>
            <w:tcW w:w="6980" w:type="dxa"/>
            <w:tcBorders/>
            <w:vAlign w:val="bottom"/>
          </w:tcPr>
          <w:p>
            <w:pPr>
              <w:pStyle w:val="TableContents"/>
              <w:bidi w:val="0"/>
              <w:spacing w:before="0" w:after="0"/>
              <w:ind w:left="720" w:right="0" w:hanging="180"/>
              <w:jc w:val="left"/>
              <w:rPr>
                <w:rFonts w:ascii="Times New Roman" w:hAnsi="Times New Roman"/>
                <w:sz w:val="20"/>
              </w:rPr>
            </w:pPr>
            <w:r>
              <w:rPr>
                <w:rFonts w:ascii="Times New Roman" w:hAnsi="Times New Roman"/>
                <w:sz w:val="20"/>
              </w:rPr>
              <w:t>Accounts payable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(9,112</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(7,294</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(10,083</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980" w:type="dxa"/>
            <w:tcBorders/>
            <w:shd w:fill="CCEEFF" w:val="clear"/>
            <w:vAlign w:val="bottom"/>
          </w:tcPr>
          <w:p>
            <w:pPr>
              <w:pStyle w:val="TableContents"/>
              <w:bidi w:val="0"/>
              <w:spacing w:before="0" w:after="0"/>
              <w:ind w:left="720" w:right="0" w:hanging="180"/>
              <w:jc w:val="left"/>
              <w:rPr>
                <w:rFonts w:ascii="Times New Roman" w:hAnsi="Times New Roman"/>
                <w:sz w:val="20"/>
              </w:rPr>
            </w:pPr>
            <w:r>
              <w:rPr>
                <w:rFonts w:ascii="Times New Roman" w:hAnsi="Times New Roman"/>
                <w:sz w:val="20"/>
              </w:rPr>
              <w:t>Accrued expenses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(54,315</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(27,582</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(37,701</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980" w:type="dxa"/>
            <w:tcBorders/>
            <w:vAlign w:val="bottom"/>
          </w:tcPr>
          <w:p>
            <w:pPr>
              <w:pStyle w:val="TableContents"/>
              <w:bidi w:val="0"/>
              <w:spacing w:before="0" w:after="0"/>
              <w:ind w:left="720" w:right="0" w:hanging="180"/>
              <w:jc w:val="left"/>
              <w:rPr>
                <w:rFonts w:ascii="Times New Roman" w:hAnsi="Times New Roman"/>
                <w:sz w:val="20"/>
              </w:rPr>
            </w:pPr>
            <w:r>
              <w:rPr>
                <w:rFonts w:ascii="Times New Roman" w:hAnsi="Times New Roman"/>
                <w:sz w:val="20"/>
              </w:rPr>
              <w:t>Other liabilities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858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(15,539</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(4,402</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98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Net cash provided by operating activities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80,286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111,742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118,639</w:t>
            </w:r>
          </w:p>
        </w:tc>
        <w:tc>
          <w:tcPr>
            <w:tcW w:w="95" w:type="dxa"/>
            <w:tcBorders/>
            <w:shd w:fill="CCEEFF" w:val="clear"/>
            <w:vAlign w:val="bottom"/>
          </w:tcPr>
          <w:p>
            <w:pPr>
              <w:pStyle w:val="TableContents"/>
              <w:bidi w:val="0"/>
              <w:spacing w:before="0" w:after="283"/>
              <w:jc w:val="left"/>
              <w:rPr/>
            </w:pPr>
            <w:r>
              <w:rPr/>
              <w:t> </w:t>
            </w:r>
          </w:p>
        </w:tc>
      </w:tr>
      <w:tr>
        <w:trPr/>
        <w:tc>
          <w:tcPr>
            <w:tcW w:w="6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98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Cash flows from investing activities: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980" w:type="dxa"/>
            <w:tcBorders/>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Purchases of property and equipment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(34,277</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(41,583</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(58,490</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980" w:type="dxa"/>
            <w:tcBorders/>
            <w:shd w:fill="CCEEFF" w:val="clear"/>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Proceeds on investment sales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10,214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18,378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18,147</w:t>
            </w:r>
          </w:p>
        </w:tc>
        <w:tc>
          <w:tcPr>
            <w:tcW w:w="95" w:type="dxa"/>
            <w:tcBorders/>
            <w:shd w:fill="CCEEFF" w:val="clear"/>
            <w:vAlign w:val="bottom"/>
          </w:tcPr>
          <w:p>
            <w:pPr>
              <w:pStyle w:val="TableContents"/>
              <w:bidi w:val="0"/>
              <w:spacing w:before="0" w:after="283"/>
              <w:jc w:val="left"/>
              <w:rPr/>
            </w:pPr>
            <w:r>
              <w:rPr/>
              <w:t> </w:t>
            </w:r>
          </w:p>
        </w:tc>
      </w:tr>
      <w:tr>
        <w:trPr/>
        <w:tc>
          <w:tcPr>
            <w:tcW w:w="6980" w:type="dxa"/>
            <w:tcBorders/>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Purchases of investments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(14,757</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(16,883</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980" w:type="dxa"/>
            <w:tcBorders/>
            <w:shd w:fill="CCEEFF" w:val="clear"/>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Acquisitions (net of cash acquired)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(77,275</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980" w:type="dxa"/>
            <w:tcBorders/>
            <w:vAlign w:val="bottom"/>
          </w:tcPr>
          <w:p>
            <w:pPr>
              <w:pStyle w:val="TableContents"/>
              <w:bidi w:val="0"/>
              <w:spacing w:before="0" w:after="0"/>
              <w:ind w:left="360" w:right="0" w:hanging="0"/>
              <w:jc w:val="left"/>
              <w:rPr/>
            </w:pPr>
            <w:r>
              <w:rPr/>
              <w:t>Proceeds from sale of business, net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193,725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r>
      <w:tr>
        <w:trPr/>
        <w:tc>
          <w:tcPr>
            <w:tcW w:w="6980" w:type="dxa"/>
            <w:tcBorders/>
            <w:shd w:fill="CCEEFF" w:val="clear"/>
            <w:vAlign w:val="bottom"/>
          </w:tcPr>
          <w:p>
            <w:pPr>
              <w:pStyle w:val="TableContents"/>
              <w:bidi w:val="0"/>
              <w:spacing w:before="0" w:after="0"/>
              <w:ind w:left="360" w:right="0" w:hanging="0"/>
              <w:jc w:val="left"/>
              <w:rPr/>
            </w:pPr>
            <w:r>
              <w:rPr/>
              <w:t>Other, net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283"/>
              <w:jc w:val="right"/>
              <w:rPr/>
            </w:pPr>
            <w:r>
              <w:rPr/>
              <w:t>1,000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698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Net cash provided by (used in) investing activities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170,662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(37,962</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(134,501</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9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98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Cash flows from financing activities: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980" w:type="dxa"/>
            <w:tcBorders/>
            <w:shd w:fill="CCEEFF" w:val="clear"/>
            <w:vAlign w:val="bottom"/>
          </w:tcPr>
          <w:p>
            <w:pPr>
              <w:pStyle w:val="TableContents"/>
              <w:bidi w:val="0"/>
              <w:spacing w:before="0" w:after="0"/>
              <w:ind w:left="540" w:right="0" w:hanging="180"/>
              <w:jc w:val="left"/>
              <w:rPr/>
            </w:pPr>
            <w:r>
              <w:rPr/>
              <w:t>Exercise of employee stock options and taxes paid related to the net shares settlement of stock awards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(1,912</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(2,063</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4,561</w:t>
            </w:r>
          </w:p>
        </w:tc>
        <w:tc>
          <w:tcPr>
            <w:tcW w:w="95" w:type="dxa"/>
            <w:tcBorders/>
            <w:shd w:fill="CCEEFF" w:val="clear"/>
            <w:vAlign w:val="bottom"/>
          </w:tcPr>
          <w:p>
            <w:pPr>
              <w:pStyle w:val="TableContents"/>
              <w:bidi w:val="0"/>
              <w:spacing w:before="0" w:after="283"/>
              <w:jc w:val="left"/>
              <w:rPr/>
            </w:pPr>
            <w:r>
              <w:rPr/>
              <w:t> </w:t>
            </w:r>
          </w:p>
        </w:tc>
      </w:tr>
      <w:tr>
        <w:trPr/>
        <w:tc>
          <w:tcPr>
            <w:tcW w:w="6980" w:type="dxa"/>
            <w:tcBorders/>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Payment of cash dividends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(11,834</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(11,927</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(77,622</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980" w:type="dxa"/>
            <w:tcBorders/>
            <w:shd w:fill="CCEEFF" w:val="clear"/>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Repurchase of shares of common stock</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(20,040</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(13,011</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980" w:type="dxa"/>
            <w:tcBorders/>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Finance lease principal payments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(2,238</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(2,886</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(3,198</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980" w:type="dxa"/>
            <w:tcBorders/>
            <w:shd w:fill="CCEEFF" w:val="clear"/>
            <w:vAlign w:val="bottom"/>
          </w:tcPr>
          <w:p>
            <w:pPr>
              <w:pStyle w:val="TableContents"/>
              <w:bidi w:val="0"/>
              <w:spacing w:before="0" w:after="0"/>
              <w:ind w:left="360" w:right="0" w:hanging="0"/>
              <w:jc w:val="left"/>
              <w:rPr/>
            </w:pPr>
            <w:r>
              <w:rPr/>
              <w:t>Contingent consideration payments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(6,300</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6980" w:type="dxa"/>
            <w:tcBorders/>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Payments on debt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(225,000</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(125,000</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(10,000</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980" w:type="dxa"/>
            <w:tcBorders/>
            <w:shd w:fill="CCEEFF" w:val="clear"/>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Proceeds from debt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55,000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15,000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110,000</w:t>
            </w:r>
          </w:p>
        </w:tc>
        <w:tc>
          <w:tcPr>
            <w:tcW w:w="95" w:type="dxa"/>
            <w:tcBorders/>
            <w:shd w:fill="CCEEFF" w:val="clear"/>
            <w:vAlign w:val="bottom"/>
          </w:tcPr>
          <w:p>
            <w:pPr>
              <w:pStyle w:val="TableContents"/>
              <w:bidi w:val="0"/>
              <w:spacing w:before="0" w:after="283"/>
              <w:jc w:val="left"/>
              <w:rPr/>
            </w:pPr>
            <w:r>
              <w:rPr/>
              <w:t> </w:t>
            </w:r>
          </w:p>
        </w:tc>
      </w:tr>
      <w:tr>
        <w:trPr/>
        <w:tc>
          <w:tcPr>
            <w:tcW w:w="6980" w:type="dxa"/>
            <w:tcBorders/>
            <w:vAlign w:val="bottom"/>
          </w:tcPr>
          <w:p>
            <w:pPr>
              <w:pStyle w:val="TableContents"/>
              <w:bidi w:val="0"/>
              <w:spacing w:before="0" w:after="0"/>
              <w:ind w:left="360" w:right="0" w:hanging="0"/>
              <w:jc w:val="left"/>
              <w:rPr/>
            </w:pPr>
            <w:r>
              <w:rPr/>
              <w:t>Other, net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283"/>
              <w:jc w:val="right"/>
              <w:rPr/>
            </w:pPr>
            <w:r>
              <w:rPr/>
              <w:t>3,620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r>
      <w:tr>
        <w:trPr/>
        <w:tc>
          <w:tcPr>
            <w:tcW w:w="6980" w:type="dxa"/>
            <w:tcBorders/>
            <w:shd w:fill="CCEEFF" w:val="clear"/>
            <w:vAlign w:val="bottom"/>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Net cash (used in) provided by financing activities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(202,404</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(133,176</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10,730</w:t>
            </w:r>
          </w:p>
        </w:tc>
        <w:tc>
          <w:tcPr>
            <w:tcW w:w="95" w:type="dxa"/>
            <w:tcBorders/>
            <w:shd w:fill="CCEEFF" w:val="clear"/>
            <w:vAlign w:val="bottom"/>
          </w:tcPr>
          <w:p>
            <w:pPr>
              <w:pStyle w:val="TableContents"/>
              <w:bidi w:val="0"/>
              <w:spacing w:before="0" w:after="283"/>
              <w:jc w:val="left"/>
              <w:rPr/>
            </w:pPr>
            <w:r>
              <w:rPr/>
              <w:t> </w:t>
            </w:r>
          </w:p>
        </w:tc>
      </w:tr>
      <w:tr>
        <w:trPr/>
        <w:tc>
          <w:tcPr>
            <w:tcW w:w="6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98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Effect of exchange rate changes on cash</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3,203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(9,778</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(3,536</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98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Net increase (decrease) in cash and cash equivalents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51,747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(69,174</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(8,668</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98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Cash and cash equivalents, beginning of period</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186,883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256,057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264,725</w:t>
            </w:r>
          </w:p>
        </w:tc>
        <w:tc>
          <w:tcPr>
            <w:tcW w:w="95" w:type="dxa"/>
            <w:tcBorders/>
            <w:shd w:fill="CCEEFF" w:val="clear"/>
            <w:vAlign w:val="bottom"/>
          </w:tcPr>
          <w:p>
            <w:pPr>
              <w:pStyle w:val="TableContents"/>
              <w:bidi w:val="0"/>
              <w:spacing w:before="0" w:after="283"/>
              <w:jc w:val="left"/>
              <w:rPr/>
            </w:pPr>
            <w:r>
              <w:rPr/>
              <w:t> </w:t>
            </w:r>
          </w:p>
        </w:tc>
      </w:tr>
      <w:tr>
        <w:trPr/>
        <w:tc>
          <w:tcPr>
            <w:tcW w:w="6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98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Cash and cash equivalents, end of period</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238,630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186,883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256,057</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71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ind w:left="720" w:right="0" w:hanging="720"/>
        <w:jc w:val="left"/>
        <w:rPr>
          <w:rFonts w:ascii="Times New Roman" w:hAnsi="Times New Roman"/>
          <w:color w:val="000000"/>
          <w:sz w:val="20"/>
          <w:shd w:fill="FFFFFF" w:val="clear"/>
        </w:rPr>
      </w:pPr>
      <w:bookmarkStart w:id="45" w:name="NotestoConsolidatedFinanc"/>
      <w:bookmarkEnd w:id="45"/>
      <w:r>
        <w:rPr>
          <w:rFonts w:ascii="Times New Roman" w:hAnsi="Times New Roman"/>
          <w:color w:val="000000"/>
          <w:sz w:val="20"/>
          <w:shd w:fill="FFFFFF" w:val="clear"/>
        </w:rPr>
        <w:t>Notes to Consolidated Financial Statements</w:t>
      </w:r>
    </w:p>
    <w:p>
      <w:pPr>
        <w:pStyle w:val="TextBody"/>
        <w:bidi w:val="0"/>
        <w:spacing w:before="0" w:after="0"/>
        <w:jc w:val="left"/>
        <w:rPr/>
      </w:pPr>
      <w:r>
        <w:rPr/>
      </w:r>
    </w:p>
    <w:tbl>
      <w:tblPr>
        <w:tblW w:w="1420" w:type="dxa"/>
        <w:jc w:val="left"/>
        <w:tblInd w:w="0" w:type="dxa"/>
        <w:tblLayout w:type="fixed"/>
        <w:tblCellMar>
          <w:top w:w="0" w:type="dxa"/>
          <w:left w:w="0" w:type="dxa"/>
          <w:bottom w:w="0" w:type="dxa"/>
          <w:right w:w="0" w:type="dxa"/>
        </w:tblCellMar>
      </w:tblPr>
      <w:tblGrid>
        <w:gridCol w:w="185"/>
        <w:gridCol w:w="1235"/>
      </w:tblGrid>
      <w:tr>
        <w:trPr/>
        <w:tc>
          <w:tcPr>
            <w:tcW w:w="18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1.</w:t>
            </w:r>
          </w:p>
        </w:tc>
        <w:tc>
          <w:tcPr>
            <w:tcW w:w="123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The Company</w:t>
            </w:r>
          </w:p>
        </w:tc>
      </w:tr>
    </w:tbl>
    <w:p>
      <w:pPr>
        <w:pStyle w:val="TextBody"/>
        <w:bidi w:val="0"/>
        <w:spacing w:before="0" w:after="0"/>
        <w:jc w:val="left"/>
        <w:rPr/>
      </w:pPr>
      <w:r>
        <w:rPr/>
      </w:r>
    </w:p>
    <w:p>
      <w:pPr>
        <w:pStyle w:val="TextBody"/>
        <w:widowControl/>
        <w:bidi w:val="0"/>
        <w:spacing w:before="0" w:after="0"/>
        <w:ind w:left="0" w:right="0" w:hanging="0"/>
        <w:jc w:val="both"/>
        <w:rPr>
          <w:rFonts w:ascii="Times New Roman" w:hAnsi="Times New Roman"/>
          <w:color w:val="000000"/>
          <w:sz w:val="20"/>
          <w:shd w:fill="FFFFFF" w:val="clear"/>
        </w:rPr>
      </w:pPr>
      <w:r>
        <w:rPr>
          <w:rFonts w:ascii="Times New Roman" w:hAnsi="Times New Roman"/>
          <w:color w:val="000000"/>
          <w:sz w:val="20"/>
          <w:shd w:fill="FFFFFF" w:val="clear"/>
        </w:rPr>
        <w:t>Nu Skin Enterprises, Inc.</w:t>
      </w:r>
      <w:r>
        <w:rPr>
          <w:rFonts w:ascii="Times New Roman" w:hAnsi="Times New Roman"/>
          <w:caps w:val="false"/>
          <w:smallCaps w:val="false"/>
          <w:color w:val="000000"/>
          <w:sz w:val="20"/>
          <w:shd w:fill="FFFFFF" w:val="clear"/>
        </w:rPr>
        <w:t xml:space="preserve"> </w:t>
      </w:r>
      <w:r>
        <w:rPr>
          <w:rFonts w:ascii="Times New Roman" w:hAnsi="Times New Roman"/>
          <w:b w:val="false"/>
          <w:i w:val="false"/>
          <w:caps w:val="false"/>
          <w:smallCaps w:val="false"/>
          <w:color w:val="000000"/>
          <w:sz w:val="20"/>
          <w:shd w:fill="FFFFFF" w:val="clear"/>
        </w:rPr>
        <w:t>(the “Company”) is a holding company, with Nu Skin being the primary operating unit. Nu Skin develops and distributes premium-quality, innovative beauty and wellness products that are sold worldwide. The Company reports revenue from nine segments, consisting of its seven geographic Nu Skin segments—Americas, which includes Canada, Latin America and the United States; Southeast Asia/Pacific, which includes Indonesia, Malaysia, the Philippines, Singapore, Thailand, Vietnam, Australia, New Zealand, and other markets; Mainland China; Japan; Europe and Africa, which includes markets in Europe as well as South Africa; South Korea; and Hong Kong/Taiwan, which also includes Macau—and two Rhyz segments—Manufacturing, which includes manufacturing and packaging subsidiaries it has acquired; and Rhyz Other, which includes other investments by its Rhyz strategic investment arm (the Company’s subsidiaries operating within each segment are collectively referred to as t</w:t>
      </w:r>
      <w:r>
        <w:rPr>
          <w:rFonts w:ascii="Times New Roman" w:hAnsi="Times New Roman"/>
          <w:b w:val="false"/>
          <w:i w:val="false"/>
          <w:caps w:val="false"/>
          <w:smallCaps w:val="false"/>
          <w:color w:val="000000"/>
          <w:spacing w:val="0"/>
          <w:sz w:val="20"/>
          <w:shd w:fill="FFFFFF" w:val="clear"/>
        </w:rPr>
        <w:t>he “Subsidiaries”).</w:t>
      </w:r>
      <w:r>
        <w:rPr>
          <w:rFonts w:ascii="Times New Roman" w:hAnsi="Times New Roman"/>
          <w:caps w:val="false"/>
          <w:smallCaps w:val="false"/>
          <w:color w:val="000000"/>
          <w:spacing w:val="0"/>
          <w:sz w:val="20"/>
          <w:shd w:fill="FFFFFF" w:val="clear"/>
        </w:rPr>
        <w:t> </w:t>
      </w:r>
      <w:r>
        <w:rPr>
          <w:rFonts w:ascii="Times New Roman" w:hAnsi="Times New Roman"/>
          <w:b w:val="false"/>
          <w:i w:val="false"/>
          <w:caps w:val="false"/>
          <w:smallCaps w:val="false"/>
          <w:color w:val="000000"/>
          <w:spacing w:val="0"/>
          <w:sz w:val="20"/>
          <w:shd w:fill="FFFFFF" w:val="clear"/>
        </w:rPr>
        <w:t>During the fourth quarter of 2025, the Company began pre-market activities in India, setting the operational foundation and infrastructure ahead of a full market opening anticipated in the back half of 2026. This market’s </w:t>
      </w:r>
      <w:r>
        <w:rPr>
          <w:rFonts w:ascii="Times New Roman" w:hAnsi="Times New Roman"/>
          <w:b w:val="false"/>
          <w:i w:val="false"/>
          <w:caps w:val="false"/>
          <w:smallCaps w:val="false"/>
          <w:color w:val="000000"/>
          <w:spacing w:val="0"/>
          <w:sz w:val="20"/>
          <w:shd w:fill="FFFFFF" w:val="clear"/>
        </w:rPr>
        <w:t>financial results, which are included in the Southeast Asia/Pacific segment in this report, were insignificant for 2025.</w:t>
      </w:r>
    </w:p>
    <w:p>
      <w:pPr>
        <w:pStyle w:val="TextBody"/>
        <w:bidi w:val="0"/>
        <w:spacing w:before="0" w:after="0"/>
        <w:jc w:val="both"/>
        <w:rPr>
          <w:rFonts w:ascii="Times New Roman" w:hAnsi="Times New Roman"/>
          <w:sz w:val="20"/>
        </w:rPr>
      </w:pPr>
      <w:r>
        <w:rPr>
          <w:rFonts w:ascii="Times New Roman" w:hAnsi="Times New Roman"/>
          <w:sz w:val="20"/>
        </w:rPr>
      </w:r>
    </w:p>
    <w:tbl>
      <w:tblPr>
        <w:tblW w:w="3940" w:type="dxa"/>
        <w:jc w:val="left"/>
        <w:tblInd w:w="0" w:type="dxa"/>
        <w:tblLayout w:type="fixed"/>
        <w:tblCellMar>
          <w:top w:w="0" w:type="dxa"/>
          <w:left w:w="0" w:type="dxa"/>
          <w:bottom w:w="0" w:type="dxa"/>
          <w:right w:w="0" w:type="dxa"/>
        </w:tblCellMar>
      </w:tblPr>
      <w:tblGrid>
        <w:gridCol w:w="185"/>
        <w:gridCol w:w="3755"/>
      </w:tblGrid>
      <w:tr>
        <w:trPr/>
        <w:tc>
          <w:tcPr>
            <w:tcW w:w="18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2.</w:t>
            </w:r>
          </w:p>
        </w:tc>
        <w:tc>
          <w:tcPr>
            <w:tcW w:w="375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Summary of Significant Accounting Policies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Consolidation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consolidated financial statements include the accounts of the Company and the Subsidiaries. All intercompany accounts and transactions are eliminated in consolidation.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Use of estimates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preparation of these financial statements, in conformity with accounting principles generally accepted in the United States of America (“U.S. GAAP”), required management to make estimates and assumptions that affected the reported amounts of assets and liabilities, and disclosure of contingent assets and liabilities, at the date of the financial statements and the reported amounts of revenue and expenses during the reporting period. Actual results may differ from these estimates.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val="false"/>
          <w:i/>
          <w:caps w:val="false"/>
          <w:smallCaps w:val="false"/>
          <w:color w:val="000000"/>
          <w:sz w:val="20"/>
          <w:shd w:fill="FFFFFF" w:val="clear"/>
        </w:rPr>
      </w:pPr>
      <w:r>
        <w:rPr>
          <w:rFonts w:ascii="Times New Roman" w:hAnsi="Times New Roman"/>
          <w:b w:val="false"/>
          <w:i/>
          <w:caps w:val="false"/>
          <w:smallCaps w:val="false"/>
          <w:color w:val="000000"/>
          <w:sz w:val="20"/>
          <w:shd w:fill="FFFFFF" w:val="clear"/>
        </w:rPr>
        <w:t>Reclassifications</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Certain prior period amounts have been reclassified to conform with current presentation. The Company reclassified $25.6 million of interest expense from other income (expense), net to the interest expense line on the consolidated statement of income for the fiscal year 2023. The reclassification had no impact on net income for fiscal year 2023.</w:t>
      </w:r>
    </w:p>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Cash and cash equivalents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Cash equivalents are short-term, highly liquid instruments with original maturities of 90 days or less.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val="false"/>
          <w:i/>
          <w:caps w:val="false"/>
          <w:smallCaps w:val="false"/>
          <w:color w:val="000000"/>
          <w:sz w:val="20"/>
          <w:shd w:fill="FFFFFF" w:val="clear"/>
        </w:rPr>
      </w:pPr>
      <w:r>
        <w:rPr>
          <w:rFonts w:ascii="Times New Roman" w:hAnsi="Times New Roman"/>
          <w:b w:val="false"/>
          <w:i/>
          <w:caps w:val="false"/>
          <w:smallCaps w:val="false"/>
          <w:color w:val="000000"/>
          <w:sz w:val="20"/>
          <w:shd w:fill="FFFFFF" w:val="clear"/>
        </w:rPr>
        <w:t>Accounts receivable</w:t>
      </w:r>
    </w:p>
    <w:p>
      <w:pPr>
        <w:pStyle w:val="TextBody"/>
        <w:bidi w:val="0"/>
        <w:spacing w:before="0" w:after="0"/>
        <w:jc w:val="left"/>
        <w:rPr>
          <w:rFonts w:ascii="Times New Roman" w:hAnsi="Times New Roman"/>
          <w:b w:val="false"/>
          <w:caps w:val="false"/>
          <w:smallCaps w:val="false"/>
          <w:color w:val="000000"/>
          <w:sz w:val="20"/>
        </w:rPr>
      </w:pPr>
      <w:r>
        <w:rPr>
          <w:rFonts w:ascii="Times New Roman" w:hAnsi="Times New Roman"/>
          <w:b w:val="false"/>
          <w:caps w:val="false"/>
          <w:smallCaps w:val="false"/>
          <w:color w:val="000000"/>
          <w:sz w:val="20"/>
        </w:rPr>
      </w:r>
    </w:p>
    <w:p>
      <w:pPr>
        <w:pStyle w:val="TextBody"/>
        <w:bidi w:val="0"/>
        <w:spacing w:before="0" w:after="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Accounts receivable represents amounts owed to us through our operating activities and are presented net of allowance for credit losses. Accounts receivable for core Nu Skin consists primarily of credit card receivables, while accounts receivable for our Rhyz businesses consists primarily of trade receivables from customer sales. For the Company’s trade receivables from its Rhyz customers, the Company performs ongoing credit evaluations of its customers and maintains an allowance for expected credit losses. The allowance for expected credit losses represents the Company’s best estimate based on current and historical information, and reasonable and supportable forecasts of future events and circumstances.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Inventories</w:t>
      </w:r>
    </w:p>
    <w:p>
      <w:pPr>
        <w:pStyle w:val="TextBody"/>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ind w:left="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pacing w:val="0"/>
          <w:sz w:val="20"/>
          <w:shd w:fill="FFFFFF" w:val="clear"/>
        </w:rPr>
        <w:t>Inventories consist primarily of raw materials for the production of finished goods or merchandise purchased for resale and are stated at the lower of standard cost or net realizable value, using a standard cost method which approximates the first-in, first-out method. The Company records reserves on inventory that is damaged, expired, excess and slow-moving to cost of sales to establish a lower cost basis for that inventory.</w:t>
      </w:r>
      <w:r>
        <w:rPr>
          <w:rFonts w:ascii="Times New Roman" w:hAnsi="Times New Roman"/>
          <w:b w:val="false"/>
          <w:i w:val="false"/>
          <w:caps w:val="false"/>
          <w:smallCaps w:val="false"/>
          <w:color w:val="000000"/>
          <w:sz w:val="20"/>
          <w:shd w:fill="FFFFFF" w:val="clear"/>
        </w:rPr>
        <w:t xml:space="preserve"> The Company had reserves of its inventory carrying value totaling $58.0 million and $84.0 million as of December 31, 2025 and 2024, respectively.</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72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Inventories consist of the following (U.S. dollars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3550" w:type="dxa"/>
        <w:jc w:val="left"/>
        <w:tblInd w:w="0" w:type="dxa"/>
        <w:tblLayout w:type="fixed"/>
        <w:tblCellMar>
          <w:top w:w="0" w:type="dxa"/>
          <w:left w:w="0" w:type="dxa"/>
          <w:bottom w:w="0" w:type="dxa"/>
          <w:right w:w="0" w:type="dxa"/>
        </w:tblCellMar>
      </w:tblPr>
      <w:tblGrid>
        <w:gridCol w:w="1655"/>
        <w:gridCol w:w="60"/>
        <w:gridCol w:w="125"/>
        <w:gridCol w:w="695"/>
        <w:gridCol w:w="60"/>
        <w:gridCol w:w="60"/>
        <w:gridCol w:w="125"/>
        <w:gridCol w:w="695"/>
        <w:gridCol w:w="75"/>
      </w:tblGrid>
      <w:tr>
        <w:trPr/>
        <w:tc>
          <w:tcPr>
            <w:tcW w:w="165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76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w:t>
            </w:r>
          </w:p>
        </w:tc>
        <w:tc>
          <w:tcPr>
            <w:tcW w:w="75" w:type="dxa"/>
            <w:tcBorders/>
            <w:vAlign w:val="bottom"/>
          </w:tcPr>
          <w:p>
            <w:pPr>
              <w:pStyle w:val="TableContents"/>
              <w:bidi w:val="0"/>
              <w:spacing w:before="0" w:after="283"/>
              <w:jc w:val="left"/>
              <w:rPr/>
            </w:pPr>
            <w:r>
              <w:rPr/>
              <w:t> </w:t>
            </w:r>
          </w:p>
        </w:tc>
      </w:tr>
      <w:tr>
        <w:trPr/>
        <w:tc>
          <w:tcPr>
            <w:tcW w:w="16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75" w:type="dxa"/>
            <w:tcBorders/>
            <w:vAlign w:val="bottom"/>
          </w:tcPr>
          <w:p>
            <w:pPr>
              <w:pStyle w:val="TableContents"/>
              <w:bidi w:val="0"/>
              <w:spacing w:before="0" w:after="283"/>
              <w:jc w:val="left"/>
              <w:rPr/>
            </w:pPr>
            <w:r>
              <w:rPr/>
              <w:t> </w:t>
            </w:r>
          </w:p>
        </w:tc>
      </w:tr>
      <w:tr>
        <w:trPr/>
        <w:tc>
          <w:tcPr>
            <w:tcW w:w="165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Raw materials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94,944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121,929</w:t>
            </w:r>
          </w:p>
        </w:tc>
        <w:tc>
          <w:tcPr>
            <w:tcW w:w="75" w:type="dxa"/>
            <w:tcBorders/>
            <w:shd w:fill="CCEEFF" w:val="clear"/>
            <w:vAlign w:val="bottom"/>
          </w:tcPr>
          <w:p>
            <w:pPr>
              <w:pStyle w:val="TableContents"/>
              <w:bidi w:val="0"/>
              <w:spacing w:before="0" w:after="283"/>
              <w:jc w:val="left"/>
              <w:rPr/>
            </w:pPr>
            <w:r>
              <w:rPr/>
              <w:t> </w:t>
            </w:r>
          </w:p>
        </w:tc>
      </w:tr>
      <w:tr>
        <w:trPr/>
        <w:tc>
          <w:tcPr>
            <w:tcW w:w="165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Finished goods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83,699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68,313</w:t>
            </w:r>
          </w:p>
        </w:tc>
        <w:tc>
          <w:tcPr>
            <w:tcW w:w="75" w:type="dxa"/>
            <w:tcBorders/>
            <w:vAlign w:val="bottom"/>
          </w:tcPr>
          <w:p>
            <w:pPr>
              <w:pStyle w:val="TableContents"/>
              <w:bidi w:val="0"/>
              <w:spacing w:before="0" w:after="283"/>
              <w:jc w:val="left"/>
              <w:rPr/>
            </w:pPr>
            <w:r>
              <w:rPr/>
              <w:t> </w:t>
            </w:r>
          </w:p>
        </w:tc>
      </w:tr>
      <w:tr>
        <w:trPr/>
        <w:tc>
          <w:tcPr>
            <w:tcW w:w="1655" w:type="dxa"/>
            <w:tcBorders/>
            <w:shd w:fill="CCEEFF" w:val="clear"/>
            <w:vAlign w:val="bottom"/>
          </w:tcPr>
          <w:p>
            <w:pPr>
              <w:pStyle w:val="TableContents"/>
              <w:bidi w:val="0"/>
              <w:spacing w:before="0" w:after="0"/>
              <w:ind w:left="450" w:right="0" w:hanging="180"/>
              <w:jc w:val="left"/>
              <w:rPr>
                <w:rFonts w:ascii="Times New Roman" w:hAnsi="Times New Roman"/>
                <w:sz w:val="20"/>
              </w:rPr>
            </w:pPr>
            <w:r>
              <w:rPr>
                <w:rFonts w:ascii="Times New Roman" w:hAnsi="Times New Roman"/>
                <w:sz w:val="20"/>
              </w:rPr>
              <w:t>Total inventory, net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178,643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190,242</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Reserves of inventories consist of the following (U.S. dollars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4340" w:type="dxa"/>
        <w:jc w:val="left"/>
        <w:tblInd w:w="0" w:type="dxa"/>
        <w:tblLayout w:type="fixed"/>
        <w:tblCellMar>
          <w:top w:w="0" w:type="dxa"/>
          <w:left w:w="0" w:type="dxa"/>
          <w:bottom w:w="0" w:type="dxa"/>
          <w:right w:w="0" w:type="dxa"/>
        </w:tblCellMar>
      </w:tblPr>
      <w:tblGrid>
        <w:gridCol w:w="1580"/>
        <w:gridCol w:w="60"/>
        <w:gridCol w:w="125"/>
        <w:gridCol w:w="650"/>
        <w:gridCol w:w="80"/>
        <w:gridCol w:w="60"/>
        <w:gridCol w:w="125"/>
        <w:gridCol w:w="650"/>
        <w:gridCol w:w="80"/>
        <w:gridCol w:w="60"/>
        <w:gridCol w:w="125"/>
        <w:gridCol w:w="650"/>
        <w:gridCol w:w="95"/>
      </w:tblGrid>
      <w:tr>
        <w:trPr/>
        <w:tc>
          <w:tcPr>
            <w:tcW w:w="1580"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95" w:type="dxa"/>
            <w:tcBorders/>
            <w:vAlign w:val="bottom"/>
          </w:tcPr>
          <w:p>
            <w:pPr>
              <w:pStyle w:val="TableContents"/>
              <w:bidi w:val="0"/>
              <w:spacing w:before="0" w:after="283"/>
              <w:jc w:val="left"/>
              <w:rPr/>
            </w:pPr>
            <w:r>
              <w:rPr/>
              <w:t> </w:t>
            </w:r>
          </w:p>
        </w:tc>
      </w:tr>
      <w:tr>
        <w:trPr/>
        <w:tc>
          <w:tcPr>
            <w:tcW w:w="158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Beginning balance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84,006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83,378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37,267</w:t>
            </w:r>
          </w:p>
        </w:tc>
        <w:tc>
          <w:tcPr>
            <w:tcW w:w="95" w:type="dxa"/>
            <w:tcBorders/>
            <w:shd w:fill="CCEEFF" w:val="clear"/>
            <w:vAlign w:val="bottom"/>
          </w:tcPr>
          <w:p>
            <w:pPr>
              <w:pStyle w:val="TableContents"/>
              <w:bidi w:val="0"/>
              <w:spacing w:before="0" w:after="283"/>
              <w:jc w:val="left"/>
              <w:rPr/>
            </w:pPr>
            <w:r>
              <w:rPr/>
              <w:t> </w:t>
            </w:r>
          </w:p>
        </w:tc>
      </w:tr>
      <w:tr>
        <w:trPr/>
        <w:tc>
          <w:tcPr>
            <w:tcW w:w="158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b w:val="false"/>
                <w:i w:val="false"/>
                <w:caps w:val="false"/>
                <w:smallCaps w:val="false"/>
                <w:color w:val="000000"/>
                <w:sz w:val="20"/>
              </w:rPr>
              <w:t>Additions</w:t>
            </w:r>
            <w:r>
              <w:rPr>
                <w:rFonts w:ascii="Times New Roman" w:hAnsi="Times New Roman"/>
                <w:sz w:val="20"/>
              </w:rPr>
              <w:t xml:space="preserve"> </w:t>
            </w:r>
            <w:r>
              <w:rPr>
                <w:rFonts w:ascii="Times New Roman" w:hAnsi="Times New Roman"/>
                <w:b/>
                <w:sz w:val="20"/>
              </w:rPr>
              <w:t>(1)</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3,807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48,211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88,108</w:t>
            </w:r>
          </w:p>
        </w:tc>
        <w:tc>
          <w:tcPr>
            <w:tcW w:w="95" w:type="dxa"/>
            <w:tcBorders/>
            <w:vAlign w:val="bottom"/>
          </w:tcPr>
          <w:p>
            <w:pPr>
              <w:pStyle w:val="TableContents"/>
              <w:bidi w:val="0"/>
              <w:spacing w:before="0" w:after="283"/>
              <w:jc w:val="left"/>
              <w:rPr/>
            </w:pPr>
            <w:r>
              <w:rPr/>
              <w:t> </w:t>
            </w:r>
          </w:p>
        </w:tc>
      </w:tr>
      <w:tr>
        <w:trPr/>
        <w:tc>
          <w:tcPr>
            <w:tcW w:w="1580" w:type="dxa"/>
            <w:tcBorders/>
            <w:shd w:fill="CCEEFF" w:val="clear"/>
            <w:vAlign w:val="bottom"/>
          </w:tcPr>
          <w:p>
            <w:pPr>
              <w:pStyle w:val="TableContents"/>
              <w:bidi w:val="0"/>
              <w:spacing w:before="0" w:after="0"/>
              <w:ind w:left="324" w:right="0" w:hanging="324"/>
              <w:jc w:val="left"/>
              <w:rPr>
                <w:rFonts w:ascii="Times New Roman" w:hAnsi="Times New Roman"/>
                <w:sz w:val="20"/>
              </w:rPr>
            </w:pPr>
            <w:r>
              <w:rPr>
                <w:rFonts w:ascii="Times New Roman" w:hAnsi="Times New Roman"/>
                <w:sz w:val="20"/>
              </w:rPr>
              <w:t>Disposals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(29,855</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(47,583</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(41,997</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58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Ending balance</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57,958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84,006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83,378</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9989" w:type="dxa"/>
            <w:tcBorders/>
            <w:vAlign w:val="center"/>
          </w:tcPr>
          <w:p>
            <w:pPr>
              <w:pStyle w:val="TableContents"/>
              <w:bidi w:val="0"/>
              <w:spacing w:before="0" w:after="0"/>
              <w:ind w:left="0" w:right="0" w:hanging="0"/>
              <w:jc w:val="both"/>
              <w:rPr>
                <w:rFonts w:ascii="Times New Roman" w:hAnsi="Times New Roman"/>
              </w:rPr>
            </w:pPr>
            <w:r>
              <w:rPr>
                <w:rFonts w:ascii="Times New Roman" w:hAnsi="Times New Roman"/>
                <w:b w:val="false"/>
                <w:i w:val="false"/>
                <w:caps w:val="false"/>
                <w:smallCaps w:val="false"/>
                <w:color w:val="000000"/>
                <w:spacing w:val="0"/>
                <w:sz w:val="20"/>
              </w:rPr>
              <w:t xml:space="preserve">During the fourth quarter of 2024, the Company </w:t>
            </w:r>
            <w:r>
              <w:rPr>
                <w:rFonts w:ascii="Times New Roman" w:hAnsi="Times New Roman"/>
                <w:sz w:val="20"/>
              </w:rPr>
              <w:t>further executed on its product portfolio optimization initiative</w:t>
            </w:r>
            <w:r>
              <w:rPr>
                <w:rFonts w:ascii="Times New Roman" w:hAnsi="Times New Roman"/>
                <w:caps w:val="false"/>
                <w:smallCaps w:val="false"/>
                <w:color w:val="000000"/>
                <w:spacing w:val="0"/>
                <w:sz w:val="20"/>
              </w:rPr>
              <w:t xml:space="preserve"> </w:t>
            </w:r>
            <w:r>
              <w:rPr>
                <w:rFonts w:ascii="Times New Roman" w:hAnsi="Times New Roman"/>
                <w:b w:val="false"/>
                <w:i w:val="false"/>
                <w:caps w:val="false"/>
                <w:smallCaps w:val="false"/>
                <w:color w:val="000000"/>
                <w:spacing w:val="0"/>
                <w:sz w:val="20"/>
              </w:rPr>
              <w:t xml:space="preserve">which resulted in an incremental </w:t>
            </w:r>
            <w:r>
              <w:rPr>
                <w:rFonts w:ascii="Times New Roman" w:hAnsi="Times New Roman"/>
                <w:sz w:val="20"/>
              </w:rPr>
              <w:t>inventory write-off charge of</w:t>
            </w:r>
            <w:r>
              <w:rPr>
                <w:rFonts w:ascii="Times New Roman" w:hAnsi="Times New Roman"/>
                <w:caps w:val="false"/>
                <w:smallCaps w:val="false"/>
                <w:color w:val="000000"/>
                <w:spacing w:val="0"/>
                <w:sz w:val="20"/>
              </w:rPr>
              <w:t xml:space="preserve"> </w:t>
            </w:r>
            <w:r>
              <w:rPr>
                <w:rFonts w:ascii="Times New Roman" w:hAnsi="Times New Roman"/>
                <w:b w:val="false"/>
                <w:i w:val="false"/>
                <w:caps w:val="false"/>
                <w:smallCaps w:val="false"/>
                <w:color w:val="000000"/>
                <w:spacing w:val="0"/>
                <w:sz w:val="20"/>
              </w:rPr>
              <w:t>$38.8 million to the inventory carrying value.</w:t>
            </w:r>
            <w:r>
              <w:rPr>
                <w:rFonts w:ascii="Times New Roman" w:hAnsi="Times New Roman"/>
                <w:caps w:val="false"/>
                <w:smallCaps w:val="false"/>
                <w:color w:val="000000"/>
                <w:sz w:val="20"/>
              </w:rPr>
              <w:t xml:space="preserve"> </w:t>
            </w:r>
            <w:r>
              <w:rPr>
                <w:rFonts w:ascii="Times New Roman" w:hAnsi="Times New Roman"/>
                <w:b w:val="false"/>
                <w:i w:val="false"/>
                <w:caps w:val="false"/>
                <w:smallCaps w:val="false"/>
                <w:color w:val="000000"/>
                <w:sz w:val="20"/>
              </w:rPr>
              <w:t>During the third quarter of 2023, the Company made the strategic decision to re-balance and narrow its product portfolio, which resulted in an incremental inventory write-off charge of $65.7 million.</w:t>
            </w:r>
            <w:r>
              <w:rPr>
                <w:rFonts w:ascii="Times New Roman" w:hAnsi="Times New Roman"/>
              </w:rPr>
              <w:t xml:space="preserve">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Prepaid expense and other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Prepaid expenses and other consist of the following (U.S. dollars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5755" w:type="dxa"/>
        <w:jc w:val="left"/>
        <w:tblInd w:w="0" w:type="dxa"/>
        <w:tblLayout w:type="fixed"/>
        <w:tblCellMar>
          <w:top w:w="0" w:type="dxa"/>
          <w:left w:w="0" w:type="dxa"/>
          <w:bottom w:w="0" w:type="dxa"/>
          <w:right w:w="0" w:type="dxa"/>
        </w:tblCellMar>
      </w:tblPr>
      <w:tblGrid>
        <w:gridCol w:w="4070"/>
        <w:gridCol w:w="60"/>
        <w:gridCol w:w="125"/>
        <w:gridCol w:w="590"/>
        <w:gridCol w:w="60"/>
        <w:gridCol w:w="60"/>
        <w:gridCol w:w="125"/>
        <w:gridCol w:w="590"/>
        <w:gridCol w:w="75"/>
      </w:tblGrid>
      <w:tr>
        <w:trPr/>
        <w:tc>
          <w:tcPr>
            <w:tcW w:w="4070"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r>
          </w:p>
        </w:tc>
        <w:tc>
          <w:tcPr>
            <w:tcW w:w="60" w:type="dxa"/>
            <w:tcBorders/>
            <w:vAlign w:val="bottom"/>
          </w:tcPr>
          <w:p>
            <w:pPr>
              <w:pStyle w:val="TableContents"/>
              <w:bidi w:val="0"/>
              <w:spacing w:before="0" w:after="283"/>
              <w:jc w:val="left"/>
              <w:rPr/>
            </w:pPr>
            <w:r>
              <w:rPr/>
              <w:t> </w:t>
            </w:r>
          </w:p>
        </w:tc>
        <w:tc>
          <w:tcPr>
            <w:tcW w:w="155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w:t>
            </w:r>
          </w:p>
        </w:tc>
        <w:tc>
          <w:tcPr>
            <w:tcW w:w="75" w:type="dxa"/>
            <w:tcBorders/>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75"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Deferred charges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5,611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6,023</w:t>
            </w:r>
          </w:p>
        </w:tc>
        <w:tc>
          <w:tcPr>
            <w:tcW w:w="75"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Prepaid income tax</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23,639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11,532</w:t>
            </w:r>
          </w:p>
        </w:tc>
        <w:tc>
          <w:tcPr>
            <w:tcW w:w="75"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Prepaid inventory and import costs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4,956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4,931</w:t>
            </w:r>
          </w:p>
        </w:tc>
        <w:tc>
          <w:tcPr>
            <w:tcW w:w="75"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Prepaid rent, insurance and other occupancy costs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3,188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3,597</w:t>
            </w:r>
          </w:p>
        </w:tc>
        <w:tc>
          <w:tcPr>
            <w:tcW w:w="75"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Prepaid promotion and event cost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4,669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5,818</w:t>
            </w:r>
          </w:p>
        </w:tc>
        <w:tc>
          <w:tcPr>
            <w:tcW w:w="75"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Prepaid other taxes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18,683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3,237</w:t>
            </w:r>
          </w:p>
        </w:tc>
        <w:tc>
          <w:tcPr>
            <w:tcW w:w="75"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Derivative financial instruments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4,708</w:t>
            </w:r>
          </w:p>
        </w:tc>
        <w:tc>
          <w:tcPr>
            <w:tcW w:w="75"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Prepaid software license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13,688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15,118</w:t>
            </w:r>
          </w:p>
        </w:tc>
        <w:tc>
          <w:tcPr>
            <w:tcW w:w="75"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Deposits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3,960</w:t>
            </w:r>
          </w:p>
        </w:tc>
        <w:tc>
          <w:tcPr>
            <w:tcW w:w="75" w:type="dxa"/>
            <w:tcBorders/>
            <w:shd w:fill="CCEEFF" w:val="clear"/>
            <w:vAlign w:val="bottom"/>
          </w:tcPr>
          <w:p>
            <w:pPr>
              <w:pStyle w:val="TableContents"/>
              <w:bidi w:val="0"/>
              <w:spacing w:before="0" w:after="283"/>
              <w:jc w:val="left"/>
              <w:rPr/>
            </w:pPr>
            <w:r>
              <w:rPr/>
              <w:t> </w:t>
            </w:r>
          </w:p>
        </w:tc>
      </w:tr>
      <w:tr>
        <w:trPr/>
        <w:tc>
          <w:tcPr>
            <w:tcW w:w="407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Other</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13,114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13,719</w:t>
            </w:r>
          </w:p>
        </w:tc>
        <w:tc>
          <w:tcPr>
            <w:tcW w:w="75" w:type="dxa"/>
            <w:tcBorders/>
            <w:vAlign w:val="bottom"/>
          </w:tcPr>
          <w:p>
            <w:pPr>
              <w:pStyle w:val="TableContents"/>
              <w:bidi w:val="0"/>
              <w:spacing w:before="0" w:after="283"/>
              <w:jc w:val="left"/>
              <w:rPr/>
            </w:pPr>
            <w:r>
              <w:rPr/>
              <w:t> </w:t>
            </w:r>
          </w:p>
        </w:tc>
      </w:tr>
      <w:tr>
        <w:trPr/>
        <w:tc>
          <w:tcPr>
            <w:tcW w:w="4070" w:type="dxa"/>
            <w:tcBorders/>
            <w:shd w:fill="CCEEFF" w:val="clear"/>
            <w:vAlign w:val="bottom"/>
          </w:tcPr>
          <w:p>
            <w:pPr>
              <w:pStyle w:val="TableContents"/>
              <w:bidi w:val="0"/>
              <w:spacing w:before="0" w:after="0"/>
              <w:ind w:left="360" w:right="0" w:hanging="180"/>
              <w:jc w:val="left"/>
              <w:rPr/>
            </w:pPr>
            <w:r>
              <w:rPr/>
              <w:t> </w:t>
            </w:r>
            <w:r>
              <w:rPr>
                <w:rFonts w:ascii="Times New Roman" w:hAnsi="Times New Roman"/>
                <w:sz w:val="20"/>
              </w:rPr>
              <w:t>Total prepaid expense and other</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89,670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72,643</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rFonts w:ascii="Times New Roman" w:hAnsi="Times New Roman"/>
          <w:i/>
          <w:sz w:val="20"/>
        </w:rPr>
      </w:pPr>
      <w:r>
        <w:rPr>
          <w:rFonts w:ascii="Times New Roman" w:hAnsi="Times New Roman"/>
          <w:i/>
          <w:sz w:val="20"/>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Property and equipment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Property and equipment are stated at cost less accumulated depreciation. Depreciation is recorded using the straight-line method over the following estimated useful lives:</w:t>
      </w:r>
    </w:p>
    <w:p>
      <w:pPr>
        <w:pStyle w:val="TextBody"/>
        <w:bidi w:val="0"/>
        <w:spacing w:before="0" w:after="0"/>
        <w:jc w:val="left"/>
        <w:rPr>
          <w:rFonts w:ascii="Times New Roman" w:hAnsi="Times New Roman"/>
          <w:sz w:val="20"/>
        </w:rPr>
      </w:pPr>
      <w:r>
        <w:rPr>
          <w:rFonts w:ascii="Times New Roman" w:hAnsi="Times New Roman"/>
          <w:sz w:val="20"/>
        </w:rPr>
      </w:r>
    </w:p>
    <w:tbl>
      <w:tblPr>
        <w:tblW w:w="5725" w:type="dxa"/>
        <w:jc w:val="left"/>
        <w:tblInd w:w="0" w:type="dxa"/>
        <w:tblLayout w:type="fixed"/>
        <w:tblCellMar>
          <w:top w:w="0" w:type="dxa"/>
          <w:left w:w="0" w:type="dxa"/>
          <w:bottom w:w="0" w:type="dxa"/>
          <w:right w:w="0" w:type="dxa"/>
        </w:tblCellMar>
      </w:tblPr>
      <w:tblGrid>
        <w:gridCol w:w="2165"/>
        <w:gridCol w:w="3560"/>
      </w:tblGrid>
      <w:tr>
        <w:trPr/>
        <w:tc>
          <w:tcPr>
            <w:tcW w:w="216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Buildings</w:t>
            </w:r>
          </w:p>
        </w:tc>
        <w:tc>
          <w:tcPr>
            <w:tcW w:w="35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39 years</w:t>
            </w:r>
          </w:p>
        </w:tc>
      </w:tr>
      <w:tr>
        <w:trPr/>
        <w:tc>
          <w:tcPr>
            <w:tcW w:w="21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Furniture and fixtures</w:t>
            </w:r>
          </w:p>
        </w:tc>
        <w:tc>
          <w:tcPr>
            <w:tcW w:w="35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5 - 7 years</w:t>
            </w:r>
          </w:p>
        </w:tc>
      </w:tr>
      <w:tr>
        <w:trPr/>
        <w:tc>
          <w:tcPr>
            <w:tcW w:w="216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Computers and equipment</w:t>
            </w:r>
          </w:p>
        </w:tc>
        <w:tc>
          <w:tcPr>
            <w:tcW w:w="35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3 - 5 years</w:t>
            </w:r>
          </w:p>
        </w:tc>
      </w:tr>
      <w:tr>
        <w:trPr/>
        <w:tc>
          <w:tcPr>
            <w:tcW w:w="21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Leasehold improvements</w:t>
            </w:r>
          </w:p>
        </w:tc>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Shorter of estimated useful life or lease term</w:t>
            </w:r>
          </w:p>
        </w:tc>
      </w:tr>
      <w:tr>
        <w:trPr/>
        <w:tc>
          <w:tcPr>
            <w:tcW w:w="216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Scanners</w:t>
            </w:r>
          </w:p>
        </w:tc>
        <w:tc>
          <w:tcPr>
            <w:tcW w:w="356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3 years</w:t>
            </w:r>
          </w:p>
        </w:tc>
      </w:tr>
      <w:tr>
        <w:trPr/>
        <w:tc>
          <w:tcPr>
            <w:tcW w:w="21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Vehicles</w:t>
            </w:r>
          </w:p>
        </w:tc>
        <w:tc>
          <w:tcPr>
            <w:tcW w:w="35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3 - 5 years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Expenditures for maintenance and repairs are charged to expense as incurred. When an asset is sold or otherwise disposed of, the cost and associated accumulated depreciation are removed from the accounts and the resulting gain or loss is recognized in the statement of income. Property and equipment are reviewed for impairment whenever events or changes in circumstances indicate that the carrying amount of such assets may not be recoverable. An impairment loss is recognized if the carrying amount of the asset exceeds its fair value.</w:t>
      </w:r>
    </w:p>
    <w:p>
      <w:pPr>
        <w:pStyle w:val="TextBody"/>
        <w:bidi w:val="0"/>
        <w:spacing w:before="0" w:after="0"/>
        <w:jc w:val="both"/>
        <w:rPr>
          <w:rFonts w:ascii="Times New Roman" w:hAnsi="Times New Roman"/>
          <w:i/>
          <w:sz w:val="20"/>
        </w:rPr>
      </w:pPr>
      <w:r>
        <w:rPr>
          <w:rFonts w:ascii="Times New Roman" w:hAnsi="Times New Roman"/>
          <w:i/>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73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Leases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determines if an arrangement is a lease at inception. Operating leases are included in operating lease right-of-use (“ROU”) assets, accrued expenses and operating lease liabilities on the consolidated balance sheets. Finance leases are included in other assets, accrued expenses and other liabilities on the consolidated balance sheets.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Operating lease ROU assets represent the Company’s right to use an underlying asset for the lease term, and lease liabilities represent the Company’s obligation to make lease payments arising from the lease. ROU assets and lease liabilities are recognized at the lease commencement date based on the estimated present value of lease payments over the lease term. The Company uses its estimated incremental borrowing rate based on the information available at commencement date in determining the present value of future payments. The operating lease ROU assets also include any lease payments made and exclude lease incentives and initial direct costs incurred. The Company’s lease terms may include options to extend or terminate the lease when it is reasonably certain that the Company will exercise that option. Lease expense for minimum lease payments is recognized on a straight-line basis over the lease term. Leases with a term of 12 months or less are not recorded on the balance sheet. The Company’s lease agreements do not contain any residual value guarantees.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Company has lease agreements with lease and non-lease components. The Company accounts for the lease and non-lease components as a single lease component.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Goodwill and other intangible assets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Goodwill is recorded when the cost of acquired businesses exceeds the fair value of the identifiable net assets acquired. Goodwill and intangible assets with indefinite useful lives are not amortized, but are assessed for impairment annually on October 1. In addition, impairment testing is conducted when events occur or circumstances change that would more likely than not reduce the fair value of a reporting unit below its carrying amount. Goodwill and intangible assets with indefinite useful lives would be written down to fair value if considered impaired.</w:t>
      </w:r>
    </w:p>
    <w:p>
      <w:pPr>
        <w:pStyle w:val="TextBody"/>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may use either a qualitative or quantitative approach when testing a reporting unit’s goodwill for impairment. The qualitative approach for potential impairment analysis is performed by evaluating a number of qualitative factors to determine whether it is more likely than not that the fair value of a reporting unit was less than its carrying amount. If the qualitative assessment indicates that it is more-likely-than-not that the fair value of a reporting unit is less than its carrying value, the Company performs a quantitative assessment.</w:t>
      </w:r>
    </w:p>
    <w:p>
      <w:pPr>
        <w:pStyle w:val="TextBody"/>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quantitative approach for potential impairment analysis is performed by comparing the fair value of a reporting unit to its carrying value, including goodwill. Fair value is estimated by management using a combination of the income approach (which is based on a discounted cash flow model) and the market approach. Management’s cash flow projections include significant judgments and assumptions, including the amount and timing of expected cash flows, long-term growth rates, and discount rates. The cash flows used in the discounted cash flow model are based on the Company’s best estimate of future revenues, gross margins, and adjusted after-tax earnings. If any of these assumptions are incorrect, it will impact the estimated fair value of a reporting unit. The market approach also requires management judgment in selecting comparable companies, business acquisitions and the transaction values observed and its related control premiums.</w:t>
      </w:r>
    </w:p>
    <w:p>
      <w:pPr>
        <w:pStyle w:val="TextBody"/>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 the fourth quarter of 2025, the carrying amount of goodwill at the date of the most recent annual impairment evaluation for the Manufacturing and Rhyz Other reporting unit was $78.9 million and $4.7 million, respectively. The Company performed a quantitative (step one) goodwill impairment analysis for its Manufacturing reporting unit which indicated its fair value exceeded its carrying values and thus, was not deemed impaired. The Company performed a qualitative impairment analysis for its Rhyz Other reporting unit which indicated it was more likely than not that its fair value exceeded its carrying value.</w:t>
      </w:r>
    </w:p>
    <w:p>
      <w:pPr>
        <w:pStyle w:val="TextBody"/>
        <w:bidi w:val="0"/>
        <w:spacing w:before="0" w:after="0"/>
        <w:jc w:val="both"/>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impairment evaluation for indefinite-lived intangible assets consists of a qualitative assessment, similar to that for goodwill. If the qualitative assessment indicates it is more likely than not that the estimated fair value of an indefinite-lived intangible asset exceeds its carrying value, no further analysis is required, and the asset is not impaired.</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br/>
        <w:t>Intangible assets with finite useful lives are amortized to their estimated residual values over such finite lives using the straight-line method and reviewed for impairment whenever events or circumstances warrant such a review.</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pPr>
      <w:r>
        <w:rPr/>
      </w:r>
    </w:p>
    <w:p>
      <w:pPr>
        <w:pStyle w:val="TextBody"/>
        <w:bidi w:val="0"/>
        <w:spacing w:before="0" w:after="0"/>
        <w:ind w:left="720" w:right="0" w:hanging="720"/>
        <w:jc w:val="left"/>
        <w:rPr>
          <w:rFonts w:ascii="Times New Roman" w:hAnsi="Times New Roman"/>
          <w:i/>
          <w:color w:val="000000"/>
          <w:sz w:val="20"/>
          <w:shd w:fill="FFFFFF" w:val="clear"/>
        </w:rPr>
      </w:pPr>
      <w:r>
        <w:rPr>
          <w:rFonts w:ascii="Times New Roman" w:hAnsi="Times New Roman"/>
          <w:i/>
          <w:color w:val="000000"/>
          <w:sz w:val="20"/>
          <w:shd w:fill="FFFFFF" w:val="clear"/>
        </w:rPr>
        <w:t>Equity investments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The Company holds strategic investments in other companies. These investments are accounted for under the measurement alternative described in ASC 321, </w:t>
      </w:r>
      <w:r>
        <w:rPr>
          <w:rFonts w:ascii="Times New Roman" w:hAnsi="Times New Roman"/>
          <w:b w:val="false"/>
          <w:i/>
          <w:caps w:val="false"/>
          <w:smallCaps w:val="false"/>
          <w:color w:val="000000"/>
          <w:sz w:val="20"/>
          <w:shd w:fill="FFFFFF" w:val="clear"/>
        </w:rPr>
        <w:t>Investments - Equity Securities</w:t>
      </w:r>
      <w:r>
        <w:rPr>
          <w:rFonts w:ascii="Times New Roman" w:hAnsi="Times New Roman"/>
          <w:b w:val="false"/>
          <w:i w:val="false"/>
          <w:caps w:val="false"/>
          <w:smallCaps w:val="false"/>
          <w:color w:val="000000"/>
          <w:sz w:val="20"/>
          <w:shd w:fill="FFFFFF" w:val="clear"/>
        </w:rPr>
        <w:t xml:space="preserve"> (“ASC 321”) for equity investments that do not have readily determinable fair values. These investments are measured at cost, less impairment, if any, plus or minus changes resulting from observable price changes in orderly transactions for identical or similar investments of the same issuer. The Company does not exercise significant influence over these companies. These investments are carried on the consolidated balance sheets within Other Assets. Changes in fair value based on impairments or resulting from observable price changes are recorded in Other Income (expense), net on the consolidated statements of income. See Note 11 – Fair Value and Equity Investments, for further details around the Company’s equity investments.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74</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val="false"/>
          <w:i/>
          <w:caps w:val="false"/>
          <w:smallCaps w:val="false"/>
          <w:color w:val="000000"/>
          <w:sz w:val="20"/>
          <w:shd w:fill="FFFFFF" w:val="clear"/>
        </w:rPr>
      </w:pPr>
      <w:r>
        <w:rPr>
          <w:rFonts w:ascii="Times New Roman" w:hAnsi="Times New Roman"/>
          <w:b w:val="false"/>
          <w:i/>
          <w:caps w:val="false"/>
          <w:smallCaps w:val="false"/>
          <w:color w:val="000000"/>
          <w:sz w:val="20"/>
          <w:shd w:fill="FFFFFF" w:val="clear"/>
        </w:rPr>
        <w:t>Other assets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Other assets consist of the following (U.S. dollars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5725" w:type="dxa"/>
        <w:jc w:val="left"/>
        <w:tblInd w:w="0" w:type="dxa"/>
        <w:tblLayout w:type="fixed"/>
        <w:tblCellMar>
          <w:top w:w="0" w:type="dxa"/>
          <w:left w:w="0" w:type="dxa"/>
          <w:bottom w:w="0" w:type="dxa"/>
          <w:right w:w="0" w:type="dxa"/>
        </w:tblCellMar>
      </w:tblPr>
      <w:tblGrid>
        <w:gridCol w:w="3830"/>
        <w:gridCol w:w="60"/>
        <w:gridCol w:w="125"/>
        <w:gridCol w:w="695"/>
        <w:gridCol w:w="60"/>
        <w:gridCol w:w="60"/>
        <w:gridCol w:w="125"/>
        <w:gridCol w:w="695"/>
        <w:gridCol w:w="75"/>
      </w:tblGrid>
      <w:tr>
        <w:trPr/>
        <w:tc>
          <w:tcPr>
            <w:tcW w:w="3830"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r>
          </w:p>
        </w:tc>
        <w:tc>
          <w:tcPr>
            <w:tcW w:w="60" w:type="dxa"/>
            <w:tcBorders/>
            <w:vAlign w:val="bottom"/>
          </w:tcPr>
          <w:p>
            <w:pPr>
              <w:pStyle w:val="TableContents"/>
              <w:bidi w:val="0"/>
              <w:spacing w:before="0" w:after="283"/>
              <w:jc w:val="left"/>
              <w:rPr/>
            </w:pPr>
            <w:r>
              <w:rPr/>
              <w:t> </w:t>
            </w:r>
          </w:p>
        </w:tc>
        <w:tc>
          <w:tcPr>
            <w:tcW w:w="176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w:t>
            </w:r>
          </w:p>
        </w:tc>
        <w:tc>
          <w:tcPr>
            <w:tcW w:w="75" w:type="dxa"/>
            <w:tcBorders/>
            <w:vAlign w:val="bottom"/>
          </w:tcPr>
          <w:p>
            <w:pPr>
              <w:pStyle w:val="TableContents"/>
              <w:bidi w:val="0"/>
              <w:spacing w:before="0" w:after="283"/>
              <w:jc w:val="left"/>
              <w:rPr/>
            </w:pPr>
            <w:r>
              <w:rPr/>
              <w:t> </w:t>
            </w:r>
          </w:p>
        </w:tc>
      </w:tr>
      <w:tr>
        <w:trPr/>
        <w:tc>
          <w:tcPr>
            <w:tcW w:w="38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75" w:type="dxa"/>
            <w:tcBorders/>
            <w:vAlign w:val="bottom"/>
          </w:tcPr>
          <w:p>
            <w:pPr>
              <w:pStyle w:val="TableContents"/>
              <w:bidi w:val="0"/>
              <w:spacing w:before="0" w:after="283"/>
              <w:jc w:val="left"/>
              <w:rPr/>
            </w:pPr>
            <w:r>
              <w:rPr/>
              <w:t> </w:t>
            </w:r>
          </w:p>
        </w:tc>
      </w:tr>
      <w:tr>
        <w:trPr/>
        <w:tc>
          <w:tcPr>
            <w:tcW w:w="383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Deferred taxes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171,717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174,249</w:t>
            </w:r>
          </w:p>
        </w:tc>
        <w:tc>
          <w:tcPr>
            <w:tcW w:w="75" w:type="dxa"/>
            <w:tcBorders/>
            <w:shd w:fill="CCEEFF" w:val="clear"/>
            <w:vAlign w:val="bottom"/>
          </w:tcPr>
          <w:p>
            <w:pPr>
              <w:pStyle w:val="TableContents"/>
              <w:bidi w:val="0"/>
              <w:spacing w:before="0" w:after="283"/>
              <w:jc w:val="left"/>
              <w:rPr/>
            </w:pPr>
            <w:r>
              <w:rPr/>
              <w:t> </w:t>
            </w:r>
          </w:p>
        </w:tc>
      </w:tr>
      <w:tr>
        <w:trPr/>
        <w:tc>
          <w:tcPr>
            <w:tcW w:w="383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Deposits for noncancelable operating leases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11,990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5,167</w:t>
            </w:r>
          </w:p>
        </w:tc>
        <w:tc>
          <w:tcPr>
            <w:tcW w:w="75" w:type="dxa"/>
            <w:tcBorders/>
            <w:vAlign w:val="bottom"/>
          </w:tcPr>
          <w:p>
            <w:pPr>
              <w:pStyle w:val="TableContents"/>
              <w:bidi w:val="0"/>
              <w:spacing w:before="0" w:after="283"/>
              <w:jc w:val="left"/>
              <w:rPr/>
            </w:pPr>
            <w:r>
              <w:rPr/>
              <w:t> </w:t>
            </w:r>
          </w:p>
        </w:tc>
      </w:tr>
      <w:tr>
        <w:trPr/>
        <w:tc>
          <w:tcPr>
            <w:tcW w:w="383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Cash surrender value for life insurance policies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48,410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44,091</w:t>
            </w:r>
          </w:p>
        </w:tc>
        <w:tc>
          <w:tcPr>
            <w:tcW w:w="75" w:type="dxa"/>
            <w:tcBorders/>
            <w:shd w:fill="CCEEFF" w:val="clear"/>
            <w:vAlign w:val="bottom"/>
          </w:tcPr>
          <w:p>
            <w:pPr>
              <w:pStyle w:val="TableContents"/>
              <w:bidi w:val="0"/>
              <w:spacing w:before="0" w:after="283"/>
              <w:jc w:val="left"/>
              <w:rPr/>
            </w:pPr>
            <w:r>
              <w:rPr/>
              <w:t> </w:t>
            </w:r>
          </w:p>
        </w:tc>
      </w:tr>
      <w:tr>
        <w:trPr/>
        <w:tc>
          <w:tcPr>
            <w:tcW w:w="38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Finance lease, right-of-use asset, net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7,686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9,541</w:t>
            </w:r>
          </w:p>
        </w:tc>
        <w:tc>
          <w:tcPr>
            <w:tcW w:w="75" w:type="dxa"/>
            <w:tcBorders/>
            <w:vAlign w:val="bottom"/>
          </w:tcPr>
          <w:p>
            <w:pPr>
              <w:pStyle w:val="TableContents"/>
              <w:bidi w:val="0"/>
              <w:spacing w:before="0" w:after="283"/>
              <w:jc w:val="left"/>
              <w:rPr/>
            </w:pPr>
            <w:r>
              <w:rPr/>
              <w:t> </w:t>
            </w:r>
          </w:p>
        </w:tc>
      </w:tr>
      <w:tr>
        <w:trPr/>
        <w:tc>
          <w:tcPr>
            <w:tcW w:w="383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Equity investments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14,311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35,726</w:t>
            </w:r>
          </w:p>
        </w:tc>
        <w:tc>
          <w:tcPr>
            <w:tcW w:w="75" w:type="dxa"/>
            <w:tcBorders/>
            <w:shd w:fill="CCEEFF" w:val="clear"/>
            <w:vAlign w:val="bottom"/>
          </w:tcPr>
          <w:p>
            <w:pPr>
              <w:pStyle w:val="TableContents"/>
              <w:bidi w:val="0"/>
              <w:spacing w:before="0" w:after="283"/>
              <w:jc w:val="left"/>
              <w:rPr/>
            </w:pPr>
            <w:r>
              <w:rPr/>
              <w:t> </w:t>
            </w:r>
          </w:p>
        </w:tc>
      </w:tr>
      <w:tr>
        <w:trPr/>
        <w:tc>
          <w:tcPr>
            <w:tcW w:w="3830"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Long-term investments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4,434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3,864</w:t>
            </w:r>
          </w:p>
        </w:tc>
        <w:tc>
          <w:tcPr>
            <w:tcW w:w="75" w:type="dxa"/>
            <w:tcBorders/>
            <w:vAlign w:val="bottom"/>
          </w:tcPr>
          <w:p>
            <w:pPr>
              <w:pStyle w:val="TableContents"/>
              <w:bidi w:val="0"/>
              <w:spacing w:before="0" w:after="283"/>
              <w:jc w:val="left"/>
              <w:rPr/>
            </w:pPr>
            <w:r>
              <w:rPr/>
              <w:t> </w:t>
            </w:r>
          </w:p>
        </w:tc>
      </w:tr>
      <w:tr>
        <w:trPr/>
        <w:tc>
          <w:tcPr>
            <w:tcW w:w="383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Other</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21,639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25,370</w:t>
            </w:r>
          </w:p>
        </w:tc>
        <w:tc>
          <w:tcPr>
            <w:tcW w:w="75" w:type="dxa"/>
            <w:tcBorders/>
            <w:shd w:fill="CCEEFF" w:val="clear"/>
            <w:vAlign w:val="bottom"/>
          </w:tcPr>
          <w:p>
            <w:pPr>
              <w:pStyle w:val="TableContents"/>
              <w:bidi w:val="0"/>
              <w:spacing w:before="0" w:after="283"/>
              <w:jc w:val="left"/>
              <w:rPr/>
            </w:pPr>
            <w:r>
              <w:rPr/>
              <w:t> </w:t>
            </w:r>
          </w:p>
        </w:tc>
      </w:tr>
      <w:tr>
        <w:trPr/>
        <w:tc>
          <w:tcPr>
            <w:tcW w:w="383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Total other assets</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280,187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298,008</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Accrued expenses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Accrued expenses consist of the following (U.S. dollars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6220" w:type="dxa"/>
        <w:jc w:val="left"/>
        <w:tblInd w:w="0" w:type="dxa"/>
        <w:tblLayout w:type="fixed"/>
        <w:tblCellMar>
          <w:top w:w="0" w:type="dxa"/>
          <w:left w:w="0" w:type="dxa"/>
          <w:bottom w:w="0" w:type="dxa"/>
          <w:right w:w="0" w:type="dxa"/>
        </w:tblCellMar>
      </w:tblPr>
      <w:tblGrid>
        <w:gridCol w:w="4325"/>
        <w:gridCol w:w="60"/>
        <w:gridCol w:w="125"/>
        <w:gridCol w:w="695"/>
        <w:gridCol w:w="60"/>
        <w:gridCol w:w="60"/>
        <w:gridCol w:w="125"/>
        <w:gridCol w:w="695"/>
        <w:gridCol w:w="75"/>
      </w:tblGrid>
      <w:tr>
        <w:trPr/>
        <w:tc>
          <w:tcPr>
            <w:tcW w:w="432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76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w:t>
            </w:r>
          </w:p>
        </w:tc>
        <w:tc>
          <w:tcPr>
            <w:tcW w:w="75" w:type="dxa"/>
            <w:tcBorders/>
            <w:vAlign w:val="bottom"/>
          </w:tcPr>
          <w:p>
            <w:pPr>
              <w:pStyle w:val="TableContents"/>
              <w:bidi w:val="0"/>
              <w:spacing w:before="0" w:after="283"/>
              <w:jc w:val="left"/>
              <w:rPr/>
            </w:pPr>
            <w:r>
              <w:rPr/>
              <w:t> </w:t>
            </w:r>
          </w:p>
        </w:tc>
      </w:tr>
      <w:tr>
        <w:trPr/>
        <w:tc>
          <w:tcPr>
            <w:tcW w:w="43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75" w:type="dxa"/>
            <w:tcBorders/>
            <w:vAlign w:val="bottom"/>
          </w:tcPr>
          <w:p>
            <w:pPr>
              <w:pStyle w:val="TableContents"/>
              <w:bidi w:val="0"/>
              <w:spacing w:before="0" w:after="283"/>
              <w:jc w:val="left"/>
              <w:rPr/>
            </w:pPr>
            <w:r>
              <w:rPr/>
              <w:t> </w:t>
            </w:r>
          </w:p>
        </w:tc>
      </w:tr>
      <w:tr>
        <w:trPr/>
        <w:tc>
          <w:tcPr>
            <w:tcW w:w="432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Accrued sales force commissions and other payments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59,509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68,431</w:t>
            </w:r>
          </w:p>
        </w:tc>
        <w:tc>
          <w:tcPr>
            <w:tcW w:w="75" w:type="dxa"/>
            <w:tcBorders/>
            <w:shd w:fill="CCEEFF" w:val="clear"/>
            <w:vAlign w:val="bottom"/>
          </w:tcPr>
          <w:p>
            <w:pPr>
              <w:pStyle w:val="TableContents"/>
              <w:bidi w:val="0"/>
              <w:spacing w:before="0" w:after="283"/>
              <w:jc w:val="left"/>
              <w:rPr/>
            </w:pPr>
            <w:r>
              <w:rPr/>
              <w:t> </w:t>
            </w:r>
          </w:p>
        </w:tc>
      </w:tr>
      <w:tr>
        <w:trPr/>
        <w:tc>
          <w:tcPr>
            <w:tcW w:w="4325" w:type="dxa"/>
            <w:tcBorders/>
            <w:vAlign w:val="bottom"/>
          </w:tcPr>
          <w:p>
            <w:pPr>
              <w:pStyle w:val="TableContents"/>
              <w:bidi w:val="0"/>
              <w:spacing w:before="0" w:after="283"/>
              <w:jc w:val="left"/>
              <w:rPr/>
            </w:pPr>
            <w:r>
              <w:rPr/>
              <w:t xml:space="preserve">Accrued income taxes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7,349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w:t>
            </w:r>
          </w:p>
        </w:tc>
        <w:tc>
          <w:tcPr>
            <w:tcW w:w="75" w:type="dxa"/>
            <w:tcBorders/>
            <w:vAlign w:val="bottom"/>
          </w:tcPr>
          <w:p>
            <w:pPr>
              <w:pStyle w:val="TableContents"/>
              <w:bidi w:val="0"/>
              <w:spacing w:before="0" w:after="283"/>
              <w:jc w:val="left"/>
              <w:rPr/>
            </w:pPr>
            <w:r>
              <w:rPr/>
              <w:t> </w:t>
            </w:r>
          </w:p>
        </w:tc>
      </w:tr>
      <w:tr>
        <w:trPr/>
        <w:tc>
          <w:tcPr>
            <w:tcW w:w="432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Accrued other taxes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16,990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22,140</w:t>
            </w:r>
          </w:p>
        </w:tc>
        <w:tc>
          <w:tcPr>
            <w:tcW w:w="75" w:type="dxa"/>
            <w:tcBorders/>
            <w:shd w:fill="CCEEFF" w:val="clear"/>
            <w:vAlign w:val="bottom"/>
          </w:tcPr>
          <w:p>
            <w:pPr>
              <w:pStyle w:val="TableContents"/>
              <w:bidi w:val="0"/>
              <w:spacing w:before="0" w:after="283"/>
              <w:jc w:val="left"/>
              <w:rPr/>
            </w:pPr>
            <w:r>
              <w:rPr/>
              <w:t> </w:t>
            </w:r>
          </w:p>
        </w:tc>
      </w:tr>
      <w:tr>
        <w:trPr/>
        <w:tc>
          <w:tcPr>
            <w:tcW w:w="432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Accrued payroll and other employee expenses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25,081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28,774</w:t>
            </w:r>
          </w:p>
        </w:tc>
        <w:tc>
          <w:tcPr>
            <w:tcW w:w="75" w:type="dxa"/>
            <w:tcBorders/>
            <w:vAlign w:val="bottom"/>
          </w:tcPr>
          <w:p>
            <w:pPr>
              <w:pStyle w:val="TableContents"/>
              <w:bidi w:val="0"/>
              <w:spacing w:before="0" w:after="283"/>
              <w:jc w:val="left"/>
              <w:rPr/>
            </w:pPr>
            <w:r>
              <w:rPr/>
              <w:t> </w:t>
            </w:r>
          </w:p>
        </w:tc>
      </w:tr>
      <w:tr>
        <w:trPr/>
        <w:tc>
          <w:tcPr>
            <w:tcW w:w="432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Accrued payable to vendors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13,802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18,667</w:t>
            </w:r>
          </w:p>
        </w:tc>
        <w:tc>
          <w:tcPr>
            <w:tcW w:w="75" w:type="dxa"/>
            <w:tcBorders/>
            <w:shd w:fill="CCEEFF" w:val="clear"/>
            <w:vAlign w:val="bottom"/>
          </w:tcPr>
          <w:p>
            <w:pPr>
              <w:pStyle w:val="TableContents"/>
              <w:bidi w:val="0"/>
              <w:spacing w:before="0" w:after="283"/>
              <w:jc w:val="left"/>
              <w:rPr/>
            </w:pPr>
            <w:r>
              <w:rPr/>
              <w:t> </w:t>
            </w:r>
          </w:p>
        </w:tc>
      </w:tr>
      <w:tr>
        <w:trPr/>
        <w:tc>
          <w:tcPr>
            <w:tcW w:w="4325" w:type="dxa"/>
            <w:tcBorders/>
            <w:vAlign w:val="bottom"/>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Short-term operating lease liability</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18,440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17,922</w:t>
            </w:r>
          </w:p>
        </w:tc>
        <w:tc>
          <w:tcPr>
            <w:tcW w:w="75" w:type="dxa"/>
            <w:tcBorders/>
            <w:vAlign w:val="bottom"/>
          </w:tcPr>
          <w:p>
            <w:pPr>
              <w:pStyle w:val="TableContents"/>
              <w:bidi w:val="0"/>
              <w:spacing w:before="0" w:after="283"/>
              <w:jc w:val="left"/>
              <w:rPr/>
            </w:pPr>
            <w:r>
              <w:rPr/>
              <w:t> </w:t>
            </w:r>
          </w:p>
        </w:tc>
      </w:tr>
      <w:tr>
        <w:trPr/>
        <w:tc>
          <w:tcPr>
            <w:tcW w:w="4325"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Short-term liability for deferred compensation plan</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3,436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4,419</w:t>
            </w:r>
          </w:p>
        </w:tc>
        <w:tc>
          <w:tcPr>
            <w:tcW w:w="75" w:type="dxa"/>
            <w:tcBorders/>
            <w:shd w:fill="CCEEFF" w:val="clear"/>
            <w:vAlign w:val="bottom"/>
          </w:tcPr>
          <w:p>
            <w:pPr>
              <w:pStyle w:val="TableContents"/>
              <w:bidi w:val="0"/>
              <w:spacing w:before="0" w:after="283"/>
              <w:jc w:val="left"/>
              <w:rPr/>
            </w:pPr>
            <w:r>
              <w:rPr/>
              <w:t> </w:t>
            </w:r>
          </w:p>
        </w:tc>
      </w:tr>
      <w:tr>
        <w:trPr/>
        <w:tc>
          <w:tcPr>
            <w:tcW w:w="432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Accrued royalties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574</w:t>
            </w:r>
          </w:p>
        </w:tc>
        <w:tc>
          <w:tcPr>
            <w:tcW w:w="75" w:type="dxa"/>
            <w:tcBorders/>
            <w:vAlign w:val="bottom"/>
          </w:tcPr>
          <w:p>
            <w:pPr>
              <w:pStyle w:val="TableContents"/>
              <w:bidi w:val="0"/>
              <w:spacing w:before="0" w:after="283"/>
              <w:jc w:val="left"/>
              <w:rPr/>
            </w:pPr>
            <w:r>
              <w:rPr/>
              <w:t> </w:t>
            </w:r>
          </w:p>
        </w:tc>
      </w:tr>
      <w:tr>
        <w:trPr/>
        <w:tc>
          <w:tcPr>
            <w:tcW w:w="432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Sales return reserve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5,548</w:t>
            </w:r>
          </w:p>
        </w:tc>
        <w:tc>
          <w:tcPr>
            <w:tcW w:w="75" w:type="dxa"/>
            <w:tcBorders/>
            <w:shd w:fill="CCEEFF" w:val="clear"/>
            <w:vAlign w:val="bottom"/>
          </w:tcPr>
          <w:p>
            <w:pPr>
              <w:pStyle w:val="TableContents"/>
              <w:bidi w:val="0"/>
              <w:spacing w:before="0" w:after="283"/>
              <w:jc w:val="left"/>
              <w:rPr/>
            </w:pPr>
            <w:r>
              <w:rPr/>
              <w:t> </w:t>
            </w:r>
          </w:p>
        </w:tc>
      </w:tr>
      <w:tr>
        <w:trPr/>
        <w:tc>
          <w:tcPr>
            <w:tcW w:w="432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Deferred revenue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12,737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15,688</w:t>
            </w:r>
          </w:p>
        </w:tc>
        <w:tc>
          <w:tcPr>
            <w:tcW w:w="75" w:type="dxa"/>
            <w:tcBorders/>
            <w:vAlign w:val="bottom"/>
          </w:tcPr>
          <w:p>
            <w:pPr>
              <w:pStyle w:val="TableContents"/>
              <w:bidi w:val="0"/>
              <w:spacing w:before="0" w:after="283"/>
              <w:jc w:val="left"/>
              <w:rPr/>
            </w:pPr>
            <w:r>
              <w:rPr/>
              <w:t> </w:t>
            </w:r>
          </w:p>
        </w:tc>
      </w:tr>
      <w:tr>
        <w:trPr/>
        <w:tc>
          <w:tcPr>
            <w:tcW w:w="4325" w:type="dxa"/>
            <w:tcBorders/>
            <w:shd w:fill="CCEEFF" w:val="clear"/>
            <w:vAlign w:val="bottom"/>
          </w:tcPr>
          <w:p>
            <w:pPr>
              <w:pStyle w:val="TableContents"/>
              <w:bidi w:val="0"/>
              <w:spacing w:before="0" w:after="283"/>
              <w:jc w:val="left"/>
              <w:rPr/>
            </w:pPr>
            <w:r>
              <w:rPr/>
              <w:t>Reserve for other tax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21,865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w:t>
            </w:r>
          </w:p>
        </w:tc>
        <w:tc>
          <w:tcPr>
            <w:tcW w:w="75" w:type="dxa"/>
            <w:tcBorders/>
            <w:shd w:fill="CCEEFF" w:val="clear"/>
            <w:vAlign w:val="bottom"/>
          </w:tcPr>
          <w:p>
            <w:pPr>
              <w:pStyle w:val="TableContents"/>
              <w:bidi w:val="0"/>
              <w:spacing w:before="0" w:after="283"/>
              <w:jc w:val="left"/>
              <w:rPr/>
            </w:pPr>
            <w:r>
              <w:rPr/>
              <w:t> </w:t>
            </w:r>
          </w:p>
        </w:tc>
      </w:tr>
      <w:tr>
        <w:trPr/>
        <w:tc>
          <w:tcPr>
            <w:tcW w:w="432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Other</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35,499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35,645</w:t>
            </w:r>
          </w:p>
        </w:tc>
        <w:tc>
          <w:tcPr>
            <w:tcW w:w="75" w:type="dxa"/>
            <w:tcBorders/>
            <w:vAlign w:val="bottom"/>
          </w:tcPr>
          <w:p>
            <w:pPr>
              <w:pStyle w:val="TableContents"/>
              <w:bidi w:val="0"/>
              <w:spacing w:before="0" w:after="283"/>
              <w:jc w:val="left"/>
              <w:rPr/>
            </w:pPr>
            <w:r>
              <w:rPr/>
              <w:t> </w:t>
            </w:r>
          </w:p>
        </w:tc>
      </w:tr>
      <w:tr>
        <w:trPr/>
        <w:tc>
          <w:tcPr>
            <w:tcW w:w="432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Total accrued expenses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217,551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217,808</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Other liabilities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Other liabilities consist of the following (U.S. dollars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5005" w:type="dxa"/>
        <w:jc w:val="left"/>
        <w:tblInd w:w="0" w:type="dxa"/>
        <w:tblLayout w:type="fixed"/>
        <w:tblCellMar>
          <w:top w:w="0" w:type="dxa"/>
          <w:left w:w="0" w:type="dxa"/>
          <w:bottom w:w="0" w:type="dxa"/>
          <w:right w:w="0" w:type="dxa"/>
        </w:tblCellMar>
      </w:tblPr>
      <w:tblGrid>
        <w:gridCol w:w="3320"/>
        <w:gridCol w:w="60"/>
        <w:gridCol w:w="125"/>
        <w:gridCol w:w="590"/>
        <w:gridCol w:w="60"/>
        <w:gridCol w:w="60"/>
        <w:gridCol w:w="125"/>
        <w:gridCol w:w="590"/>
        <w:gridCol w:w="75"/>
      </w:tblGrid>
      <w:tr>
        <w:trPr/>
        <w:tc>
          <w:tcPr>
            <w:tcW w:w="332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55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w:t>
            </w:r>
          </w:p>
        </w:tc>
        <w:tc>
          <w:tcPr>
            <w:tcW w:w="75" w:type="dxa"/>
            <w:tcBorders/>
            <w:vAlign w:val="bottom"/>
          </w:tcPr>
          <w:p>
            <w:pPr>
              <w:pStyle w:val="TableContents"/>
              <w:bidi w:val="0"/>
              <w:spacing w:before="0" w:after="283"/>
              <w:jc w:val="left"/>
              <w:rPr/>
            </w:pPr>
            <w:r>
              <w:rPr/>
              <w:t> </w:t>
            </w:r>
          </w:p>
        </w:tc>
      </w:tr>
      <w:tr>
        <w:trPr/>
        <w:tc>
          <w:tcPr>
            <w:tcW w:w="3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75" w:type="dxa"/>
            <w:tcBorders/>
            <w:vAlign w:val="bottom"/>
          </w:tcPr>
          <w:p>
            <w:pPr>
              <w:pStyle w:val="TableContents"/>
              <w:bidi w:val="0"/>
              <w:spacing w:before="0" w:after="283"/>
              <w:jc w:val="left"/>
              <w:rPr/>
            </w:pPr>
            <w:r>
              <w:rPr/>
              <w:t> </w:t>
            </w:r>
          </w:p>
        </w:tc>
      </w:tr>
      <w:tr>
        <w:trPr/>
        <w:tc>
          <w:tcPr>
            <w:tcW w:w="332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Deferred tax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345</w:t>
            </w:r>
          </w:p>
        </w:tc>
        <w:tc>
          <w:tcPr>
            <w:tcW w:w="75" w:type="dxa"/>
            <w:tcBorders/>
            <w:shd w:fill="CCEEFF" w:val="clear"/>
            <w:vAlign w:val="bottom"/>
          </w:tcPr>
          <w:p>
            <w:pPr>
              <w:pStyle w:val="TableContents"/>
              <w:bidi w:val="0"/>
              <w:spacing w:before="0" w:after="283"/>
              <w:jc w:val="left"/>
              <w:rPr/>
            </w:pPr>
            <w:r>
              <w:rPr/>
              <w:t> </w:t>
            </w:r>
          </w:p>
        </w:tc>
      </w:tr>
      <w:tr>
        <w:trPr/>
        <w:tc>
          <w:tcPr>
            <w:tcW w:w="332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Reserve for other tax liabilities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15,428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39,521</w:t>
            </w:r>
          </w:p>
        </w:tc>
        <w:tc>
          <w:tcPr>
            <w:tcW w:w="75" w:type="dxa"/>
            <w:tcBorders/>
            <w:vAlign w:val="bottom"/>
          </w:tcPr>
          <w:p>
            <w:pPr>
              <w:pStyle w:val="TableContents"/>
              <w:bidi w:val="0"/>
              <w:spacing w:before="0" w:after="283"/>
              <w:jc w:val="left"/>
              <w:rPr/>
            </w:pPr>
            <w:r>
              <w:rPr/>
              <w:t> </w:t>
            </w:r>
          </w:p>
        </w:tc>
      </w:tr>
      <w:tr>
        <w:trPr/>
        <w:tc>
          <w:tcPr>
            <w:tcW w:w="332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Liability for deferred compensation plan</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41,423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38,568</w:t>
            </w:r>
          </w:p>
        </w:tc>
        <w:tc>
          <w:tcPr>
            <w:tcW w:w="75" w:type="dxa"/>
            <w:tcBorders/>
            <w:shd w:fill="CCEEFF" w:val="clear"/>
            <w:vAlign w:val="bottom"/>
          </w:tcPr>
          <w:p>
            <w:pPr>
              <w:pStyle w:val="TableContents"/>
              <w:bidi w:val="0"/>
              <w:spacing w:before="0" w:after="283"/>
              <w:jc w:val="left"/>
              <w:rPr/>
            </w:pPr>
            <w:r>
              <w:rPr/>
              <w:t> </w:t>
            </w:r>
          </w:p>
        </w:tc>
      </w:tr>
      <w:tr>
        <w:trPr/>
        <w:tc>
          <w:tcPr>
            <w:tcW w:w="33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Finance lease liabilities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6,346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8,251</w:t>
            </w:r>
          </w:p>
        </w:tc>
        <w:tc>
          <w:tcPr>
            <w:tcW w:w="75" w:type="dxa"/>
            <w:tcBorders/>
            <w:vAlign w:val="bottom"/>
          </w:tcPr>
          <w:p>
            <w:pPr>
              <w:pStyle w:val="TableContents"/>
              <w:bidi w:val="0"/>
              <w:spacing w:before="0" w:after="283"/>
              <w:jc w:val="left"/>
              <w:rPr/>
            </w:pPr>
            <w:r>
              <w:rPr/>
              <w:t> </w:t>
            </w:r>
          </w:p>
        </w:tc>
      </w:tr>
      <w:tr>
        <w:trPr/>
        <w:tc>
          <w:tcPr>
            <w:tcW w:w="332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Asset retirement obligation</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3,873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3,312</w:t>
            </w:r>
          </w:p>
        </w:tc>
        <w:tc>
          <w:tcPr>
            <w:tcW w:w="75" w:type="dxa"/>
            <w:tcBorders/>
            <w:shd w:fill="CCEEFF" w:val="clear"/>
            <w:vAlign w:val="bottom"/>
          </w:tcPr>
          <w:p>
            <w:pPr>
              <w:pStyle w:val="TableContents"/>
              <w:bidi w:val="0"/>
              <w:spacing w:before="0" w:after="283"/>
              <w:jc w:val="left"/>
              <w:rPr/>
            </w:pPr>
            <w:r>
              <w:rPr/>
              <w:t> </w:t>
            </w:r>
          </w:p>
        </w:tc>
      </w:tr>
      <w:tr>
        <w:trPr/>
        <w:tc>
          <w:tcPr>
            <w:tcW w:w="332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Other</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7,132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7,478</w:t>
            </w:r>
          </w:p>
        </w:tc>
        <w:tc>
          <w:tcPr>
            <w:tcW w:w="75" w:type="dxa"/>
            <w:tcBorders/>
            <w:vAlign w:val="bottom"/>
          </w:tcPr>
          <w:p>
            <w:pPr>
              <w:pStyle w:val="TableContents"/>
              <w:bidi w:val="0"/>
              <w:spacing w:before="0" w:after="283"/>
              <w:jc w:val="left"/>
              <w:rPr/>
            </w:pPr>
            <w:r>
              <w:rPr/>
              <w:t> </w:t>
            </w:r>
          </w:p>
        </w:tc>
      </w:tr>
      <w:tr>
        <w:trPr/>
        <w:tc>
          <w:tcPr>
            <w:tcW w:w="332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Total other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74,512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97,475</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75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Revenue recognition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Net sales include products and shipping and handling charges, net of estimates for product returns and any related sales incentives. Revenue is measured as the amount of consideration we expect to receive in exchange for transferring products. All revenue is recognized when we satisfy our performance obligations under the contract. The Company recognizes revenue by transferring the promised products to the customer, with revenue primarily recognized at shipping point, the point in time the customer obtains control of the products. The Company accounts for shipping and handling activities after control of a product is transferred to a customer as fulfillment costs and not as a separate performance obligation. A reserve for product returns is accrued based on historical experience totaling $2.3 million and $5.5 million as of December 31, 2025 and 2024, respectively. During the years ended December 31, 2025, 2024 and 2023, the Company recorded sales returns of $25.5 million, $36.7 million and $34.7 million, respectively. The majority of the Company’s contracts have a single performance obligation and are short term in nature. As a practical expedient, the Company has elected not to disclose the value of unsatisfied performance obligations for contracts with an expected length of less than one year. Sales taxes and value added taxes in foreign jurisdictions that are collected from customers and remitted to governmental authorities are accounted for on a net basis and therefore are excluded from net sales.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b w:val="false"/>
          <w:i/>
          <w:caps w:val="false"/>
          <w:smallCaps w:val="false"/>
          <w:color w:val="000000"/>
          <w:sz w:val="20"/>
          <w:shd w:fill="FFFFFF" w:val="clear"/>
        </w:rPr>
        <w:t>Contract Liabilities – Customer Loyalty Programs</w:t>
      </w:r>
      <w:r>
        <w:rPr>
          <w:rFonts w:ascii="Times New Roman" w:hAnsi="Times New Roman"/>
          <w:color w:val="000000"/>
          <w:sz w:val="20"/>
          <w:shd w:fill="FFFFFF" w:val="clear"/>
        </w:rPr>
        <w:t xml:space="preserve">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w:t>
      </w:r>
      <w:r>
        <w:rPr>
          <w:rFonts w:ascii="Times New Roman" w:hAnsi="Times New Roman"/>
          <w:b w:val="false"/>
          <w:i w:val="false"/>
          <w:caps w:val="false"/>
          <w:smallCaps w:val="false"/>
          <w:color w:val="000000"/>
          <w:sz w:val="20"/>
          <w:shd w:fill="FFFFFF" w:val="clear"/>
        </w:rPr>
        <w:t>ontract liabilities, recorded as deferred revenue within the accrued expenses line in the consolidated balance sheets, include loyalty point program deferrals with certain customers which are accounted for as a reduction in the transaction price and are generally recognized as points are redeemed for additional products.</w:t>
      </w:r>
    </w:p>
    <w:p>
      <w:pPr>
        <w:pStyle w:val="TextBody"/>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balance of deferred revenue related to contract liabilities was $7.2 million and $7.8 million as of December 31, 2025, and 2024, respectively. The contract liabilities impact to revenue for the years ended December 31, 2025, 2024 and 2023 was an increase of $0.6 million, $4.8 million and $6.1 million, respectively.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Disaggregation of Revenue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Please refer to Note 16 - Segment Information for revenue by segment and product line.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Arrangements with Multiple Performance Obligations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Company’s contracts with customers may include multiple performance obligations. For such arrangements, which are immaterial to the current and prior period financial statements, the Company allocates revenues to each performance obligation based on its relative standalone selling price. The Company generally determines standalone selling prices based on the prices charged to customers for individual products sales to customers.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Shipping and handling costs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Shipping and handling costs are recorded as cost of sales and are expensed as incurred.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Advertising expenses</w:t>
      </w:r>
    </w:p>
    <w:p>
      <w:pPr>
        <w:pStyle w:val="TextBody"/>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Advertising costs are expensed as incurred and are included in general and administrative expenses in the accompanying consolidated statements of income. Advertising expense incurred for the years ended December 31, 2025, 2024 and 2023 totaled $19.0 million, $17.4 million and $18.0 million, respectively.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Selling expenses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Selling expenses are the Company’s most significant expense and are classified as operating expenses. Selling expenses include commissions the Company pays to its Brand Affiliates, as well as salaries, service fees, benefits, bonuses and other labor and unemployment expenses the Company pays to its sales force in Mainland China. Selling expenses do not include amounts the Company pays to its sales force based on their personal purchases; rather, such amounts are reflected as reductions to revenue. The term “Brand Affiliates” refers to members of the Company’s independent sales force in all of the Company’s markets besides Mainland China. In each of the Company’s markets, except Mainland China, Sales Leaders can earn “multi-level” compensation under the Company’s global sales compensation plan, including commissions for product sales to their consumer groups as well as the product sales made through the sales network they have developed and trained. The Company does not pay commissions on sales materials.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Outside of Mainland China, the Company’s Brand Affiliates may make profits by purchasing the products from the Company at a discount and selling them to consumers with a mark-up. The Company does not account for nor pay additional commissions on these mark-ups received by Brand Affiliates. In many markets, the Company also allows individuals who are not members of its sales force, referred to as “preferred customers,” to buy products directly from the Company at a discount. The Company pays commissions on preferred customer purchases to the referring member of its sales force.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76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Research and development</w:t>
      </w:r>
    </w:p>
    <w:p>
      <w:pPr>
        <w:pStyle w:val="TextBody"/>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Research and development costs are expensed as incurred and are included in general and administrative expenses in the accompanying consolidated statements of income and totaled $10.8 million, $13.0 million and $22.6 million in 2025, 2024 and 2023, respectively.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Deferred tax assets and liabilities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accounts for income taxes in accordance with the Income Taxes Topic of the Financial Accounting Standards Codification. These standards establish financial accounting and reporting standards for the effects of income taxes that result from an enterprise’s activities during the current and preceding years. The Company takes an asset and liability approach for financial accounting and reporting of income taxes. The Company pays income taxes in many foreign jurisdictions based on the profits realized in those jurisdictions, which can be significantly impacted by terms of intercompany transactions between the Company and its foreign affiliates. Deferred tax assets and liabilities are created in this process. The Company has netted these deferred tax assets and deferred tax liabilities by jurisdiction. These deferred tax assets assume sufficient future earnings will exist for their realization and are calculated using anticipated tax rates. Valuation allowances are established when necessary to reduce deferred tax assets to the amounts expected to be ultimately realized.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Uncertain tax positions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files income tax returns in the U.S. federal jurisdiction, and in various state and foreign jurisdictions. In 2009, we entered into a voluntary program with the IRS called Compliance Assurance Process (“CAP”). Under the CAP program, the IRS audits the tax position of the Company to identify and resolve any tax issues that may arise throughout the tax year. In 2022 the IRS developed a new phase called “Bridge Plus.” Under Bridge Plus the taxpayer is required to provide book-to-tax reconciliations, credit utilization and other supporting documentation shortly after their audited financial statement is finalized. The Company has been selected for the Bridge Plus phase each year since the 2022 tax year. As of December 31, 2025, all open tax years except 2021 &amp; 2024 have been audited and are effectively closed to further examination. For the tax year 2021, the Company was in the Bridge phase of the CAP program, pursuant to which the IRS did not accept disclosures, did not conduct reviews and did not provide letters of assurance for the year. There are limited circumstances that tax years in the Bridge phase will be opened for examination. For the tax year 2024, the company has provided all required documentation to the IRS and is waiting for the IRS to issue their Full Acceptance Letter to indicate the audit is complete and the period is closed. With a few exceptions, we are no longer subject to state and local income tax examination by tax authorities for the years before 2022. Foreign jurisdictions have varying lengths of statutes of limitations for income tax examinations. Some statutes are as short as three years and in certain markets may be as long as ten years. The Company is currently under examination in certain foreign jurisdictions; however, the outcomes of those reviews are not yet determinable.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 reconciliation of the beginning and ending amount of unrecognized tax benefits included in other liabilities is as follows (U.S. dollars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6440" w:type="dxa"/>
        <w:jc w:val="left"/>
        <w:tblInd w:w="0" w:type="dxa"/>
        <w:tblLayout w:type="fixed"/>
        <w:tblCellMar>
          <w:top w:w="0" w:type="dxa"/>
          <w:left w:w="0" w:type="dxa"/>
          <w:bottom w:w="0" w:type="dxa"/>
          <w:right w:w="0" w:type="dxa"/>
        </w:tblCellMar>
      </w:tblPr>
      <w:tblGrid>
        <w:gridCol w:w="3860"/>
        <w:gridCol w:w="60"/>
        <w:gridCol w:w="125"/>
        <w:gridCol w:w="590"/>
        <w:gridCol w:w="80"/>
        <w:gridCol w:w="60"/>
        <w:gridCol w:w="125"/>
        <w:gridCol w:w="590"/>
        <w:gridCol w:w="80"/>
        <w:gridCol w:w="60"/>
        <w:gridCol w:w="125"/>
        <w:gridCol w:w="590"/>
        <w:gridCol w:w="95"/>
      </w:tblGrid>
      <w:tr>
        <w:trPr/>
        <w:tc>
          <w:tcPr>
            <w:tcW w:w="386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95" w:type="dxa"/>
            <w:tcBorders/>
            <w:vAlign w:val="bottom"/>
          </w:tcPr>
          <w:p>
            <w:pPr>
              <w:pStyle w:val="TableContents"/>
              <w:bidi w:val="0"/>
              <w:spacing w:before="0" w:after="283"/>
              <w:jc w:val="left"/>
              <w:rPr/>
            </w:pPr>
            <w:r>
              <w:rPr/>
              <w:t> </w:t>
            </w:r>
          </w:p>
        </w:tc>
      </w:tr>
      <w:tr>
        <w:trPr/>
        <w:tc>
          <w:tcPr>
            <w:tcW w:w="386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Gross balance at January 1</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25,866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22,002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23,099</w:t>
            </w:r>
          </w:p>
        </w:tc>
        <w:tc>
          <w:tcPr>
            <w:tcW w:w="95" w:type="dxa"/>
            <w:tcBorders/>
            <w:shd w:fill="CCEEFF" w:val="clear"/>
            <w:vAlign w:val="bottom"/>
          </w:tcPr>
          <w:p>
            <w:pPr>
              <w:pStyle w:val="TableContents"/>
              <w:bidi w:val="0"/>
              <w:spacing w:before="0" w:after="283"/>
              <w:jc w:val="left"/>
              <w:rPr/>
            </w:pPr>
            <w:r>
              <w:rPr/>
              <w:t> </w:t>
            </w:r>
          </w:p>
        </w:tc>
      </w:tr>
      <w:tr>
        <w:trPr/>
        <w:tc>
          <w:tcPr>
            <w:tcW w:w="386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Increases related to prior year tax positions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551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2,858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180</w:t>
            </w:r>
          </w:p>
        </w:tc>
        <w:tc>
          <w:tcPr>
            <w:tcW w:w="95" w:type="dxa"/>
            <w:tcBorders/>
            <w:vAlign w:val="bottom"/>
          </w:tcPr>
          <w:p>
            <w:pPr>
              <w:pStyle w:val="TableContents"/>
              <w:bidi w:val="0"/>
              <w:spacing w:before="0" w:after="283"/>
              <w:jc w:val="left"/>
              <w:rPr/>
            </w:pPr>
            <w:r>
              <w:rPr/>
              <w:t> </w:t>
            </w:r>
          </w:p>
        </w:tc>
      </w:tr>
      <w:tr>
        <w:trPr/>
        <w:tc>
          <w:tcPr>
            <w:tcW w:w="386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Increases related to current year tax positions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2,421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5,354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3,065</w:t>
            </w:r>
          </w:p>
        </w:tc>
        <w:tc>
          <w:tcPr>
            <w:tcW w:w="95" w:type="dxa"/>
            <w:tcBorders/>
            <w:shd w:fill="CCEEFF" w:val="clear"/>
            <w:vAlign w:val="bottom"/>
          </w:tcPr>
          <w:p>
            <w:pPr>
              <w:pStyle w:val="TableContents"/>
              <w:bidi w:val="0"/>
              <w:spacing w:before="0" w:after="283"/>
              <w:jc w:val="left"/>
              <w:rPr/>
            </w:pPr>
            <w:r>
              <w:rPr/>
              <w:t> </w:t>
            </w:r>
          </w:p>
        </w:tc>
      </w:tr>
      <w:tr>
        <w:trPr/>
        <w:tc>
          <w:tcPr>
            <w:tcW w:w="386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Settlements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(8,244</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(2,299</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(2,378</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86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Decreases due to lapse of statutes of limitations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(307</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(489</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(1,284</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86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Currency adjustments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1,525</w:t>
            </w:r>
          </w:p>
        </w:tc>
        <w:tc>
          <w:tcPr>
            <w:tcW w:w="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(1,560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(680</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86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Gross balance at December 31</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21,812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25,866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22,002</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At December 31, 2025, the Company had $21.8 million in unrecognized tax benefits, all of which, if recognized, would affect the effective tax rate. In comparison, at December 31, 2024, the Company had $25.9 million in unrecognized tax benefits, all of which, if recognized, would affect the effective tax rate. The Company’s unrecognized tax benefits relate to multiple foreign and domestic jurisdictions. Potential changes in unrecognized tax benefits can arise from the multiple jurisdictions in which the Company operates, as well as the expiration of various statutes of limitation and possible completion of tax examinations.</w:t>
      </w:r>
    </w:p>
    <w:p>
      <w:pPr>
        <w:pStyle w:val="TextBody"/>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During the years ended December 31, 2025, 2024, and 2023 the Company recognized $1.8 million, $0.7 million, and $0.6 million, respectively, in interest and penalties expenses related to uncertain tax positions. The Company had $15.5 million, $13.7 million, and $13.0 million of accrued interest and penalties related to uncertain tax positions at December 31, 2025, 2024, and 2023, respectively. Interest and penalties related to uncertain tax positions are recognized as a component of income tax expense.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77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Net income per share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income per share is computed based on the weighted-average number of common shares outstanding during the periods presented. Additionally, diluted earnings per share data gives effect to all potentially dilutive common shares that were outstanding during the periods presented (Note 9).</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Foreign currency translation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 significant portion of the Company’s business operations occurs outside of the United States. The local currency of each of the Company’s Subsidiaries is considered its functional currency, except for the Company’s subsidiaries in Singapore and countries deemed highly inflationary where the U.S. dollar is used. All assets and liabilities are translated into U.S. dollars at exchange rates existing at the balance sheet dates, revenue and expenses are translated at weighted-average exchange rates and stockholders’ equity is recorded at historical exchange rates. The resulting foreign currency translation adjustments are recorded as a separate component of stockholders’ equity in the consolidated balance sheets and transaction gains and losses are included in other income (expense), net in the consolidated statements of income. Net of tax, the accumulated other comprehensive loss related to the foreign currency translation adjustments are $116.1 million (net of tax of $7.8 million), $128.4 million (net of tax of $7.8 million), and $110.0 million (net of tax of $7.4 million), at December 31, 2025, 2024 and 2023, respectively.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Classification of a highly inflationary economy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2" w:right="2" w:hanging="0"/>
        <w:jc w:val="both"/>
        <w:rPr>
          <w:rFonts w:ascii="Times New Roman" w:hAnsi="Times New Roman"/>
          <w:color w:val="000000"/>
          <w:sz w:val="20"/>
          <w:shd w:fill="FFFFFF" w:val="clear"/>
        </w:rPr>
      </w:pPr>
      <w:r>
        <w:rPr>
          <w:rFonts w:ascii="Times New Roman" w:hAnsi="Times New Roman"/>
          <w:color w:val="000000"/>
          <w:sz w:val="20"/>
          <w:shd w:fill="FFFFFF" w:val="clear"/>
        </w:rPr>
        <w:t>A market is considered to have a highly inflationary economy if it has a cumulative inflation rate of approximately 100% or more over a three-year period as well as other qualitative factors including historic inflation rate trends (increasing and decreasing), the capital intensiveness of the operation and other pertinent economic factors. The functional currency in highly inflationary economies is required to be the functional currency of the entity’s parent company, and transactions denominated in the local currency are remeasured to the functional currency. The remeasurement of local currency into U.S. dollars creates foreign currency transaction gains or losses, which the Company includes in its consolidated statements of income.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the second quarter of 2018, published inflation indices indicated that the three-year cumulative inflation in Argentina exceeded 100 percent, and as of July 1, 2018, we elected to adopt highly inflationary accounting for our subsidiary in Argentina. Under highly inflationary accounting, Argentina’s functional currency became the U.S. dollar, and its income statement and balance sheet have been measured in U.S. dollars using both current and historical rates of exchange. The effect of changes in exchange rates on peso-denominated monetary assets and liabilities has been reflected in earnings in other income (expense), net and was not material. As of December 31, 2025, and 2024, Argentina had a small net peso monetary position. Net sales of Argentina were less than 4 percent of our consolidated net sales for the years ended December 31, 2025, 2024 and 2023.</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Fair value of financial instruments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carrying value of financial instruments including cash and cash equivalents, accounts receivable and accounts payable approximate fair values due to the short-term nature of these instruments. The Company’s current investments as of December 31, 2025 include certificates of deposits and pre-refunded municipal bonds that are classified by management as held-to-maturity as the Company had the positive intent and ability to hold to maturity. The carrying value of these current investments approximate fair values due to the short-term nature of these instruments. As of December 31, 2025 and 2024, the fair value of debt was $225.0 million and $395.0 million, respectively. The fair value of the Company’s debt is estimated using level 2 inputs based on interest rates available for debt with similar terms and remaining maturities.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FASB Codification defines fair value as the price that would be received to sell an asset or paid to transfer a liability in the principal or most advantageous market for the asset or liability in an orderly transaction between market participants at the measurement date. On a quarterly basis, the Company measures at fair value certain financial assets, including cash equivalents. Accounting standards specify a hierarchy of valuation techniques based on whether the inputs to those valuation techniques are observable or unobservable. Observable inputs reflect data obtained from independent sources, while unobservable inputs reflect the Company’s market assumptions. These two types of inputs have created the following fair-value hierarchy:</w:t>
      </w:r>
    </w:p>
    <w:p>
      <w:pPr>
        <w:pStyle w:val="TextBody"/>
        <w:bidi w:val="0"/>
        <w:spacing w:before="0" w:after="0"/>
        <w:jc w:val="left"/>
        <w:rPr>
          <w:rFonts w:ascii="Times New Roman" w:hAnsi="Times New Roman"/>
          <w:sz w:val="20"/>
        </w:rPr>
      </w:pPr>
      <w:r>
        <w:rPr>
          <w:rFonts w:ascii="Times New Roman" w:hAnsi="Times New Roman"/>
          <w:sz w:val="20"/>
        </w:rPr>
      </w:r>
    </w:p>
    <w:tbl>
      <w:tblPr>
        <w:tblW w:w="6213" w:type="dxa"/>
        <w:jc w:val="left"/>
        <w:tblInd w:w="0" w:type="dxa"/>
        <w:tblLayout w:type="fixed"/>
        <w:tblCellMar>
          <w:top w:w="0" w:type="dxa"/>
          <w:left w:w="0" w:type="dxa"/>
          <w:bottom w:w="0" w:type="dxa"/>
          <w:right w:w="0" w:type="dxa"/>
        </w:tblCellMar>
      </w:tblPr>
      <w:tblGrid>
        <w:gridCol w:w="38"/>
        <w:gridCol w:w="170"/>
        <w:gridCol w:w="600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60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Level 1 – quoted prices in active markets for identical assets or liabilities;</w:t>
            </w:r>
          </w:p>
        </w:tc>
      </w:tr>
    </w:tbl>
    <w:tbl>
      <w:tblPr>
        <w:tblW w:w="9258" w:type="dxa"/>
        <w:jc w:val="left"/>
        <w:tblInd w:w="0" w:type="dxa"/>
        <w:tblLayout w:type="fixed"/>
        <w:tblCellMar>
          <w:top w:w="0" w:type="dxa"/>
          <w:left w:w="0" w:type="dxa"/>
          <w:bottom w:w="0" w:type="dxa"/>
          <w:right w:w="0" w:type="dxa"/>
        </w:tblCellMar>
      </w:tblPr>
      <w:tblGrid>
        <w:gridCol w:w="38"/>
        <w:gridCol w:w="170"/>
        <w:gridCol w:w="905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Level 2 – inputs, other than the quoted prices in active markets, that are observable either directly or indirectly;</w:t>
            </w:r>
          </w:p>
        </w:tc>
      </w:tr>
    </w:tbl>
    <w:tbl>
      <w:tblPr>
        <w:tblW w:w="6228" w:type="dxa"/>
        <w:jc w:val="left"/>
        <w:tblInd w:w="0" w:type="dxa"/>
        <w:tblLayout w:type="fixed"/>
        <w:tblCellMar>
          <w:top w:w="0" w:type="dxa"/>
          <w:left w:w="0" w:type="dxa"/>
          <w:bottom w:w="0" w:type="dxa"/>
          <w:right w:w="0" w:type="dxa"/>
        </w:tblCellMar>
      </w:tblPr>
      <w:tblGrid>
        <w:gridCol w:w="38"/>
        <w:gridCol w:w="170"/>
        <w:gridCol w:w="602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60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Level 3 – unobservable inputs based on the Company’s own assumptions.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Accounting standards permit companies, at their option, to measure many financial instruments and certain other items at fair value. The Company has elected not to apply the fair value option to existing eligible items.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78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Stock-based compensation</w:t>
      </w:r>
    </w:p>
    <w:p>
      <w:pPr>
        <w:pStyle w:val="TextBody"/>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All share-based payments, including grants of stock options and restricted stock units, are required to be recognized in the Company’s financial statements based upon their respective grant date fair values. The Black-Scholes option-pricing model is used to estimate the fair value of stock options. The determination of the fair value of stock options is affected by the Company’s stock price and a number of assumptions, including expected volatility, expected life, risk-free interest rate and expected dividends. The Company uses historical volatility as the expected volatility assumption required in the Black-Scholes model. The expected life of the stock options is based on historical data trended into the future. The risk-free interest rate assumption is based on observed interest rates appropriate for the expected terms of the Company’s stock options. The fair value of the Company’s restricted stock units is based on the closing market price of its stock on the date of grant less the Company’s expected dividend yield. The Company recognizes stock-based compensation net of actual forfeitures over the requisite service period of the award.</w:t>
      </w:r>
    </w:p>
    <w:p>
      <w:pPr>
        <w:pStyle w:val="TextBody"/>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The total compensation expense related to equity compensation plans was $18.7 million, $14.8 million and $15.6 million for the years ended December 31, 2025, 2024 and 2023, respectively. In 2025, 2024 and 2023, </w:t>
      </w:r>
      <w:r>
        <w:rPr>
          <w:rFonts w:ascii="Times New Roman;Times;serif" w:hAnsi="Times New Roman;Times;serif"/>
          <w:b w:val="false"/>
          <w:i w:val="false"/>
          <w:caps w:val="false"/>
          <w:smallCaps w:val="false"/>
          <w:color w:val="000000"/>
          <w:sz w:val="20"/>
          <w:shd w:fill="FFFFFF" w:val="clear"/>
        </w:rPr>
        <w:t>there were no reversals of expense associated with changes in</w:t>
      </w:r>
      <w:r>
        <w:rPr>
          <w:rFonts w:ascii="Times New Roman" w:hAnsi="Times New Roman"/>
          <w:b w:val="false"/>
          <w:i w:val="false"/>
          <w:caps w:val="false"/>
          <w:smallCaps w:val="false"/>
          <w:color w:val="000000"/>
          <w:sz w:val="20"/>
          <w:shd w:fill="FFFFFF" w:val="clear"/>
        </w:rPr>
        <w:t xml:space="preserve"> the </w:t>
      </w:r>
      <w:r>
        <w:rPr>
          <w:rFonts w:ascii="Times New Roman;Times;serif" w:hAnsi="Times New Roman;Times;serif"/>
          <w:b w:val="false"/>
          <w:i w:val="false"/>
          <w:caps w:val="false"/>
          <w:smallCaps w:val="false"/>
          <w:color w:val="000000"/>
          <w:sz w:val="20"/>
          <w:shd w:fill="FFFFFF" w:val="clear"/>
        </w:rPr>
        <w:t>number</w:t>
      </w:r>
      <w:r>
        <w:rPr>
          <w:rFonts w:ascii="Times New Roman" w:hAnsi="Times New Roman"/>
          <w:b w:val="false"/>
          <w:i w:val="false"/>
          <w:caps w:val="false"/>
          <w:smallCaps w:val="false"/>
          <w:color w:val="000000"/>
          <w:sz w:val="20"/>
          <w:shd w:fill="FFFFFF" w:val="clear"/>
        </w:rPr>
        <w:t xml:space="preserve"> of performance based awards expected to vest. For the years ended December 31, 2025, 2024 and 2023, all stock-based compensation expense was recorded within general and administrative expenses.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Reporting comprehensive income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Comprehensive income is defined as the change in equity of a business enterprise during a period from transactions and other events and circumstances from non-owner sources, and it includes all changes in equity during a period except those resulting from investments by owners and distributions to owners.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Derivative instruments and hedging activities</w:t>
      </w:r>
    </w:p>
    <w:p>
      <w:pPr>
        <w:pStyle w:val="TextBody"/>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FASB ASC 815, </w:t>
      </w:r>
      <w:r>
        <w:rPr>
          <w:rFonts w:ascii="Times New Roman" w:hAnsi="Times New Roman"/>
          <w:b w:val="false"/>
          <w:i/>
          <w:caps w:val="false"/>
          <w:smallCaps w:val="false"/>
          <w:color w:val="000000"/>
          <w:sz w:val="20"/>
          <w:shd w:fill="FFFFFF" w:val="clear"/>
        </w:rPr>
        <w:t>Derivatives and Hedging</w:t>
      </w:r>
      <w:r>
        <w:rPr>
          <w:rFonts w:ascii="Times New Roman" w:hAnsi="Times New Roman"/>
          <w:b w:val="false"/>
          <w:i w:val="false"/>
          <w:caps w:val="false"/>
          <w:smallCaps w:val="false"/>
          <w:color w:val="000000"/>
          <w:sz w:val="20"/>
          <w:shd w:fill="FFFFFF" w:val="clear"/>
        </w:rPr>
        <w:t xml:space="preserve"> (“ASC 815”), provides the disclosure requirements for derivatives and hedging activities with the intent to provide users of financial statements with an enhanced understanding of: (a) how and why an entity uses derivative instruments, (b) how the entity accounts for derivative instruments and related hedged items, and (c) how derivative instruments and related hedged items affect an entity’s financial position, financial performance, and cash flows. Further, qualitative disclosures are required that explain the Company’s objectives and strategies for using derivatives, as well as quantitative disclosures about the fair value of and gains and losses on derivative instruments, and disclosures about credit-risk-related contingent features in derivative instruments.</w:t>
      </w:r>
    </w:p>
    <w:p>
      <w:pPr>
        <w:pStyle w:val="TextBody"/>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As required by ASC 815, the Company records all derivatives on the balance sheet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w:t>
      </w:r>
    </w:p>
    <w:p>
      <w:pPr>
        <w:pStyle w:val="TextBody"/>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 accordance with the FASB’s fair value measurement guidance in ASU 2011-04, the Company made an accounting policy election to measure the credit risk of its derivative financial instruments that are subject to master netting agreements on a net basis by counterparty portfolio.</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Recent accounting pronouncements</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December 2023, the FASB issued ASU 2023-09, </w:t>
      </w:r>
      <w:r>
        <w:rPr>
          <w:rFonts w:ascii="Times New Roman;Times;serif" w:hAnsi="Times New Roman;Times;serif"/>
          <w:i/>
          <w:color w:val="000000"/>
          <w:sz w:val="20"/>
          <w:shd w:fill="FFFFFF" w:val="clear"/>
        </w:rPr>
        <w:t>Income Taxes (Topic 740): Improvements to Income Tax Disclosures</w:t>
      </w:r>
      <w:r>
        <w:rPr>
          <w:rFonts w:ascii="Times New Roman;Times;serif" w:hAnsi="Times New Roman;Times;serif"/>
          <w:color w:val="000000"/>
          <w:sz w:val="20"/>
          <w:shd w:fill="FFFFFF" w:val="clear"/>
        </w:rPr>
        <w:t>. The guidance requires disclosure of disaggregated income taxes paid, prescribes standardized categories for the components of the effective tax rate reconciliation, and modifies other income tax-related disclosures. ASU 2023-09 is effective for the Company’s annual periods beginning January 1, 2025. The Company adopted this standard prospectively and included the additional required disclosures for the annual period ended December 31, 2025.  See Note 12 - Income Taxes for further information.</w:t>
      </w:r>
    </w:p>
    <w:p>
      <w:pPr>
        <w:pStyle w:val="TextBody"/>
        <w:bidi w:val="0"/>
        <w:spacing w:before="0" w:after="0"/>
        <w:jc w:val="both"/>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79</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November 2024, the FASB issued ASU 2024-03, Income Statement – Reporting Comprehensive Income – Expense Disaggregation Disclosures (Topic 220). This standard requires disclosure of specific information about costs and expenses. ASU 2024-03 is effective for fiscal years beginning after December 15, 2026 and interim reporting periods beginning after December 15, 2027. The Company is currently evaluating the potential effect that the updated standard will have on its financial statement disclosures.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 January 2025, the FASB issued ASU 2025-01, Income Statement—Reporting Comprehensive Income—Expense Disaggregation Disclosures (Subtopic 220-40): Clarifying the Effective Date. This update clarifies the effective date of ASU 2024-03 (Disaggregation of Income Statement Expenses) to require all public business entities to adopt the guidance for annual periods beginning after December 15, 2026, and interim periods within annual periods beginning after December 15, 2027; early adoption is permitted. The Company is evaluating the impact of these disclosure requirements and the timing of adoption.</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br/>
        <w:t>In September 2025, the FASB issued ASU 2025-06, Intangibles—Goodwill and Other—Internal-Use Software (Subtopic 350-40): Targeted Improvements to the Accounting for Internal-Use Software. The amendments remove references to development “stages,” clarify the probable-to-complete threshold for capitalization of internal-use software costs, relocate website development guidance into Subtopic 350-40, and require that capitalized internal-use software costs follow Topic 360 disclosure requirements regardless of balance-sheet presentation. The amendments are effective for annual periods beginning after December 15, 2027, and interim periods within those annual periods; early adoption is permitted as of the beginning of an annual period. Entities may adopt the guidance prospectively, retrospectively, or using a modified prospective transition approach. The Company is evaluating the impact of this guidance and the available transition alternatives on its consolidated financial statements and disclosures.</w:t>
      </w:r>
    </w:p>
    <w:p>
      <w:pPr>
        <w:pStyle w:val="TextBody"/>
        <w:bidi w:val="0"/>
        <w:spacing w:before="0" w:after="0"/>
        <w:jc w:val="left"/>
        <w:rPr>
          <w:rFonts w:ascii="Times New Roman" w:hAnsi="Times New Roman"/>
          <w:sz w:val="20"/>
        </w:rPr>
      </w:pPr>
      <w:r>
        <w:rPr>
          <w:rFonts w:ascii="Times New Roman" w:hAnsi="Times New Roman"/>
          <w:sz w:val="20"/>
        </w:rPr>
      </w:r>
    </w:p>
    <w:tbl>
      <w:tblPr>
        <w:tblW w:w="1330" w:type="dxa"/>
        <w:jc w:val="left"/>
        <w:tblInd w:w="0" w:type="dxa"/>
        <w:tblLayout w:type="fixed"/>
        <w:tblCellMar>
          <w:top w:w="0" w:type="dxa"/>
          <w:left w:w="0" w:type="dxa"/>
          <w:bottom w:w="0" w:type="dxa"/>
          <w:right w:w="0" w:type="dxa"/>
        </w:tblCellMar>
      </w:tblPr>
      <w:tblGrid>
        <w:gridCol w:w="185"/>
        <w:gridCol w:w="1145"/>
      </w:tblGrid>
      <w:tr>
        <w:trPr/>
        <w:tc>
          <w:tcPr>
            <w:tcW w:w="18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3.</w:t>
            </w:r>
          </w:p>
        </w:tc>
        <w:tc>
          <w:tcPr>
            <w:tcW w:w="114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Held for Sale</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Assets and liabilities to be disposed of by sale are classified as “held for sale” if their carrying amounts are principally expected to be recovered through a sale transaction rather than through continuing use. The classification occurs when the disposal group is available for immediate sale and the sale is probable. These criteria are generally met when an agreement to sell exists, or management has committed to a plan to sell the assets within one year. Disposal groups are measured at the lower of carrying amount or fair value less costs to sell, and long-lived assets included within the disposal group are not depreciated or amortized. The fair value of a disposal group, less any costs to sell, is assessed each reporting period it remains classified as held for sale and any remeasurement to the lower of carrying value or fair value less costs to sell is reported as an adjustment to the carrying value of the disposal group. When the net realizable value of a disposal group increases during a period, a gain can be recognized to the extent that it does not increase the value of the disposal group beyond its original carrying value when the disposal group was reclassified as held for sale.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January 2, 2025, the Company completed the sale of its Mavely entity to Clout.io Holdings, Inc. for $230 million in cash </w:t>
      </w:r>
      <w:r>
        <w:rPr>
          <w:rFonts w:ascii="Times New Roman" w:hAnsi="Times New Roman"/>
          <w:color w:val="000000"/>
          <w:sz w:val="20"/>
          <w:shd w:fill="FFFFFF" w:val="clear"/>
        </w:rPr>
        <w:t>and shares of the purchaser’s common stock</w:t>
      </w:r>
      <w:r>
        <w:rPr>
          <w:rFonts w:ascii="Times New Roman;Times;serif" w:hAnsi="Times New Roman;Times;serif"/>
          <w:color w:val="000000"/>
          <w:sz w:val="20"/>
          <w:shd w:fill="FFFFFF" w:val="clear"/>
        </w:rPr>
        <w:t xml:space="preserve">, subject to certain adjustments as set forth in the purchase agreement, including post-closing determination of net working capital and other elements of the purchase price. </w:t>
      </w:r>
      <w:r>
        <w:rPr>
          <w:rFonts w:ascii="Times New Roman" w:hAnsi="Times New Roman"/>
          <w:color w:val="000000"/>
          <w:sz w:val="20"/>
          <w:shd w:fill="FFFFFF" w:val="clear"/>
        </w:rPr>
        <w:t>Following the completion of certain payments to other equity holders in Mavely and the payment of certain transaction expenses, the Company received net proceeds of $193.7 million and equity interest with an estimated fair value of $6.1 million. In the second quarter of 2025, the Company received an additional payment of $2.7 million and in the third quarter of 2025 received an additional $1.7 million. The estimated fair value of equity interest was based on observable price changes and is classified as a level 3 fair value measurement and is accounted for under the measurement alternative described in ASC 321-10-35-2 for equity securities that lack readily determinable fair values. In the first quarter of 2025, the Company recorded a gain on sale of $176.2</w:t>
      </w:r>
      <w:r>
        <w:rPr>
          <w:rFonts w:ascii="Times New Roman;Times;serif" w:hAnsi="Times New Roman;Times;serif"/>
          <w:color w:val="000000"/>
          <w:sz w:val="20"/>
          <w:shd w:fill="FFFFFF" w:val="clear"/>
        </w:rPr>
        <w:t xml:space="preserve"> million.</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first quarter of 2025, the Company recorded $5.2 million of stock-based compensation expense related to profit interest units issued to the Mavely founders. This expense should have been recorded in the fourth quarter of 2024 when the performance conditions became probable of vesting. The impact of the adjustment to correct this item was immaterial to the current and prior period financial statements.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As of December 31, 2024, the Mavely disposal group, consisting of $26.9 million of current assets, $22.2 million of long-term assets, $13.9 million of current liabilities and $1.3 million of long-term liabilities within the Company’s Rhyz Other segment, was classified as “Current assets held for sale”, “Long-term assets held for sale”, “Current liabilities held for sale” and “Long-term liabilities held for sale” in the Consolidated Balance Sheet. The Company determined that as of December 31, 2024, the disposal group met the criteria for classification as held for sale but did not meet the criteria for classification as discontinued operations. The Company recognized income (loss) before provision for income taxes for the Mavely disposal group of $0, $9.0 million and $(7.7) million for the years ended December 31, 2025, 2024 and 2023, respectively.</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80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i/>
            <w:color w:val="000000"/>
            <w:sz w:val="16"/>
            <w:shd w:fill="FFFFFF" w:val="clear"/>
          </w:rPr>
          <w:t>Table of Contents</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total assets and liabilities of the Mavely disposal group that met the classification of held for sale in the Company’s Consolidated Balance sheet are as follows (U.S. dollars in thousands):</w:t>
      </w:r>
    </w:p>
    <w:p>
      <w:pPr>
        <w:pStyle w:val="TextBody"/>
        <w:bidi w:val="0"/>
        <w:spacing w:before="0" w:after="0"/>
        <w:jc w:val="left"/>
        <w:rPr/>
      </w:pPr>
      <w:r>
        <w:rPr/>
      </w:r>
    </w:p>
    <w:tbl>
      <w:tblPr>
        <w:tblW w:w="5394" w:type="dxa"/>
        <w:jc w:val="left"/>
        <w:tblInd w:w="0" w:type="dxa"/>
        <w:tblLayout w:type="fixed"/>
        <w:tblCellMar>
          <w:top w:w="0" w:type="dxa"/>
          <w:left w:w="0" w:type="dxa"/>
          <w:bottom w:w="0" w:type="dxa"/>
          <w:right w:w="0" w:type="dxa"/>
        </w:tblCellMar>
      </w:tblPr>
      <w:tblGrid>
        <w:gridCol w:w="3620"/>
        <w:gridCol w:w="60"/>
        <w:gridCol w:w="284"/>
        <w:gridCol w:w="1355"/>
        <w:gridCol w:w="75"/>
      </w:tblGrid>
      <w:tr>
        <w:trPr/>
        <w:tc>
          <w:tcPr>
            <w:tcW w:w="36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December 31, 2024</w:t>
            </w:r>
          </w:p>
        </w:tc>
        <w:tc>
          <w:tcPr>
            <w:tcW w:w="75" w:type="dxa"/>
            <w:tcBorders/>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60" w:type="dxa"/>
            <w:tcBorders/>
            <w:vAlign w:val="bottom"/>
          </w:tcPr>
          <w:p>
            <w:pPr>
              <w:pStyle w:val="TableContents"/>
              <w:bidi w:val="0"/>
              <w:spacing w:before="0" w:after="283"/>
              <w:jc w:val="left"/>
              <w:rPr/>
            </w:pPr>
            <w:r>
              <w:rPr/>
              <w:t> </w:t>
            </w:r>
          </w:p>
        </w:tc>
        <w:tc>
          <w:tcPr>
            <w:tcW w:w="1639"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Current assets</w:t>
            </w:r>
          </w:p>
        </w:tc>
        <w:tc>
          <w:tcPr>
            <w:tcW w:w="60" w:type="dxa"/>
            <w:tcBorders/>
            <w:vAlign w:val="bottom"/>
          </w:tcPr>
          <w:p>
            <w:pPr>
              <w:pStyle w:val="TableContents"/>
              <w:bidi w:val="0"/>
              <w:spacing w:before="0" w:after="283"/>
              <w:jc w:val="left"/>
              <w:rPr/>
            </w:pPr>
            <w:r>
              <w:rPr/>
              <w:t> </w:t>
            </w:r>
          </w:p>
        </w:tc>
        <w:tc>
          <w:tcPr>
            <w:tcW w:w="1639"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620" w:type="dxa"/>
            <w:tcBorders/>
            <w:shd w:fill="CCEEFF" w:val="clear"/>
            <w:vAlign w:val="bottom"/>
          </w:tcPr>
          <w:p>
            <w:pPr>
              <w:pStyle w:val="TableContents"/>
              <w:bidi w:val="0"/>
              <w:spacing w:before="0" w:after="0"/>
              <w:ind w:left="288" w:right="0" w:hanging="144"/>
              <w:jc w:val="left"/>
              <w:rPr>
                <w:rFonts w:ascii="Times New Roman;Times;serif" w:hAnsi="Times New Roman;Times;serif"/>
                <w:color w:val="000000"/>
                <w:sz w:val="20"/>
              </w:rPr>
            </w:pPr>
            <w:r>
              <w:rPr>
                <w:rFonts w:ascii="Times New Roman;Times;serif" w:hAnsi="Times New Roman;Times;serif"/>
                <w:color w:val="000000"/>
                <w:sz w:val="20"/>
              </w:rPr>
              <w:t>Accounts receivable, net</w:t>
            </w:r>
          </w:p>
        </w:tc>
        <w:tc>
          <w:tcPr>
            <w:tcW w:w="60" w:type="dxa"/>
            <w:tcBorders/>
            <w:shd w:fill="CCEEFF" w:val="clear"/>
            <w:vAlign w:val="bottom"/>
          </w:tcPr>
          <w:p>
            <w:pPr>
              <w:pStyle w:val="TableContents"/>
              <w:bidi w:val="0"/>
              <w:spacing w:before="0" w:after="283"/>
              <w:jc w:val="right"/>
              <w:rPr/>
            </w:pPr>
            <w:r>
              <w:rPr/>
              <w:t> </w:t>
            </w:r>
          </w:p>
        </w:tc>
        <w:tc>
          <w:tcPr>
            <w:tcW w:w="284"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1355"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26,455</w:t>
            </w:r>
          </w:p>
        </w:tc>
        <w:tc>
          <w:tcPr>
            <w:tcW w:w="75"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ind w:left="288" w:right="0" w:hanging="144"/>
              <w:jc w:val="left"/>
              <w:rPr>
                <w:rFonts w:ascii="Times New Roman;Times;serif" w:hAnsi="Times New Roman;Times;serif"/>
                <w:color w:val="000000"/>
                <w:sz w:val="20"/>
              </w:rPr>
            </w:pPr>
            <w:r>
              <w:rPr>
                <w:rFonts w:ascii="Times New Roman;Times;serif" w:hAnsi="Times New Roman;Times;serif"/>
                <w:color w:val="000000"/>
                <w:sz w:val="20"/>
              </w:rPr>
              <w:t>Prepaid expenses and other</w:t>
            </w:r>
          </w:p>
        </w:tc>
        <w:tc>
          <w:tcPr>
            <w:tcW w:w="60" w:type="dxa"/>
            <w:tcBorders/>
            <w:vAlign w:val="bottom"/>
          </w:tcPr>
          <w:p>
            <w:pPr>
              <w:pStyle w:val="TableContents"/>
              <w:bidi w:val="0"/>
              <w:spacing w:before="0" w:after="283"/>
              <w:jc w:val="right"/>
              <w:rPr/>
            </w:pPr>
            <w:r>
              <w:rPr/>
              <w:t> </w:t>
            </w:r>
          </w:p>
        </w:tc>
        <w:tc>
          <w:tcPr>
            <w:tcW w:w="284" w:type="dxa"/>
            <w:tcBorders>
              <w:bottom w:val="single" w:sz="12" w:space="0" w:color="000000"/>
            </w:tcBorders>
            <w:tcMar>
              <w:bottom w:w="28" w:type="dxa"/>
            </w:tcMar>
            <w:vAlign w:val="bottom"/>
          </w:tcPr>
          <w:p>
            <w:pPr>
              <w:pStyle w:val="TableContents"/>
              <w:bidi w:val="0"/>
              <w:spacing w:before="0" w:after="283"/>
              <w:jc w:val="left"/>
              <w:rPr/>
            </w:pPr>
            <w:r>
              <w:rPr/>
              <w:t> </w:t>
            </w:r>
          </w:p>
        </w:tc>
        <w:tc>
          <w:tcPr>
            <w:tcW w:w="135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481</w:t>
            </w:r>
          </w:p>
        </w:tc>
        <w:tc>
          <w:tcPr>
            <w:tcW w:w="75" w:type="dxa"/>
            <w:tcBorders/>
            <w:vAlign w:val="bottom"/>
          </w:tcPr>
          <w:p>
            <w:pPr>
              <w:pStyle w:val="TableContents"/>
              <w:bidi w:val="0"/>
              <w:spacing w:before="0" w:after="283"/>
              <w:jc w:val="left"/>
              <w:rPr/>
            </w:pPr>
            <w:r>
              <w:rPr/>
              <w:t> </w:t>
            </w:r>
          </w:p>
        </w:tc>
      </w:tr>
      <w:tr>
        <w:trPr/>
        <w:tc>
          <w:tcPr>
            <w:tcW w:w="3620" w:type="dxa"/>
            <w:tcBorders/>
            <w:shd w:fill="CCEEFF" w:val="clear"/>
            <w:vAlign w:val="bottom"/>
          </w:tcPr>
          <w:p>
            <w:pPr>
              <w:pStyle w:val="TableContents"/>
              <w:bidi w:val="0"/>
              <w:spacing w:before="0" w:after="0"/>
              <w:ind w:left="0" w:right="0" w:firstLine="360"/>
              <w:jc w:val="left"/>
              <w:rPr>
                <w:rFonts w:ascii="Times New Roman;Times;serif" w:hAnsi="Times New Roman;Times;serif"/>
                <w:color w:val="000000"/>
                <w:sz w:val="20"/>
              </w:rPr>
            </w:pPr>
            <w:r>
              <w:rPr>
                <w:rFonts w:ascii="Times New Roman;Times;serif" w:hAnsi="Times New Roman;Times;serif"/>
                <w:color w:val="000000"/>
                <w:sz w:val="20"/>
              </w:rPr>
              <w:t>Total current assets held for sale</w:t>
            </w:r>
          </w:p>
        </w:tc>
        <w:tc>
          <w:tcPr>
            <w:tcW w:w="60" w:type="dxa"/>
            <w:tcBorders/>
            <w:shd w:fill="CCEEFF" w:val="clear"/>
            <w:vAlign w:val="bottom"/>
          </w:tcPr>
          <w:p>
            <w:pPr>
              <w:pStyle w:val="TableContents"/>
              <w:bidi w:val="0"/>
              <w:spacing w:before="0" w:after="283"/>
              <w:jc w:val="right"/>
              <w:rPr/>
            </w:pPr>
            <w:r>
              <w:rPr/>
              <w:t> </w:t>
            </w:r>
          </w:p>
        </w:tc>
        <w:tc>
          <w:tcPr>
            <w:tcW w:w="28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3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26,936</w:t>
            </w:r>
          </w:p>
        </w:tc>
        <w:tc>
          <w:tcPr>
            <w:tcW w:w="75"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84"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620" w:type="dxa"/>
            <w:tcBorders/>
            <w:shd w:fill="CCEEFF" w:val="clear"/>
            <w:vAlign w:val="bottom"/>
          </w:tcPr>
          <w:p>
            <w:pPr>
              <w:pStyle w:val="TableContents"/>
              <w:bidi w:val="0"/>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Property and equipment, net</w:t>
            </w:r>
          </w:p>
        </w:tc>
        <w:tc>
          <w:tcPr>
            <w:tcW w:w="60" w:type="dxa"/>
            <w:tcBorders/>
            <w:shd w:fill="CCEEFF" w:val="clear"/>
            <w:vAlign w:val="bottom"/>
          </w:tcPr>
          <w:p>
            <w:pPr>
              <w:pStyle w:val="TableContents"/>
              <w:bidi w:val="0"/>
              <w:spacing w:before="0" w:after="283"/>
              <w:jc w:val="right"/>
              <w:rPr/>
            </w:pPr>
            <w:r>
              <w:rPr/>
              <w:t> </w:t>
            </w:r>
          </w:p>
        </w:tc>
        <w:tc>
          <w:tcPr>
            <w:tcW w:w="284"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1,668</w:t>
            </w:r>
          </w:p>
        </w:tc>
        <w:tc>
          <w:tcPr>
            <w:tcW w:w="75"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Goodwill</w:t>
            </w:r>
          </w:p>
        </w:tc>
        <w:tc>
          <w:tcPr>
            <w:tcW w:w="60" w:type="dxa"/>
            <w:tcBorders/>
            <w:vAlign w:val="bottom"/>
          </w:tcPr>
          <w:p>
            <w:pPr>
              <w:pStyle w:val="TableContents"/>
              <w:bidi w:val="0"/>
              <w:spacing w:before="0" w:after="283"/>
              <w:jc w:val="right"/>
              <w:rPr/>
            </w:pPr>
            <w:r>
              <w:rPr/>
              <w:t> </w:t>
            </w:r>
          </w:p>
        </w:tc>
        <w:tc>
          <w:tcPr>
            <w:tcW w:w="284"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12,602</w:t>
            </w:r>
          </w:p>
        </w:tc>
        <w:tc>
          <w:tcPr>
            <w:tcW w:w="75" w:type="dxa"/>
            <w:tcBorders/>
            <w:vAlign w:val="bottom"/>
          </w:tcPr>
          <w:p>
            <w:pPr>
              <w:pStyle w:val="TableContents"/>
              <w:bidi w:val="0"/>
              <w:spacing w:before="0" w:after="283"/>
              <w:jc w:val="left"/>
              <w:rPr/>
            </w:pPr>
            <w:r>
              <w:rPr/>
              <w:t> </w:t>
            </w:r>
          </w:p>
        </w:tc>
      </w:tr>
      <w:tr>
        <w:trPr/>
        <w:tc>
          <w:tcPr>
            <w:tcW w:w="3620" w:type="dxa"/>
            <w:tcBorders/>
            <w:shd w:fill="CCEEFF" w:val="clear"/>
            <w:vAlign w:val="bottom"/>
          </w:tcPr>
          <w:p>
            <w:pPr>
              <w:pStyle w:val="TableContents"/>
              <w:bidi w:val="0"/>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Other intangible assets, net</w:t>
            </w:r>
            <w:r>
              <w:rPr>
                <w:rFonts w:ascii="Times New Roman;Times;serif" w:hAnsi="Times New Roman;Times;serif"/>
                <w:color w:val="000000"/>
                <w:position w:val="7"/>
                <w:sz w:val="16"/>
                <w:sz w:val="20"/>
              </w:rPr>
              <w:t xml:space="preserve"> (1)</w:t>
            </w:r>
          </w:p>
        </w:tc>
        <w:tc>
          <w:tcPr>
            <w:tcW w:w="60" w:type="dxa"/>
            <w:tcBorders/>
            <w:shd w:fill="CCEEFF" w:val="clear"/>
            <w:vAlign w:val="bottom"/>
          </w:tcPr>
          <w:p>
            <w:pPr>
              <w:pStyle w:val="TableContents"/>
              <w:bidi w:val="0"/>
              <w:spacing w:before="0" w:after="283"/>
              <w:jc w:val="right"/>
              <w:rPr/>
            </w:pPr>
            <w:r>
              <w:rPr/>
              <w:t> </w:t>
            </w:r>
          </w:p>
        </w:tc>
        <w:tc>
          <w:tcPr>
            <w:tcW w:w="28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7,934</w:t>
            </w:r>
          </w:p>
        </w:tc>
        <w:tc>
          <w:tcPr>
            <w:tcW w:w="75"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ind w:left="0" w:right="0" w:firstLine="360"/>
              <w:jc w:val="left"/>
              <w:rPr>
                <w:rFonts w:ascii="Times New Roman;Times;serif" w:hAnsi="Times New Roman;Times;serif"/>
                <w:color w:val="000000"/>
                <w:sz w:val="20"/>
              </w:rPr>
            </w:pPr>
            <w:r>
              <w:rPr>
                <w:rFonts w:ascii="Times New Roman;Times;serif" w:hAnsi="Times New Roman;Times;serif"/>
                <w:color w:val="000000"/>
                <w:sz w:val="20"/>
              </w:rPr>
              <w:t>Total long-term assets held for sale</w:t>
            </w:r>
          </w:p>
        </w:tc>
        <w:tc>
          <w:tcPr>
            <w:tcW w:w="60" w:type="dxa"/>
            <w:tcBorders/>
            <w:vAlign w:val="bottom"/>
          </w:tcPr>
          <w:p>
            <w:pPr>
              <w:pStyle w:val="TableContents"/>
              <w:bidi w:val="0"/>
              <w:spacing w:before="0" w:after="283"/>
              <w:jc w:val="right"/>
              <w:rPr/>
            </w:pPr>
            <w:r>
              <w:rPr/>
              <w:t> </w:t>
            </w:r>
          </w:p>
        </w:tc>
        <w:tc>
          <w:tcPr>
            <w:tcW w:w="284"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135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22,204</w:t>
            </w:r>
          </w:p>
        </w:tc>
        <w:tc>
          <w:tcPr>
            <w:tcW w:w="75" w:type="dxa"/>
            <w:tcBorders/>
            <w:vAlign w:val="bottom"/>
          </w:tcPr>
          <w:p>
            <w:pPr>
              <w:pStyle w:val="TableContents"/>
              <w:bidi w:val="0"/>
              <w:spacing w:before="0" w:after="283"/>
              <w:jc w:val="left"/>
              <w:rPr/>
            </w:pPr>
            <w:r>
              <w:rPr/>
              <w:t> </w:t>
            </w:r>
          </w:p>
        </w:tc>
      </w:tr>
      <w:tr>
        <w:trPr/>
        <w:tc>
          <w:tcPr>
            <w:tcW w:w="3620" w:type="dxa"/>
            <w:tcBorders/>
            <w:shd w:fill="CCEEFF" w:val="clear"/>
            <w:vAlign w:val="bottom"/>
          </w:tcPr>
          <w:p>
            <w:pPr>
              <w:pStyle w:val="TableContents"/>
              <w:bidi w:val="0"/>
              <w:spacing w:before="0" w:after="0"/>
              <w:ind w:left="144" w:right="0" w:hanging="144"/>
              <w:jc w:val="left"/>
              <w:rPr>
                <w:rFonts w:ascii="Times New Roman;Times;serif" w:hAnsi="Times New Roman;Times;serif"/>
                <w:b/>
                <w:color w:val="000000"/>
                <w:sz w:val="20"/>
              </w:rPr>
            </w:pPr>
            <w:r>
              <w:rPr>
                <w:rFonts w:ascii="Times New Roman;Times;serif" w:hAnsi="Times New Roman;Times;serif"/>
                <w:b/>
                <w:color w:val="000000"/>
                <w:sz w:val="20"/>
              </w:rPr>
              <w:t>Liabilities</w:t>
            </w:r>
          </w:p>
        </w:tc>
        <w:tc>
          <w:tcPr>
            <w:tcW w:w="60" w:type="dxa"/>
            <w:tcBorders/>
            <w:shd w:fill="CCEEFF" w:val="clear"/>
            <w:vAlign w:val="bottom"/>
          </w:tcPr>
          <w:p>
            <w:pPr>
              <w:pStyle w:val="TableContents"/>
              <w:bidi w:val="0"/>
              <w:spacing w:before="0" w:after="283"/>
              <w:jc w:val="right"/>
              <w:rPr/>
            </w:pPr>
            <w:r>
              <w:rPr/>
              <w:t> </w:t>
            </w:r>
          </w:p>
        </w:tc>
        <w:tc>
          <w:tcPr>
            <w:tcW w:w="284"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Current liabilities</w:t>
            </w:r>
          </w:p>
        </w:tc>
        <w:tc>
          <w:tcPr>
            <w:tcW w:w="60" w:type="dxa"/>
            <w:tcBorders/>
            <w:vAlign w:val="bottom"/>
          </w:tcPr>
          <w:p>
            <w:pPr>
              <w:pStyle w:val="TableContents"/>
              <w:bidi w:val="0"/>
              <w:spacing w:before="0" w:after="283"/>
              <w:jc w:val="right"/>
              <w:rPr/>
            </w:pPr>
            <w:r>
              <w:rPr/>
              <w:t> </w:t>
            </w:r>
          </w:p>
        </w:tc>
        <w:tc>
          <w:tcPr>
            <w:tcW w:w="284"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620" w:type="dxa"/>
            <w:tcBorders/>
            <w:shd w:fill="CCEEFF" w:val="clear"/>
            <w:vAlign w:val="bottom"/>
          </w:tcPr>
          <w:p>
            <w:pPr>
              <w:pStyle w:val="TableContents"/>
              <w:bidi w:val="0"/>
              <w:spacing w:before="0" w:after="0"/>
              <w:ind w:left="288" w:right="0" w:hanging="144"/>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60" w:type="dxa"/>
            <w:tcBorders/>
            <w:shd w:fill="CCEEFF" w:val="clear"/>
            <w:vAlign w:val="bottom"/>
          </w:tcPr>
          <w:p>
            <w:pPr>
              <w:pStyle w:val="TableContents"/>
              <w:bidi w:val="0"/>
              <w:spacing w:before="0" w:after="283"/>
              <w:jc w:val="right"/>
              <w:rPr/>
            </w:pPr>
            <w:r>
              <w:rPr/>
              <w:t> </w:t>
            </w:r>
          </w:p>
        </w:tc>
        <w:tc>
          <w:tcPr>
            <w:tcW w:w="284" w:type="dxa"/>
            <w:tcBorders/>
            <w:shd w:fill="CCEEFF" w:val="clear"/>
            <w:vAlign w:val="bottom"/>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1355" w:type="dxa"/>
            <w:tcBorders/>
            <w:shd w:fill="CCEEFF" w:val="cle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208</w:t>
            </w:r>
          </w:p>
        </w:tc>
        <w:tc>
          <w:tcPr>
            <w:tcW w:w="75"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ind w:left="288" w:right="0" w:hanging="144"/>
              <w:jc w:val="left"/>
              <w:rPr>
                <w:rFonts w:ascii="Times New Roman;Times;serif" w:hAnsi="Times New Roman;Times;serif"/>
                <w:color w:val="000000"/>
                <w:sz w:val="20"/>
              </w:rPr>
            </w:pPr>
            <w:r>
              <w:rPr>
                <w:rFonts w:ascii="Times New Roman;Times;serif" w:hAnsi="Times New Roman;Times;serif"/>
                <w:color w:val="000000"/>
                <w:sz w:val="20"/>
              </w:rPr>
              <w:t>Accrued expenses</w:t>
            </w:r>
          </w:p>
        </w:tc>
        <w:tc>
          <w:tcPr>
            <w:tcW w:w="60" w:type="dxa"/>
            <w:tcBorders/>
            <w:vAlign w:val="bottom"/>
          </w:tcPr>
          <w:p>
            <w:pPr>
              <w:pStyle w:val="TableContents"/>
              <w:bidi w:val="0"/>
              <w:spacing w:before="0" w:after="283"/>
              <w:jc w:val="right"/>
              <w:rPr/>
            </w:pPr>
            <w:r>
              <w:rPr/>
              <w:t> </w:t>
            </w:r>
          </w:p>
        </w:tc>
        <w:tc>
          <w:tcPr>
            <w:tcW w:w="284" w:type="dxa"/>
            <w:tcBorders>
              <w:bottom w:val="single" w:sz="12" w:space="0" w:color="000000"/>
            </w:tcBorders>
            <w:tcMar>
              <w:bottom w:w="28" w:type="dxa"/>
            </w:tcMar>
            <w:vAlign w:val="bottom"/>
          </w:tcPr>
          <w:p>
            <w:pPr>
              <w:pStyle w:val="TableContents"/>
              <w:bidi w:val="0"/>
              <w:spacing w:before="0" w:after="283"/>
              <w:jc w:val="left"/>
              <w:rPr/>
            </w:pPr>
            <w:r>
              <w:rPr/>
              <w:t> </w:t>
            </w:r>
          </w:p>
        </w:tc>
        <w:tc>
          <w:tcPr>
            <w:tcW w:w="135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13,711</w:t>
            </w:r>
          </w:p>
        </w:tc>
        <w:tc>
          <w:tcPr>
            <w:tcW w:w="75" w:type="dxa"/>
            <w:tcBorders/>
            <w:vAlign w:val="bottom"/>
          </w:tcPr>
          <w:p>
            <w:pPr>
              <w:pStyle w:val="TableContents"/>
              <w:bidi w:val="0"/>
              <w:spacing w:before="0" w:after="283"/>
              <w:jc w:val="left"/>
              <w:rPr/>
            </w:pPr>
            <w:r>
              <w:rPr/>
              <w:t> </w:t>
            </w:r>
          </w:p>
        </w:tc>
      </w:tr>
      <w:tr>
        <w:trPr/>
        <w:tc>
          <w:tcPr>
            <w:tcW w:w="3620" w:type="dxa"/>
            <w:tcBorders/>
            <w:shd w:fill="CCEEFF" w:val="clear"/>
            <w:vAlign w:val="bottom"/>
          </w:tcPr>
          <w:p>
            <w:pPr>
              <w:pStyle w:val="TableContents"/>
              <w:bidi w:val="0"/>
              <w:spacing w:before="0" w:after="0"/>
              <w:ind w:left="0" w:right="0" w:firstLine="360"/>
              <w:jc w:val="left"/>
              <w:rPr>
                <w:rFonts w:ascii="Times New Roman;Times;serif" w:hAnsi="Times New Roman;Times;serif"/>
                <w:color w:val="000000"/>
                <w:sz w:val="20"/>
              </w:rPr>
            </w:pPr>
            <w:r>
              <w:rPr>
                <w:rFonts w:ascii="Times New Roman;Times;serif" w:hAnsi="Times New Roman;Times;serif"/>
                <w:color w:val="000000"/>
                <w:sz w:val="20"/>
              </w:rPr>
              <w:t>Total current liabilities held for sale</w:t>
            </w:r>
          </w:p>
        </w:tc>
        <w:tc>
          <w:tcPr>
            <w:tcW w:w="60" w:type="dxa"/>
            <w:tcBorders/>
            <w:shd w:fill="CCEEFF" w:val="clear"/>
            <w:vAlign w:val="bottom"/>
          </w:tcPr>
          <w:p>
            <w:pPr>
              <w:pStyle w:val="TableContents"/>
              <w:bidi w:val="0"/>
              <w:spacing w:before="0" w:after="283"/>
              <w:jc w:val="right"/>
              <w:rPr/>
            </w:pPr>
            <w:r>
              <w:rPr/>
              <w:t> </w:t>
            </w:r>
          </w:p>
        </w:tc>
        <w:tc>
          <w:tcPr>
            <w:tcW w:w="28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3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13,919</w:t>
            </w:r>
          </w:p>
        </w:tc>
        <w:tc>
          <w:tcPr>
            <w:tcW w:w="75"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84"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620" w:type="dxa"/>
            <w:tcBorders/>
            <w:shd w:fill="CCEEFF" w:val="clear"/>
            <w:vAlign w:val="bottom"/>
          </w:tcPr>
          <w:p>
            <w:pPr>
              <w:pStyle w:val="TableContents"/>
              <w:bidi w:val="0"/>
              <w:spacing w:before="0" w:after="0"/>
              <w:jc w:val="left"/>
              <w:rPr/>
            </w:pPr>
            <w:r>
              <w:rPr/>
              <w:t>Other liabilities</w:t>
            </w:r>
          </w:p>
        </w:tc>
        <w:tc>
          <w:tcPr>
            <w:tcW w:w="60" w:type="dxa"/>
            <w:tcBorders/>
            <w:shd w:fill="CCEEFF" w:val="clear"/>
            <w:vAlign w:val="bottom"/>
          </w:tcPr>
          <w:p>
            <w:pPr>
              <w:pStyle w:val="TableContents"/>
              <w:bidi w:val="0"/>
              <w:spacing w:before="0" w:after="283"/>
              <w:jc w:val="right"/>
              <w:rPr/>
            </w:pPr>
            <w:r>
              <w:rPr/>
              <w:t> </w:t>
            </w:r>
          </w:p>
        </w:tc>
        <w:tc>
          <w:tcPr>
            <w:tcW w:w="28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55" w:type="dxa"/>
            <w:tcBorders>
              <w:bottom w:val="single" w:sz="12" w:space="0" w:color="000000"/>
            </w:tcBorders>
            <w:shd w:fill="CCEEFF" w:val="clear"/>
            <w:tcMar>
              <w:bottom w:w="28" w:type="dxa"/>
            </w:tcMar>
            <w:vAlign w:val="bottom"/>
          </w:tcPr>
          <w:p>
            <w:pPr>
              <w:pStyle w:val="TableContents"/>
              <w:bidi w:val="0"/>
              <w:spacing w:before="0" w:after="283"/>
              <w:jc w:val="right"/>
              <w:rPr/>
            </w:pPr>
            <w:r>
              <w:rPr/>
              <w:t>1,325</w:t>
            </w:r>
          </w:p>
        </w:tc>
        <w:tc>
          <w:tcPr>
            <w:tcW w:w="75"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ind w:left="360" w:right="0" w:hanging="0"/>
              <w:jc w:val="left"/>
              <w:rPr/>
            </w:pPr>
            <w:r>
              <w:rPr/>
              <w:t>Total long-term liabilities held for sale</w:t>
            </w:r>
          </w:p>
        </w:tc>
        <w:tc>
          <w:tcPr>
            <w:tcW w:w="60" w:type="dxa"/>
            <w:tcBorders/>
            <w:vAlign w:val="bottom"/>
          </w:tcPr>
          <w:p>
            <w:pPr>
              <w:pStyle w:val="TableContents"/>
              <w:bidi w:val="0"/>
              <w:spacing w:before="0" w:after="283"/>
              <w:jc w:val="right"/>
              <w:rPr/>
            </w:pPr>
            <w:r>
              <w:rPr/>
              <w:t> </w:t>
            </w:r>
          </w:p>
        </w:tc>
        <w:tc>
          <w:tcPr>
            <w:tcW w:w="284" w:type="dxa"/>
            <w:tcBorders>
              <w:bottom w:val="double" w:sz="8" w:space="0" w:color="000000"/>
            </w:tcBorders>
            <w:tcMar>
              <w:bottom w:w="28" w:type="dxa"/>
            </w:tcMar>
            <w:vAlign w:val="bottom"/>
          </w:tcPr>
          <w:p>
            <w:pPr>
              <w:pStyle w:val="TableContents"/>
              <w:bidi w:val="0"/>
              <w:spacing w:before="0" w:after="283"/>
              <w:jc w:val="left"/>
              <w:rPr/>
            </w:pPr>
            <w:r>
              <w:rPr/>
              <w:t> </w:t>
            </w:r>
          </w:p>
        </w:tc>
        <w:tc>
          <w:tcPr>
            <w:tcW w:w="1355" w:type="dxa"/>
            <w:tcBorders>
              <w:bottom w:val="double" w:sz="8" w:space="0" w:color="000000"/>
            </w:tcBorders>
            <w:tcMar>
              <w:bottom w:w="28" w:type="dxa"/>
            </w:tcMar>
            <w:vAlign w:val="bottom"/>
          </w:tcPr>
          <w:p>
            <w:pPr>
              <w:pStyle w:val="TableContents"/>
              <w:bidi w:val="0"/>
              <w:spacing w:before="0" w:after="283"/>
              <w:jc w:val="right"/>
              <w:rPr/>
            </w:pPr>
            <w:r>
              <w:rPr/>
              <w:t>1,325</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6295" w:type="dxa"/>
        <w:jc w:val="left"/>
        <w:tblInd w:w="0" w:type="dxa"/>
        <w:tblLayout w:type="fixed"/>
        <w:tblCellMar>
          <w:top w:w="0" w:type="dxa"/>
          <w:left w:w="0" w:type="dxa"/>
          <w:bottom w:w="0" w:type="dxa"/>
          <w:right w:w="0" w:type="dxa"/>
        </w:tblCellMar>
      </w:tblPr>
      <w:tblGrid>
        <w:gridCol w:w="260"/>
        <w:gridCol w:w="6035"/>
      </w:tblGrid>
      <w:tr>
        <w:trPr/>
        <w:tc>
          <w:tcPr>
            <w:tcW w:w="260" w:type="dxa"/>
            <w:tcBorders/>
            <w:vAlign w:val="center"/>
          </w:tcPr>
          <w:p>
            <w:pPr>
              <w:pStyle w:val="TableContents"/>
              <w:bidi w:val="0"/>
              <w:spacing w:before="2" w:after="2"/>
              <w:jc w:val="center"/>
              <w:rPr>
                <w:rFonts w:ascii="Times New Roman;Times;serif" w:hAnsi="Times New Roman;Times;serif"/>
                <w:sz w:val="20"/>
              </w:rPr>
            </w:pPr>
            <w:r>
              <w:rPr>
                <w:rFonts w:ascii="Times New Roman;Times;serif" w:hAnsi="Times New Roman;Times;serif"/>
                <w:sz w:val="20"/>
              </w:rPr>
              <w:t>(1)</w:t>
            </w:r>
          </w:p>
        </w:tc>
        <w:tc>
          <w:tcPr>
            <w:tcW w:w="6035" w:type="dxa"/>
            <w:tcBorders/>
            <w:vAlign w:val="center"/>
          </w:tcPr>
          <w:p>
            <w:pPr>
              <w:pStyle w:val="TableContents"/>
              <w:bidi w:val="0"/>
              <w:spacing w:before="2" w:after="2"/>
              <w:jc w:val="left"/>
              <w:rPr>
                <w:rFonts w:ascii="Times New Roman;Times;serif" w:hAnsi="Times New Roman;Times;serif"/>
                <w:sz w:val="20"/>
              </w:rPr>
            </w:pPr>
            <w:r>
              <w:rPr>
                <w:rFonts w:ascii="Times New Roman;Times;serif" w:hAnsi="Times New Roman;Times;serif"/>
                <w:sz w:val="20"/>
              </w:rPr>
              <w:t>Net of accumulated amortization of $8.4 million as of December 31, 2024.</w:t>
            </w:r>
          </w:p>
        </w:tc>
      </w:tr>
    </w:tbl>
    <w:p>
      <w:pPr>
        <w:pStyle w:val="TextBody"/>
        <w:bidi w:val="0"/>
        <w:spacing w:before="0" w:after="0"/>
        <w:jc w:val="left"/>
        <w:rPr/>
      </w:pPr>
      <w:r>
        <w:rPr/>
      </w:r>
    </w:p>
    <w:tbl>
      <w:tblPr>
        <w:tblW w:w="2320" w:type="dxa"/>
        <w:jc w:val="left"/>
        <w:tblInd w:w="0" w:type="dxa"/>
        <w:tblLayout w:type="fixed"/>
        <w:tblCellMar>
          <w:top w:w="0" w:type="dxa"/>
          <w:left w:w="0" w:type="dxa"/>
          <w:bottom w:w="0" w:type="dxa"/>
          <w:right w:w="0" w:type="dxa"/>
        </w:tblCellMar>
      </w:tblPr>
      <w:tblGrid>
        <w:gridCol w:w="185"/>
        <w:gridCol w:w="2135"/>
      </w:tblGrid>
      <w:tr>
        <w:trPr/>
        <w:tc>
          <w:tcPr>
            <w:tcW w:w="18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4.</w:t>
            </w:r>
          </w:p>
        </w:tc>
        <w:tc>
          <w:tcPr>
            <w:tcW w:w="213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Property and Equipment</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Property and equipment are comprised of the following (U.S. dollars in thousands):</w:t>
      </w:r>
    </w:p>
    <w:p>
      <w:pPr>
        <w:pStyle w:val="TextBody"/>
        <w:bidi w:val="0"/>
        <w:spacing w:before="0" w:after="0"/>
        <w:jc w:val="left"/>
        <w:rPr/>
      </w:pPr>
      <w:r>
        <w:rPr/>
      </w:r>
    </w:p>
    <w:tbl>
      <w:tblPr>
        <w:tblW w:w="4655" w:type="dxa"/>
        <w:jc w:val="left"/>
        <w:tblInd w:w="0" w:type="dxa"/>
        <w:tblLayout w:type="fixed"/>
        <w:tblCellMar>
          <w:top w:w="0" w:type="dxa"/>
          <w:left w:w="0" w:type="dxa"/>
          <w:bottom w:w="0" w:type="dxa"/>
          <w:right w:w="0" w:type="dxa"/>
        </w:tblCellMar>
      </w:tblPr>
      <w:tblGrid>
        <w:gridCol w:w="2600"/>
        <w:gridCol w:w="60"/>
        <w:gridCol w:w="125"/>
        <w:gridCol w:w="755"/>
        <w:gridCol w:w="80"/>
        <w:gridCol w:w="60"/>
        <w:gridCol w:w="125"/>
        <w:gridCol w:w="755"/>
        <w:gridCol w:w="95"/>
      </w:tblGrid>
      <w:tr>
        <w:trPr/>
        <w:tc>
          <w:tcPr>
            <w:tcW w:w="26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0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w:t>
            </w:r>
          </w:p>
        </w:tc>
        <w:tc>
          <w:tcPr>
            <w:tcW w:w="95" w:type="dxa"/>
            <w:tcBorders/>
            <w:vAlign w:val="bottom"/>
          </w:tcPr>
          <w:p>
            <w:pPr>
              <w:pStyle w:val="TableContents"/>
              <w:bidi w:val="0"/>
              <w:spacing w:before="0" w:after="283"/>
              <w:jc w:val="left"/>
              <w:rPr/>
            </w:pPr>
            <w:r>
              <w:rPr/>
              <w:t> </w:t>
            </w:r>
          </w:p>
        </w:tc>
      </w:tr>
      <w:tr>
        <w:trPr/>
        <w:tc>
          <w:tcPr>
            <w:tcW w:w="26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95" w:type="dxa"/>
            <w:tcBorders/>
            <w:vAlign w:val="bottom"/>
          </w:tcPr>
          <w:p>
            <w:pPr>
              <w:pStyle w:val="TableContents"/>
              <w:bidi w:val="0"/>
              <w:spacing w:before="0" w:after="283"/>
              <w:jc w:val="left"/>
              <w:rPr/>
            </w:pPr>
            <w:r>
              <w:rPr/>
              <w:t> </w:t>
            </w:r>
          </w:p>
        </w:tc>
      </w:tr>
      <w:tr>
        <w:trPr/>
        <w:tc>
          <w:tcPr>
            <w:tcW w:w="260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Land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41,600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41,362</w:t>
            </w:r>
          </w:p>
        </w:tc>
        <w:tc>
          <w:tcPr>
            <w:tcW w:w="95" w:type="dxa"/>
            <w:tcBorders/>
            <w:shd w:fill="CCEEFF" w:val="clear"/>
            <w:vAlign w:val="bottom"/>
          </w:tcPr>
          <w:p>
            <w:pPr>
              <w:pStyle w:val="TableContents"/>
              <w:bidi w:val="0"/>
              <w:spacing w:before="0" w:after="283"/>
              <w:jc w:val="left"/>
              <w:rPr/>
            </w:pPr>
            <w:r>
              <w:rPr/>
              <w:t> </w:t>
            </w:r>
          </w:p>
        </w:tc>
      </w:tr>
      <w:tr>
        <w:trPr/>
        <w:tc>
          <w:tcPr>
            <w:tcW w:w="260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Buildings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307,229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302,645</w:t>
            </w:r>
          </w:p>
        </w:tc>
        <w:tc>
          <w:tcPr>
            <w:tcW w:w="95" w:type="dxa"/>
            <w:tcBorders/>
            <w:vAlign w:val="bottom"/>
          </w:tcPr>
          <w:p>
            <w:pPr>
              <w:pStyle w:val="TableContents"/>
              <w:bidi w:val="0"/>
              <w:spacing w:before="0" w:after="283"/>
              <w:jc w:val="left"/>
              <w:rPr/>
            </w:pPr>
            <w:r>
              <w:rPr/>
              <w:t> </w:t>
            </w:r>
          </w:p>
        </w:tc>
      </w:tr>
      <w:tr>
        <w:trPr/>
        <w:tc>
          <w:tcPr>
            <w:tcW w:w="260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Construction in progress</w:t>
            </w:r>
            <w:r>
              <w:rPr>
                <w:rFonts w:ascii="Times New Roman" w:hAnsi="Times New Roman"/>
                <w:position w:val="7"/>
                <w:sz w:val="16"/>
                <w:sz w:val="20"/>
              </w:rPr>
              <w:t>(1)</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14,801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13,541</w:t>
            </w:r>
          </w:p>
        </w:tc>
        <w:tc>
          <w:tcPr>
            <w:tcW w:w="95" w:type="dxa"/>
            <w:tcBorders/>
            <w:shd w:fill="CCEEFF" w:val="clear"/>
            <w:vAlign w:val="bottom"/>
          </w:tcPr>
          <w:p>
            <w:pPr>
              <w:pStyle w:val="TableContents"/>
              <w:bidi w:val="0"/>
              <w:spacing w:before="0" w:after="283"/>
              <w:jc w:val="left"/>
              <w:rPr/>
            </w:pPr>
            <w:r>
              <w:rPr/>
              <w:t> </w:t>
            </w:r>
          </w:p>
        </w:tc>
      </w:tr>
      <w:tr>
        <w:trPr/>
        <w:tc>
          <w:tcPr>
            <w:tcW w:w="260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Furniture and fixtures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134,933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129,627</w:t>
            </w:r>
          </w:p>
        </w:tc>
        <w:tc>
          <w:tcPr>
            <w:tcW w:w="95" w:type="dxa"/>
            <w:tcBorders/>
            <w:vAlign w:val="bottom"/>
          </w:tcPr>
          <w:p>
            <w:pPr>
              <w:pStyle w:val="TableContents"/>
              <w:bidi w:val="0"/>
              <w:spacing w:before="0" w:after="283"/>
              <w:jc w:val="left"/>
              <w:rPr/>
            </w:pPr>
            <w:r>
              <w:rPr/>
              <w:t> </w:t>
            </w:r>
          </w:p>
        </w:tc>
      </w:tr>
      <w:tr>
        <w:trPr/>
        <w:tc>
          <w:tcPr>
            <w:tcW w:w="260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Computers and equipment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163,641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138,855</w:t>
            </w:r>
          </w:p>
        </w:tc>
        <w:tc>
          <w:tcPr>
            <w:tcW w:w="95" w:type="dxa"/>
            <w:tcBorders/>
            <w:shd w:fill="CCEEFF" w:val="clear"/>
            <w:vAlign w:val="bottom"/>
          </w:tcPr>
          <w:p>
            <w:pPr>
              <w:pStyle w:val="TableContents"/>
              <w:bidi w:val="0"/>
              <w:spacing w:before="0" w:after="283"/>
              <w:jc w:val="left"/>
              <w:rPr/>
            </w:pPr>
            <w:r>
              <w:rPr/>
              <w:t> </w:t>
            </w:r>
          </w:p>
        </w:tc>
      </w:tr>
      <w:tr>
        <w:trPr/>
        <w:tc>
          <w:tcPr>
            <w:tcW w:w="260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Leasehold improvements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98,039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98,516</w:t>
            </w:r>
          </w:p>
        </w:tc>
        <w:tc>
          <w:tcPr>
            <w:tcW w:w="95" w:type="dxa"/>
            <w:tcBorders/>
            <w:vAlign w:val="bottom"/>
          </w:tcPr>
          <w:p>
            <w:pPr>
              <w:pStyle w:val="TableContents"/>
              <w:bidi w:val="0"/>
              <w:spacing w:before="0" w:after="283"/>
              <w:jc w:val="left"/>
              <w:rPr/>
            </w:pPr>
            <w:r>
              <w:rPr/>
              <w:t> </w:t>
            </w:r>
          </w:p>
        </w:tc>
      </w:tr>
      <w:tr>
        <w:trPr/>
        <w:tc>
          <w:tcPr>
            <w:tcW w:w="260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Scanners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6,486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6,337</w:t>
            </w:r>
          </w:p>
        </w:tc>
        <w:tc>
          <w:tcPr>
            <w:tcW w:w="95" w:type="dxa"/>
            <w:tcBorders/>
            <w:shd w:fill="CCEEFF" w:val="clear"/>
            <w:vAlign w:val="bottom"/>
          </w:tcPr>
          <w:p>
            <w:pPr>
              <w:pStyle w:val="TableContents"/>
              <w:bidi w:val="0"/>
              <w:spacing w:before="0" w:after="283"/>
              <w:jc w:val="left"/>
              <w:rPr/>
            </w:pPr>
            <w:r>
              <w:rPr/>
              <w:t> </w:t>
            </w:r>
          </w:p>
        </w:tc>
      </w:tr>
      <w:tr>
        <w:trPr/>
        <w:tc>
          <w:tcPr>
            <w:tcW w:w="260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Vehicles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1,660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1,667</w:t>
            </w:r>
          </w:p>
        </w:tc>
        <w:tc>
          <w:tcPr>
            <w:tcW w:w="95" w:type="dxa"/>
            <w:tcBorders/>
            <w:vAlign w:val="bottom"/>
          </w:tcPr>
          <w:p>
            <w:pPr>
              <w:pStyle w:val="TableContents"/>
              <w:bidi w:val="0"/>
              <w:spacing w:before="0" w:after="283"/>
              <w:jc w:val="left"/>
              <w:rPr/>
            </w:pPr>
            <w:r>
              <w:rPr/>
              <w:t> </w:t>
            </w:r>
          </w:p>
        </w:tc>
      </w:tr>
      <w:tr>
        <w:trPr/>
        <w:tc>
          <w:tcPr>
            <w:tcW w:w="26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768,389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732,550</w:t>
            </w:r>
          </w:p>
        </w:tc>
        <w:tc>
          <w:tcPr>
            <w:tcW w:w="95" w:type="dxa"/>
            <w:tcBorders/>
            <w:shd w:fill="CCEEFF" w:val="clear"/>
            <w:vAlign w:val="bottom"/>
          </w:tcPr>
          <w:p>
            <w:pPr>
              <w:pStyle w:val="TableContents"/>
              <w:bidi w:val="0"/>
              <w:spacing w:before="0" w:after="283"/>
              <w:jc w:val="left"/>
              <w:rPr/>
            </w:pPr>
            <w:r>
              <w:rPr/>
              <w:t> </w:t>
            </w:r>
          </w:p>
        </w:tc>
      </w:tr>
      <w:tr>
        <w:trPr/>
        <w:tc>
          <w:tcPr>
            <w:tcW w:w="260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Less: accumulated depreciation</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(391,221</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(352,955</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6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377,168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379,595</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997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Construction in progress includes $5.3 million and $5.2 million as of December 31, 2025 and 2024, respectively, of eligible capitalized internal-use software development costs which will be reclassified to computers and equipment when placed into service.</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Depreciation of property and equipment totaled $43.9 million, $56.2 million and $57.7 million for the years ended December 31, 2025, 2024 and 2023, respectively.  The Company recorded impairments of $36.6 million for the year ended December 31, 2024, in connection with our 2023 restructuring plan, see Note 18 – Restructuring and Severance Charges.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81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tbl>
      <w:tblPr>
        <w:tblW w:w="1000" w:type="dxa"/>
        <w:jc w:val="left"/>
        <w:tblInd w:w="0" w:type="dxa"/>
        <w:tblLayout w:type="fixed"/>
        <w:tblCellMar>
          <w:top w:w="0" w:type="dxa"/>
          <w:left w:w="0" w:type="dxa"/>
          <w:bottom w:w="0" w:type="dxa"/>
          <w:right w:w="0" w:type="dxa"/>
        </w:tblCellMar>
      </w:tblPr>
      <w:tblGrid>
        <w:gridCol w:w="185"/>
        <w:gridCol w:w="815"/>
      </w:tblGrid>
      <w:tr>
        <w:trPr/>
        <w:tc>
          <w:tcPr>
            <w:tcW w:w="18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5.</w:t>
            </w:r>
          </w:p>
        </w:tc>
        <w:tc>
          <w:tcPr>
            <w:tcW w:w="81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Goodwill</w:t>
            </w:r>
          </w:p>
        </w:tc>
      </w:tr>
    </w:tbl>
    <w:p>
      <w:pPr>
        <w:pStyle w:val="TextBody"/>
        <w:bidi w:val="0"/>
        <w:spacing w:before="0" w:after="0"/>
        <w:jc w:val="left"/>
        <w:rPr/>
      </w:pPr>
      <w:r>
        <w:rPr/>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b w:val="false"/>
          <w:i w:val="false"/>
          <w:caps w:val="false"/>
          <w:smallCaps w:val="false"/>
          <w:color w:val="000000"/>
          <w:spacing w:val="0"/>
          <w:sz w:val="20"/>
          <w:shd w:fill="FFFFFF" w:val="clear"/>
        </w:rPr>
        <w:t>The Company’s reporting units for goodwill are its operating segments, which are also its reportable segments, with the exception of Rhyz Other. The Rhyz Other segment is made up of two reporting units, which had goodwill of $4.7 million and $0, respectively, as of both December 31, 2025 and December 31, 2024.</w:t>
      </w:r>
      <w:r>
        <w:rPr>
          <w:rFonts w:ascii="Times New Roman" w:hAnsi="Times New Roman"/>
          <w:color w:val="000000"/>
          <w:sz w:val="20"/>
          <w:shd w:fill="FFFFFF" w:val="clear"/>
        </w:rPr>
        <w:t xml:space="preserve"> </w:t>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following table presents goodwill allocated to the Company’s reportable segments for the periods ended December 31, 2025 and 2024 (U.S. dollars 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160"/>
        <w:gridCol w:w="60"/>
        <w:gridCol w:w="269"/>
        <w:gridCol w:w="561"/>
        <w:gridCol w:w="60"/>
        <w:gridCol w:w="60"/>
        <w:gridCol w:w="284"/>
        <w:gridCol w:w="593"/>
        <w:gridCol w:w="60"/>
        <w:gridCol w:w="60"/>
        <w:gridCol w:w="274"/>
        <w:gridCol w:w="571"/>
        <w:gridCol w:w="60"/>
        <w:gridCol w:w="60"/>
        <w:gridCol w:w="176"/>
        <w:gridCol w:w="369"/>
        <w:gridCol w:w="60"/>
        <w:gridCol w:w="60"/>
        <w:gridCol w:w="226"/>
        <w:gridCol w:w="471"/>
        <w:gridCol w:w="60"/>
        <w:gridCol w:w="60"/>
        <w:gridCol w:w="181"/>
        <w:gridCol w:w="379"/>
        <w:gridCol w:w="60"/>
        <w:gridCol w:w="60"/>
        <w:gridCol w:w="243"/>
        <w:gridCol w:w="509"/>
        <w:gridCol w:w="60"/>
        <w:gridCol w:w="60"/>
        <w:gridCol w:w="226"/>
        <w:gridCol w:w="1069"/>
        <w:gridCol w:w="60"/>
        <w:gridCol w:w="60"/>
        <w:gridCol w:w="125"/>
        <w:gridCol w:w="485"/>
        <w:gridCol w:w="60"/>
        <w:gridCol w:w="60"/>
        <w:gridCol w:w="142"/>
        <w:gridCol w:w="673"/>
        <w:gridCol w:w="79"/>
      </w:tblGrid>
      <w:tr>
        <w:trPr/>
        <w:tc>
          <w:tcPr>
            <w:tcW w:w="1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26" w:type="dxa"/>
            <w:gridSpan w:val="2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Nu Skin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5"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Rhyz</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Americas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Southeast</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Asia/Pacific</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Mainland</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China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Japan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7"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Europe &amp;</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Africa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South</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Korea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2"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Hong Kong/</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Taiwan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Manufacturing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Rhyz</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Other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Total</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Segments</w:t>
            </w:r>
          </w:p>
        </w:tc>
        <w:tc>
          <w:tcPr>
            <w:tcW w:w="79" w:type="dxa"/>
            <w:tcBorders/>
            <w:vAlign w:val="bottom"/>
          </w:tcPr>
          <w:p>
            <w:pPr>
              <w:pStyle w:val="TableContents"/>
              <w:bidi w:val="0"/>
              <w:spacing w:before="0" w:after="283"/>
              <w:jc w:val="left"/>
              <w:rPr/>
            </w:pPr>
            <w:r>
              <w:rPr/>
              <w:t> </w:t>
            </w:r>
          </w:p>
        </w:tc>
      </w:tr>
      <w:tr>
        <w:trPr/>
        <w:tc>
          <w:tcPr>
            <w:tcW w:w="116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Goodwill as of December 31, 2025</w:t>
            </w:r>
          </w:p>
        </w:tc>
        <w:tc>
          <w:tcPr>
            <w:tcW w:w="60" w:type="dxa"/>
            <w:tcBorders/>
            <w:shd w:fill="CCEEFF" w:val="clear"/>
            <w:vAlign w:val="bottom"/>
          </w:tcPr>
          <w:p>
            <w:pPr>
              <w:pStyle w:val="TableContents"/>
              <w:bidi w:val="0"/>
              <w:spacing w:before="0" w:after="283"/>
              <w:jc w:val="left"/>
              <w:rPr/>
            </w:pPr>
            <w:r>
              <w:rPr/>
              <w:t> </w:t>
            </w:r>
          </w:p>
        </w:tc>
        <w:tc>
          <w:tcPr>
            <w:tcW w:w="269"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61"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3"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4"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369"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471"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379"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09"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6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78,875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4,750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7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83,625</w:t>
            </w:r>
          </w:p>
        </w:tc>
        <w:tc>
          <w:tcPr>
            <w:tcW w:w="79"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Goodwill as of December 31, 2024</w:t>
            </w:r>
          </w:p>
        </w:tc>
        <w:tc>
          <w:tcPr>
            <w:tcW w:w="60" w:type="dxa"/>
            <w:tcBorders/>
            <w:vAlign w:val="bottom"/>
          </w:tcPr>
          <w:p>
            <w:pPr>
              <w:pStyle w:val="TableContents"/>
              <w:bidi w:val="0"/>
              <w:spacing w:before="0" w:after="283"/>
              <w:jc w:val="left"/>
              <w:rPr/>
            </w:pPr>
            <w:r>
              <w:rPr/>
              <w:t> </w:t>
            </w:r>
          </w:p>
        </w:tc>
        <w:tc>
          <w:tcPr>
            <w:tcW w:w="269" w:type="dxa"/>
            <w:tcBorders>
              <w:bottom w:val="single" w:sz="12"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61"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bottom w:val="single" w:sz="12"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3"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bottom w:val="single" w:sz="12"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369"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bottom w:val="single" w:sz="12"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471"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379"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3" w:type="dxa"/>
            <w:tcBorders>
              <w:bottom w:val="single" w:sz="12"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09"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bottom w:val="single" w:sz="12"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69"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78,875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4,750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73"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83,625</w:t>
            </w:r>
          </w:p>
        </w:tc>
        <w:tc>
          <w:tcPr>
            <w:tcW w:w="79" w:type="dxa"/>
            <w:tcBorders/>
            <w:vAlign w:val="bottom"/>
          </w:tcPr>
          <w:p>
            <w:pPr>
              <w:pStyle w:val="TableContents"/>
              <w:bidi w:val="0"/>
              <w:spacing w:before="0" w:after="283"/>
              <w:jc w:val="left"/>
              <w:rPr/>
            </w:pPr>
            <w:r>
              <w:rPr/>
              <w:t> </w:t>
            </w:r>
          </w:p>
        </w:tc>
      </w:tr>
    </w:tbl>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Accumulated impairment losses for each segment as of December 31, 2025 and December 31, 2024 are as follows: </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tbl>
      <w:tblPr>
        <w:tblW w:w="10650" w:type="dxa"/>
        <w:jc w:val="left"/>
        <w:tblInd w:w="0" w:type="dxa"/>
        <w:tblLayout w:type="fixed"/>
        <w:tblCellMar>
          <w:top w:w="0" w:type="dxa"/>
          <w:left w:w="0" w:type="dxa"/>
          <w:bottom w:w="0" w:type="dxa"/>
          <w:right w:w="0" w:type="dxa"/>
        </w:tblCellMar>
      </w:tblPr>
      <w:tblGrid>
        <w:gridCol w:w="935"/>
        <w:gridCol w:w="60"/>
        <w:gridCol w:w="200"/>
        <w:gridCol w:w="780"/>
        <w:gridCol w:w="60"/>
        <w:gridCol w:w="60"/>
        <w:gridCol w:w="145"/>
        <w:gridCol w:w="685"/>
        <w:gridCol w:w="60"/>
        <w:gridCol w:w="60"/>
        <w:gridCol w:w="147"/>
        <w:gridCol w:w="698"/>
        <w:gridCol w:w="60"/>
        <w:gridCol w:w="60"/>
        <w:gridCol w:w="125"/>
        <w:gridCol w:w="590"/>
        <w:gridCol w:w="60"/>
        <w:gridCol w:w="60"/>
        <w:gridCol w:w="133"/>
        <w:gridCol w:w="517"/>
        <w:gridCol w:w="60"/>
        <w:gridCol w:w="60"/>
        <w:gridCol w:w="125"/>
        <w:gridCol w:w="590"/>
        <w:gridCol w:w="60"/>
        <w:gridCol w:w="60"/>
        <w:gridCol w:w="136"/>
        <w:gridCol w:w="529"/>
        <w:gridCol w:w="60"/>
        <w:gridCol w:w="60"/>
        <w:gridCol w:w="508"/>
        <w:gridCol w:w="1057"/>
        <w:gridCol w:w="60"/>
        <w:gridCol w:w="60"/>
        <w:gridCol w:w="125"/>
        <w:gridCol w:w="590"/>
        <w:gridCol w:w="60"/>
        <w:gridCol w:w="60"/>
        <w:gridCol w:w="125"/>
        <w:gridCol w:w="695"/>
        <w:gridCol w:w="75"/>
      </w:tblGrid>
      <w:tr>
        <w:trPr/>
        <w:tc>
          <w:tcPr>
            <w:tcW w:w="9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20" w:type="dxa"/>
            <w:gridSpan w:val="26"/>
            <w:tcBorders>
              <w:bottom w:val="single" w:sz="12" w:space="0" w:color="000000"/>
            </w:tcBorders>
            <w:tcMar>
              <w:bottom w:w="28" w:type="dxa"/>
            </w:tcMar>
            <w:vAlign w:val="center"/>
          </w:tcPr>
          <w:p>
            <w:pPr>
              <w:pStyle w:val="TableContents"/>
              <w:bidi w:val="0"/>
              <w:spacing w:before="0" w:after="283"/>
              <w:jc w:val="center"/>
              <w:rPr>
                <w:b/>
              </w:rPr>
            </w:pPr>
            <w:r>
              <w:rPr>
                <w:b/>
              </w:rPr>
              <w:t>Nu Skin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4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Rhyz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vAlign w:val="center"/>
          </w:tcPr>
          <w:p>
            <w:pPr>
              <w:pStyle w:val="TableContents"/>
              <w:bidi w:val="0"/>
              <w:spacing w:before="0" w:after="283"/>
              <w:jc w:val="center"/>
              <w:rPr/>
            </w:pPr>
            <w:r>
              <w:rPr/>
              <w:t> </w:t>
            </w:r>
          </w:p>
        </w:tc>
        <w:tc>
          <w:tcPr>
            <w:tcW w:w="75" w:type="dxa"/>
            <w:tcBorders/>
            <w:vAlign w:val="bottom"/>
          </w:tcPr>
          <w:p>
            <w:pPr>
              <w:pStyle w:val="TableContents"/>
              <w:bidi w:val="0"/>
              <w:spacing w:before="0" w:after="283"/>
              <w:jc w:val="left"/>
              <w:rPr/>
            </w:pPr>
            <w:r>
              <w:rPr/>
              <w:t> </w:t>
            </w:r>
          </w:p>
        </w:tc>
      </w:tr>
      <w:tr>
        <w:trPr/>
        <w:tc>
          <w:tcPr>
            <w:tcW w:w="9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Americas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Southeast</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Asia/Pacific</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Mainland</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China</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Japan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Europe &amp;</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Africa</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5" w:type="dxa"/>
            <w:gridSpan w:val="2"/>
            <w:tcBorders>
              <w:bottom w:val="single" w:sz="12" w:space="0" w:color="000000"/>
            </w:tcBorders>
            <w:tcMar>
              <w:bottom w:w="28" w:type="dxa"/>
            </w:tcMar>
            <w:vAlign w:val="center"/>
          </w:tcPr>
          <w:p>
            <w:pPr>
              <w:pStyle w:val="TableContents"/>
              <w:bidi w:val="0"/>
              <w:spacing w:before="0" w:after="0"/>
              <w:jc w:val="center"/>
              <w:rPr>
                <w:b/>
              </w:rPr>
            </w:pPr>
            <w:r>
              <w:rPr>
                <w:b/>
              </w:rPr>
              <w:t>South</w:t>
            </w:r>
          </w:p>
          <w:p>
            <w:pPr>
              <w:pStyle w:val="TableContents"/>
              <w:bidi w:val="0"/>
              <w:spacing w:before="0" w:after="0"/>
              <w:jc w:val="center"/>
              <w:rPr>
                <w:b/>
              </w:rPr>
            </w:pPr>
            <w:r>
              <w:rPr>
                <w:b/>
              </w:rPr>
              <w:t>Korea</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6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Hong Kong/</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Taiwan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Manufacturing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5" w:type="dxa"/>
            <w:gridSpan w:val="2"/>
            <w:tcBorders>
              <w:bottom w:val="single" w:sz="12" w:space="0" w:color="000000"/>
            </w:tcBorders>
            <w:tcMar>
              <w:bottom w:w="28" w:type="dxa"/>
            </w:tcMar>
            <w:vAlign w:val="center"/>
          </w:tcPr>
          <w:p>
            <w:pPr>
              <w:pStyle w:val="TableContents"/>
              <w:bidi w:val="0"/>
              <w:spacing w:before="0" w:after="0"/>
              <w:jc w:val="center"/>
              <w:rPr>
                <w:b/>
              </w:rPr>
            </w:pPr>
            <w:r>
              <w:rPr>
                <w:b/>
              </w:rPr>
              <w:t>Rhyz</w:t>
            </w:r>
          </w:p>
          <w:p>
            <w:pPr>
              <w:pStyle w:val="TableContents"/>
              <w:bidi w:val="0"/>
              <w:spacing w:before="0" w:after="0"/>
              <w:jc w:val="center"/>
              <w:rPr>
                <w:b/>
              </w:rPr>
            </w:pPr>
            <w:r>
              <w:rPr>
                <w:b/>
              </w:rPr>
              <w:t>Other</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Total</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Segments</w:t>
            </w:r>
          </w:p>
        </w:tc>
        <w:tc>
          <w:tcPr>
            <w:tcW w:w="75" w:type="dxa"/>
            <w:tcBorders/>
            <w:vAlign w:val="bottom"/>
          </w:tcPr>
          <w:p>
            <w:pPr>
              <w:pStyle w:val="TableContents"/>
              <w:bidi w:val="0"/>
              <w:spacing w:before="0" w:after="283"/>
              <w:jc w:val="left"/>
              <w:rPr/>
            </w:pPr>
            <w:r>
              <w:rPr/>
              <w:t> </w:t>
            </w:r>
          </w:p>
        </w:tc>
      </w:tr>
      <w:tr>
        <w:trPr/>
        <w:tc>
          <w:tcPr>
            <w:tcW w:w="93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Accumulated impairment losses</w:t>
            </w:r>
          </w:p>
        </w:tc>
        <w:tc>
          <w:tcPr>
            <w:tcW w:w="60" w:type="dxa"/>
            <w:tcBorders/>
            <w:shd w:fill="CCEEFF" w:val="clear"/>
            <w:vAlign w:val="bottom"/>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9,449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18,537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32,179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16,019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1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29,261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2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6,634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8"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57"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19,587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134,541</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All of the Company’s goodwill is recorded in U.S. dollar functional currency and allocated to the respective segments. Goodwill is not amortized; rather, it is subject to annual impairment tests.</w:t>
      </w:r>
    </w:p>
    <w:p>
      <w:pPr>
        <w:pStyle w:val="TextBody"/>
        <w:bidi w:val="0"/>
        <w:spacing w:before="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During the three months ended June 30, 2024, the Company determined that the continued decline in the Company’s stock price and corresponding decrease in market capitalization as well as declines in some of the Company’s reporting units’ forecasts were triggering events that required the Company to perform a quantitative impairment analysis for all reporting units. Based on the analysis, the Company concluded the estimated fair values of certain of its reporting units were less than their carrying values of equity as June 30, 2024. As a result, the Company recorded non-cash goodwill impairment charges of $130.9 million within restructuring and impairment expenses on the consolidated statement of income during the three months ended June 30, 2024.  The impairment charges were $9.4 million for the Americas segment, $32.2 million for the Mainland China segment, $18.5 million for the Southeast Asia/Pacific segment, $16.0 million for the Japan segment, $29.3 million for the South Korea segment, $2.9 million for the Europe &amp; Africa segment, $6.6 million for the Hong Kong/Taiwan segment and $15.9 million for the BeautyBio reporting unit within the Rhyz Other segment. As part of the Company’s impairment analysis, the fair values of the reporting units were determined using the income approach. The income approach used level 3 inputs and utilized management estimates related to revenue growth rates, profitability margins, estimated future cash flows and discount rates.</w:t>
      </w:r>
    </w:p>
    <w:p>
      <w:pPr>
        <w:pStyle w:val="TextBody"/>
        <w:bidi w:val="0"/>
        <w:spacing w:before="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During the three months ended September 30, 2024, the Company determined that the continued decline in the Company’s stock price and corresponding decrease in market capitalization were a triggering event that required the Company to perform a quantitative impairment analysis for the Manufacturing and Rhyz Other reporting units. Based on the analysis, the Company concluded the fair value of the Manufacturing and Rhyz Other reporting units were in excess of their carrying amounts and no impairment charge was required at that time.</w:t>
      </w:r>
    </w:p>
    <w:p>
      <w:pPr>
        <w:pStyle w:val="TextBody"/>
        <w:bidi w:val="0"/>
        <w:spacing w:before="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During the fourth quarter of 2024, the continued decline in our BeautyBio reporting unit forecast was a triggering event that required us to perform a quantitative analysis. As a result, we concluded the estimated fair value of our BeautyBio reporting unit was less than its carrying value and as a result recorded a non-cash goodwill impairment charge of $3.6 million.</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82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tbl>
      <w:tblPr>
        <w:tblW w:w="2185" w:type="dxa"/>
        <w:jc w:val="left"/>
        <w:tblInd w:w="0" w:type="dxa"/>
        <w:tblLayout w:type="fixed"/>
        <w:tblCellMar>
          <w:top w:w="0" w:type="dxa"/>
          <w:left w:w="0" w:type="dxa"/>
          <w:bottom w:w="0" w:type="dxa"/>
          <w:right w:w="0" w:type="dxa"/>
        </w:tblCellMar>
      </w:tblPr>
      <w:tblGrid>
        <w:gridCol w:w="185"/>
        <w:gridCol w:w="2000"/>
      </w:tblGrid>
      <w:tr>
        <w:trPr/>
        <w:tc>
          <w:tcPr>
            <w:tcW w:w="18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6.</w:t>
            </w:r>
          </w:p>
        </w:tc>
        <w:tc>
          <w:tcPr>
            <w:tcW w:w="200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Other Intangible Assets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Other intangible assets consist of the following (U.S. dollars in thousands):</w:t>
      </w:r>
    </w:p>
    <w:p>
      <w:pPr>
        <w:pStyle w:val="TextBody"/>
        <w:bidi w:val="0"/>
        <w:spacing w:before="0" w:after="0"/>
        <w:jc w:val="left"/>
        <w:rPr/>
      </w:pPr>
      <w:r>
        <w:rPr/>
      </w:r>
    </w:p>
    <w:tbl>
      <w:tblPr>
        <w:tblW w:w="5679" w:type="dxa"/>
        <w:jc w:val="left"/>
        <w:tblInd w:w="0" w:type="dxa"/>
        <w:tblLayout w:type="fixed"/>
        <w:tblCellMar>
          <w:top w:w="0" w:type="dxa"/>
          <w:left w:w="0" w:type="dxa"/>
          <w:bottom w:w="0" w:type="dxa"/>
          <w:right w:w="0" w:type="dxa"/>
        </w:tblCellMar>
      </w:tblPr>
      <w:tblGrid>
        <w:gridCol w:w="2600"/>
        <w:gridCol w:w="60"/>
        <w:gridCol w:w="237"/>
        <w:gridCol w:w="1121"/>
        <w:gridCol w:w="114"/>
        <w:gridCol w:w="114"/>
        <w:gridCol w:w="237"/>
        <w:gridCol w:w="1121"/>
        <w:gridCol w:w="75"/>
      </w:tblGrid>
      <w:tr>
        <w:trPr/>
        <w:tc>
          <w:tcPr>
            <w:tcW w:w="26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44"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Carrying Amount at December 31,</w:t>
            </w:r>
          </w:p>
        </w:tc>
        <w:tc>
          <w:tcPr>
            <w:tcW w:w="75" w:type="dxa"/>
            <w:tcBorders/>
            <w:vAlign w:val="bottom"/>
          </w:tcPr>
          <w:p>
            <w:pPr>
              <w:pStyle w:val="TableContents"/>
              <w:bidi w:val="0"/>
              <w:spacing w:before="0" w:after="283"/>
              <w:jc w:val="left"/>
              <w:rPr/>
            </w:pPr>
            <w:r>
              <w:rPr/>
              <w:t> </w:t>
            </w:r>
          </w:p>
        </w:tc>
      </w:tr>
      <w:tr>
        <w:trPr/>
        <w:tc>
          <w:tcPr>
            <w:tcW w:w="26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114"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5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75" w:type="dxa"/>
            <w:tcBorders/>
            <w:vAlign w:val="bottom"/>
          </w:tcPr>
          <w:p>
            <w:pPr>
              <w:pStyle w:val="TableContents"/>
              <w:bidi w:val="0"/>
              <w:spacing w:before="0" w:after="283"/>
              <w:jc w:val="left"/>
              <w:rPr/>
            </w:pPr>
            <w:r>
              <w:rPr/>
              <w:t> </w:t>
            </w:r>
          </w:p>
        </w:tc>
      </w:tr>
      <w:tr>
        <w:trPr/>
        <w:tc>
          <w:tcPr>
            <w:tcW w:w="26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Indefinite life intangible assets:</w:t>
            </w:r>
          </w:p>
        </w:tc>
        <w:tc>
          <w:tcPr>
            <w:tcW w:w="60" w:type="dxa"/>
            <w:tcBorders/>
            <w:vAlign w:val="bottom"/>
          </w:tcPr>
          <w:p>
            <w:pPr>
              <w:pStyle w:val="TableContents"/>
              <w:bidi w:val="0"/>
              <w:spacing w:before="0" w:after="283"/>
              <w:jc w:val="left"/>
              <w:rPr/>
            </w:pPr>
            <w:r>
              <w:rPr/>
              <w:t> </w:t>
            </w:r>
          </w:p>
        </w:tc>
        <w:tc>
          <w:tcPr>
            <w:tcW w:w="1358" w:type="dxa"/>
            <w:gridSpan w:val="2"/>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58"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60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Trademarks and trade names</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2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24,599</w:t>
            </w:r>
          </w:p>
        </w:tc>
        <w:tc>
          <w:tcPr>
            <w:tcW w:w="11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2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24,599</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9403" w:type="dxa"/>
        <w:jc w:val="left"/>
        <w:tblInd w:w="0" w:type="dxa"/>
        <w:tblLayout w:type="fixed"/>
        <w:tblCellMar>
          <w:top w:w="0" w:type="dxa"/>
          <w:left w:w="0" w:type="dxa"/>
          <w:bottom w:w="0" w:type="dxa"/>
          <w:right w:w="0" w:type="dxa"/>
        </w:tblCellMar>
      </w:tblPr>
      <w:tblGrid>
        <w:gridCol w:w="2270"/>
        <w:gridCol w:w="60"/>
        <w:gridCol w:w="206"/>
        <w:gridCol w:w="1148"/>
        <w:gridCol w:w="60"/>
        <w:gridCol w:w="60"/>
        <w:gridCol w:w="176"/>
        <w:gridCol w:w="984"/>
        <w:gridCol w:w="60"/>
        <w:gridCol w:w="60"/>
        <w:gridCol w:w="206"/>
        <w:gridCol w:w="1148"/>
        <w:gridCol w:w="60"/>
        <w:gridCol w:w="60"/>
        <w:gridCol w:w="176"/>
        <w:gridCol w:w="984"/>
        <w:gridCol w:w="60"/>
        <w:gridCol w:w="1625"/>
      </w:tblGrid>
      <w:tr>
        <w:trPr/>
        <w:tc>
          <w:tcPr>
            <w:tcW w:w="22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34" w:type="dxa"/>
            <w:gridSpan w:val="6"/>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December 31, 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34" w:type="dxa"/>
            <w:gridSpan w:val="6"/>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December 31, 2024</w:t>
            </w:r>
          </w:p>
        </w:tc>
        <w:tc>
          <w:tcPr>
            <w:tcW w:w="60" w:type="dxa"/>
            <w:tcBorders/>
            <w:vAlign w:val="bottom"/>
          </w:tcPr>
          <w:p>
            <w:pPr>
              <w:pStyle w:val="TableContents"/>
              <w:bidi w:val="0"/>
              <w:spacing w:before="0" w:after="283"/>
              <w:jc w:val="left"/>
              <w:rPr/>
            </w:pPr>
            <w:r>
              <w:rPr/>
              <w:t> </w:t>
            </w:r>
          </w:p>
        </w:tc>
        <w:tc>
          <w:tcPr>
            <w:tcW w:w="1625" w:type="dxa"/>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Weighted-average </w:t>
            </w:r>
          </w:p>
        </w:tc>
      </w:tr>
      <w:tr>
        <w:trPr/>
        <w:tc>
          <w:tcPr>
            <w:tcW w:w="227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Finite life intangible assets:</w:t>
            </w:r>
          </w:p>
        </w:tc>
        <w:tc>
          <w:tcPr>
            <w:tcW w:w="60"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Gross Carrying</w:t>
            </w:r>
          </w:p>
          <w:p>
            <w:pPr>
              <w:pStyle w:val="TableContents"/>
              <w:bidi w:val="0"/>
              <w:spacing w:before="0" w:after="0"/>
              <w:jc w:val="center"/>
              <w:rPr>
                <w:rFonts w:ascii="Times New Roman" w:hAnsi="Times New Roman"/>
                <w:b/>
                <w:sz w:val="20"/>
              </w:rPr>
            </w:pPr>
            <w:r>
              <w:rPr>
                <w:rFonts w:ascii="Times New Roman" w:hAnsi="Times New Roman"/>
                <w:b/>
                <w:sz w:val="2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Accumulated</w:t>
            </w:r>
          </w:p>
          <w:p>
            <w:pPr>
              <w:pStyle w:val="TableContents"/>
              <w:bidi w:val="0"/>
              <w:spacing w:before="0" w:after="0"/>
              <w:jc w:val="center"/>
              <w:rPr>
                <w:rFonts w:ascii="Times New Roman" w:hAnsi="Times New Roman"/>
                <w:b/>
                <w:sz w:val="20"/>
              </w:rPr>
            </w:pPr>
            <w:r>
              <w:rPr>
                <w:rFonts w:ascii="Times New Roman" w:hAnsi="Times New Roman"/>
                <w:b/>
                <w:sz w:val="20"/>
              </w:rPr>
              <w:t>Amortization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Gross Carrying</w:t>
            </w:r>
          </w:p>
          <w:p>
            <w:pPr>
              <w:pStyle w:val="TableContents"/>
              <w:bidi w:val="0"/>
              <w:spacing w:before="0" w:after="0"/>
              <w:jc w:val="center"/>
              <w:rPr>
                <w:rFonts w:ascii="Times New Roman" w:hAnsi="Times New Roman"/>
                <w:b/>
                <w:sz w:val="20"/>
              </w:rPr>
            </w:pPr>
            <w:r>
              <w:rPr>
                <w:rFonts w:ascii="Times New Roman" w:hAnsi="Times New Roman"/>
                <w:b/>
                <w:sz w:val="2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Accumulated</w:t>
            </w:r>
          </w:p>
          <w:p>
            <w:pPr>
              <w:pStyle w:val="TableContents"/>
              <w:bidi w:val="0"/>
              <w:spacing w:before="0" w:after="0"/>
              <w:jc w:val="center"/>
              <w:rPr>
                <w:rFonts w:ascii="Times New Roman" w:hAnsi="Times New Roman"/>
                <w:b/>
                <w:sz w:val="20"/>
              </w:rPr>
            </w:pPr>
            <w:r>
              <w:rPr>
                <w:rFonts w:ascii="Times New Roman" w:hAnsi="Times New Roman"/>
                <w:b/>
                <w:sz w:val="20"/>
              </w:rPr>
              <w:t>Amortization</w:t>
            </w:r>
          </w:p>
        </w:tc>
        <w:tc>
          <w:tcPr>
            <w:tcW w:w="60" w:type="dxa"/>
            <w:tcBorders/>
            <w:vAlign w:val="bottom"/>
          </w:tcPr>
          <w:p>
            <w:pPr>
              <w:pStyle w:val="TableContents"/>
              <w:bidi w:val="0"/>
              <w:spacing w:before="0" w:after="283"/>
              <w:jc w:val="left"/>
              <w:rPr/>
            </w:pPr>
            <w:r>
              <w:rPr/>
              <w:t> </w:t>
            </w:r>
          </w:p>
        </w:tc>
        <w:tc>
          <w:tcPr>
            <w:tcW w:w="1625"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Amortization</w:t>
            </w:r>
          </w:p>
          <w:p>
            <w:pPr>
              <w:pStyle w:val="TableContents"/>
              <w:bidi w:val="0"/>
              <w:spacing w:before="0" w:after="0"/>
              <w:jc w:val="center"/>
              <w:rPr>
                <w:rFonts w:ascii="Times New Roman" w:hAnsi="Times New Roman"/>
                <w:b/>
                <w:sz w:val="20"/>
              </w:rPr>
            </w:pPr>
            <w:r>
              <w:rPr>
                <w:rFonts w:ascii="Times New Roman" w:hAnsi="Times New Roman"/>
                <w:b/>
                <w:sz w:val="20"/>
              </w:rPr>
              <w:t>Period</w:t>
            </w:r>
          </w:p>
        </w:tc>
      </w:tr>
      <w:tr>
        <w:trPr/>
        <w:tc>
          <w:tcPr>
            <w:tcW w:w="227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Scanner technology</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4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40,716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40,716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4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40,716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40,716</w:t>
            </w:r>
          </w:p>
        </w:tc>
        <w:tc>
          <w:tcPr>
            <w:tcW w:w="60" w:type="dxa"/>
            <w:tcBorders/>
            <w:shd w:fill="CCEEFF" w:val="clear"/>
            <w:vAlign w:val="bottom"/>
          </w:tcPr>
          <w:p>
            <w:pPr>
              <w:pStyle w:val="TableContents"/>
              <w:bidi w:val="0"/>
              <w:spacing w:before="0" w:after="283"/>
              <w:jc w:val="left"/>
              <w:rPr/>
            </w:pPr>
            <w:r>
              <w:rPr/>
              <w:t> </w:t>
            </w:r>
          </w:p>
        </w:tc>
        <w:tc>
          <w:tcPr>
            <w:tcW w:w="1625" w:type="dxa"/>
            <w:tcBorders/>
            <w:shd w:fill="CCEEFF" w:val="clear"/>
            <w:vAlign w:val="bottom"/>
          </w:tcPr>
          <w:p>
            <w:pPr>
              <w:pStyle w:val="TableContents"/>
              <w:bidi w:val="0"/>
              <w:spacing w:before="0" w:after="0"/>
              <w:jc w:val="center"/>
              <w:rPr>
                <w:rFonts w:ascii="Times New Roman" w:hAnsi="Times New Roman"/>
                <w:sz w:val="20"/>
              </w:rPr>
            </w:pPr>
            <w:r>
              <w:rPr>
                <w:rFonts w:ascii="Times New Roman" w:hAnsi="Times New Roman"/>
                <w:sz w:val="20"/>
              </w:rPr>
              <w:t>18 years</w:t>
            </w:r>
          </w:p>
        </w:tc>
      </w:tr>
      <w:tr>
        <w:trPr/>
        <w:tc>
          <w:tcPr>
            <w:tcW w:w="227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Developed technology</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34,766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29,815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36,526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28,254</w:t>
            </w:r>
          </w:p>
        </w:tc>
        <w:tc>
          <w:tcPr>
            <w:tcW w:w="60" w:type="dxa"/>
            <w:tcBorders/>
            <w:vAlign w:val="bottom"/>
          </w:tcPr>
          <w:p>
            <w:pPr>
              <w:pStyle w:val="TableContents"/>
              <w:bidi w:val="0"/>
              <w:spacing w:before="0" w:after="283"/>
              <w:jc w:val="left"/>
              <w:rPr/>
            </w:pPr>
            <w:r>
              <w:rPr/>
              <w:t> </w:t>
            </w:r>
          </w:p>
        </w:tc>
        <w:tc>
          <w:tcPr>
            <w:tcW w:w="1625"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16 years</w:t>
            </w:r>
          </w:p>
        </w:tc>
      </w:tr>
      <w:tr>
        <w:trPr/>
        <w:tc>
          <w:tcPr>
            <w:tcW w:w="227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Sales force network</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11,598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11,598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11,598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11,598</w:t>
            </w:r>
          </w:p>
        </w:tc>
        <w:tc>
          <w:tcPr>
            <w:tcW w:w="60" w:type="dxa"/>
            <w:tcBorders/>
            <w:shd w:fill="CCEEFF" w:val="clear"/>
            <w:vAlign w:val="bottom"/>
          </w:tcPr>
          <w:p>
            <w:pPr>
              <w:pStyle w:val="TableContents"/>
              <w:bidi w:val="0"/>
              <w:spacing w:before="0" w:after="283"/>
              <w:jc w:val="left"/>
              <w:rPr/>
            </w:pPr>
            <w:r>
              <w:rPr/>
              <w:t> </w:t>
            </w:r>
          </w:p>
        </w:tc>
        <w:tc>
          <w:tcPr>
            <w:tcW w:w="1625" w:type="dxa"/>
            <w:tcBorders/>
            <w:shd w:fill="CCEEFF" w:val="clear"/>
            <w:vAlign w:val="bottom"/>
          </w:tcPr>
          <w:p>
            <w:pPr>
              <w:pStyle w:val="TableContents"/>
              <w:bidi w:val="0"/>
              <w:spacing w:before="0" w:after="0"/>
              <w:jc w:val="center"/>
              <w:rPr>
                <w:rFonts w:ascii="Times New Roman" w:hAnsi="Times New Roman"/>
                <w:sz w:val="20"/>
              </w:rPr>
            </w:pPr>
            <w:r>
              <w:rPr>
                <w:rFonts w:ascii="Times New Roman" w:hAnsi="Times New Roman"/>
                <w:sz w:val="20"/>
              </w:rPr>
              <w:t>15 years</w:t>
            </w:r>
          </w:p>
        </w:tc>
      </w:tr>
      <w:tr>
        <w:trPr/>
        <w:tc>
          <w:tcPr>
            <w:tcW w:w="227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Trademarks</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7,467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4,673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26,386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5,789</w:t>
            </w:r>
          </w:p>
        </w:tc>
        <w:tc>
          <w:tcPr>
            <w:tcW w:w="60" w:type="dxa"/>
            <w:tcBorders/>
            <w:vAlign w:val="bottom"/>
          </w:tcPr>
          <w:p>
            <w:pPr>
              <w:pStyle w:val="TableContents"/>
              <w:bidi w:val="0"/>
              <w:spacing w:before="0" w:after="283"/>
              <w:jc w:val="left"/>
              <w:rPr/>
            </w:pPr>
            <w:r>
              <w:rPr/>
              <w:t> </w:t>
            </w:r>
          </w:p>
        </w:tc>
        <w:tc>
          <w:tcPr>
            <w:tcW w:w="1625"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13 years</w:t>
            </w:r>
          </w:p>
        </w:tc>
      </w:tr>
      <w:tr>
        <w:trPr/>
        <w:tc>
          <w:tcPr>
            <w:tcW w:w="2270" w:type="dxa"/>
            <w:tcBorders/>
            <w:shd w:fill="CCEEFF" w:val="clear"/>
            <w:vAlign w:val="bottom"/>
          </w:tcPr>
          <w:p>
            <w:pPr>
              <w:pStyle w:val="TableContents"/>
              <w:bidi w:val="0"/>
              <w:spacing w:before="0" w:after="0"/>
              <w:ind w:left="360" w:right="0" w:hanging="180"/>
              <w:jc w:val="left"/>
              <w:rPr/>
            </w:pPr>
            <w:r>
              <w:rPr/>
              <w:t>Customer relationships</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35,649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31,420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40,718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28,141</w:t>
            </w:r>
          </w:p>
        </w:tc>
        <w:tc>
          <w:tcPr>
            <w:tcW w:w="60" w:type="dxa"/>
            <w:tcBorders/>
            <w:shd w:fill="CCEEFF" w:val="clear"/>
            <w:vAlign w:val="bottom"/>
          </w:tcPr>
          <w:p>
            <w:pPr>
              <w:pStyle w:val="TableContents"/>
              <w:bidi w:val="0"/>
              <w:spacing w:before="0" w:after="283"/>
              <w:jc w:val="left"/>
              <w:rPr/>
            </w:pPr>
            <w:r>
              <w:rPr/>
              <w:t> </w:t>
            </w:r>
          </w:p>
        </w:tc>
        <w:tc>
          <w:tcPr>
            <w:tcW w:w="1625" w:type="dxa"/>
            <w:tcBorders/>
            <w:shd w:fill="CCEEFF" w:val="clear"/>
            <w:vAlign w:val="bottom"/>
          </w:tcPr>
          <w:p>
            <w:pPr>
              <w:pStyle w:val="TableContents"/>
              <w:bidi w:val="0"/>
              <w:spacing w:before="0" w:after="283"/>
              <w:jc w:val="center"/>
              <w:rPr/>
            </w:pPr>
            <w:r>
              <w:rPr/>
              <w:t>8 years</w:t>
            </w:r>
          </w:p>
        </w:tc>
      </w:tr>
      <w:tr>
        <w:trPr/>
        <w:tc>
          <w:tcPr>
            <w:tcW w:w="227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Other</w:t>
            </w:r>
          </w:p>
        </w:tc>
        <w:tc>
          <w:tcPr>
            <w:tcW w:w="60" w:type="dxa"/>
            <w:tcBorders/>
            <w:vAlign w:val="bottom"/>
          </w:tcPr>
          <w:p>
            <w:pPr>
              <w:pStyle w:val="TableContents"/>
              <w:bidi w:val="0"/>
              <w:spacing w:before="0" w:after="283"/>
              <w:jc w:val="left"/>
              <w:rPr/>
            </w:pPr>
            <w:r>
              <w:rPr/>
              <w:t> </w:t>
            </w:r>
          </w:p>
        </w:tc>
        <w:tc>
          <w:tcPr>
            <w:tcW w:w="20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4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19,127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98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13,086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4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19,777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98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11,544</w:t>
            </w:r>
          </w:p>
        </w:tc>
        <w:tc>
          <w:tcPr>
            <w:tcW w:w="60" w:type="dxa"/>
            <w:tcBorders/>
            <w:vAlign w:val="bottom"/>
          </w:tcPr>
          <w:p>
            <w:pPr>
              <w:pStyle w:val="TableContents"/>
              <w:bidi w:val="0"/>
              <w:spacing w:before="0" w:after="283"/>
              <w:jc w:val="left"/>
              <w:rPr/>
            </w:pPr>
            <w:r>
              <w:rPr/>
              <w:t> </w:t>
            </w:r>
          </w:p>
        </w:tc>
        <w:tc>
          <w:tcPr>
            <w:tcW w:w="1625"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13 years</w:t>
            </w:r>
          </w:p>
        </w:tc>
      </w:tr>
      <w:tr>
        <w:trPr/>
        <w:tc>
          <w:tcPr>
            <w:tcW w:w="22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4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149,323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131,308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4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175,721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126,042</w:t>
            </w:r>
          </w:p>
        </w:tc>
        <w:tc>
          <w:tcPr>
            <w:tcW w:w="60" w:type="dxa"/>
            <w:tcBorders/>
            <w:shd w:fill="CCEEFF" w:val="clear"/>
            <w:vAlign w:val="bottom"/>
          </w:tcPr>
          <w:p>
            <w:pPr>
              <w:pStyle w:val="TableContents"/>
              <w:bidi w:val="0"/>
              <w:spacing w:before="0" w:after="283"/>
              <w:jc w:val="left"/>
              <w:rPr/>
            </w:pPr>
            <w:r>
              <w:rPr/>
              <w:t> </w:t>
            </w:r>
          </w:p>
        </w:tc>
        <w:tc>
          <w:tcPr>
            <w:tcW w:w="1625" w:type="dxa"/>
            <w:tcBorders/>
            <w:shd w:fill="CCEEFF" w:val="clear"/>
            <w:vAlign w:val="bottom"/>
          </w:tcPr>
          <w:p>
            <w:pPr>
              <w:pStyle w:val="TableContents"/>
              <w:bidi w:val="0"/>
              <w:spacing w:before="0" w:after="0"/>
              <w:jc w:val="center"/>
              <w:rPr>
                <w:rFonts w:ascii="Times New Roman" w:hAnsi="Times New Roman"/>
                <w:sz w:val="20"/>
              </w:rPr>
            </w:pPr>
            <w:r>
              <w:rPr>
                <w:rFonts w:ascii="Times New Roman" w:hAnsi="Times New Roman"/>
                <w:sz w:val="20"/>
              </w:rPr>
              <w:t>14 years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Amortization of finite-life intangible assets totaled $7.1 million, $12.3 million and $11.9 million for the years ended December 31, 2025, 2024 and 2023, respectively.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estimated annual amortization expense for each of the five succeeding fiscal years are as follows (U.S. dollars in thousands):</w:t>
      </w:r>
    </w:p>
    <w:p>
      <w:pPr>
        <w:pStyle w:val="TextBody"/>
        <w:bidi w:val="0"/>
        <w:spacing w:before="0" w:after="0"/>
        <w:jc w:val="left"/>
        <w:rPr/>
      </w:pPr>
      <w:r>
        <w:rPr/>
      </w:r>
    </w:p>
    <w:tbl>
      <w:tblPr>
        <w:tblW w:w="3060" w:type="dxa"/>
        <w:jc w:val="left"/>
        <w:tblInd w:w="0" w:type="dxa"/>
        <w:tblLayout w:type="fixed"/>
        <w:tblCellMar>
          <w:top w:w="0" w:type="dxa"/>
          <w:left w:w="0" w:type="dxa"/>
          <w:bottom w:w="28" w:type="dxa"/>
          <w:right w:w="0" w:type="dxa"/>
        </w:tblCellMar>
      </w:tblPr>
      <w:tblGrid>
        <w:gridCol w:w="2315"/>
        <w:gridCol w:w="60"/>
        <w:gridCol w:w="125"/>
        <w:gridCol w:w="485"/>
        <w:gridCol w:w="75"/>
      </w:tblGrid>
      <w:tr>
        <w:trPr/>
        <w:tc>
          <w:tcPr>
            <w:tcW w:w="2315" w:type="dxa"/>
            <w:tcBorders>
              <w:bottom w:val="single" w:sz="12" w:space="0" w:color="000000"/>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Year Ending December 31,</w:t>
            </w:r>
          </w:p>
        </w:tc>
        <w:tc>
          <w:tcPr>
            <w:tcW w:w="60" w:type="dxa"/>
            <w:tcBorders/>
            <w:tcMar>
              <w:bottom w:w="0" w:type="dxa"/>
            </w:tcMar>
            <w:vAlign w:val="bottom"/>
          </w:tcPr>
          <w:p>
            <w:pPr>
              <w:pStyle w:val="TableContents"/>
              <w:bidi w:val="0"/>
              <w:spacing w:before="0" w:after="283"/>
              <w:jc w:val="left"/>
              <w:rPr/>
            </w:pPr>
            <w:r>
              <w:rPr/>
              <w:t> </w:t>
            </w:r>
          </w:p>
        </w:tc>
        <w:tc>
          <w:tcPr>
            <w:tcW w:w="610" w:type="dxa"/>
            <w:gridSpan w:val="2"/>
            <w:tcBorders/>
            <w:tcMar>
              <w:bottom w:w="0" w:type="dxa"/>
            </w:tcMar>
            <w:vAlign w:val="bottom"/>
          </w:tcPr>
          <w:p>
            <w:pPr>
              <w:pStyle w:val="TableContents"/>
              <w:bidi w:val="0"/>
              <w:spacing w:before="0" w:after="283"/>
              <w:jc w:val="left"/>
              <w:rPr/>
            </w:pPr>
            <w:r>
              <w:rPr/>
              <w:t> </w:t>
            </w:r>
          </w:p>
        </w:tc>
        <w:tc>
          <w:tcPr>
            <w:tcW w:w="75" w:type="dxa"/>
            <w:tcBorders/>
            <w:tcMar>
              <w:bottom w:w="0" w:type="dxa"/>
            </w:tcMar>
            <w:vAlign w:val="bottom"/>
          </w:tcPr>
          <w:p>
            <w:pPr>
              <w:pStyle w:val="TableContents"/>
              <w:bidi w:val="0"/>
              <w:spacing w:before="0" w:after="283"/>
              <w:jc w:val="left"/>
              <w:rPr/>
            </w:pPr>
            <w:r>
              <w:rPr/>
              <w:t> </w:t>
            </w:r>
          </w:p>
        </w:tc>
      </w:tr>
      <w:tr>
        <w:trPr/>
        <w:tc>
          <w:tcPr>
            <w:tcW w:w="231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6,342</w:t>
            </w:r>
          </w:p>
        </w:tc>
        <w:tc>
          <w:tcPr>
            <w:tcW w:w="75" w:type="dxa"/>
            <w:tcBorders/>
            <w:shd w:fill="CCEEFF" w:val="clear"/>
            <w:tcMar>
              <w:bottom w:w="0" w:type="dxa"/>
            </w:tcMar>
            <w:vAlign w:val="bottom"/>
          </w:tcPr>
          <w:p>
            <w:pPr>
              <w:pStyle w:val="TableContents"/>
              <w:bidi w:val="0"/>
              <w:spacing w:before="0" w:after="283"/>
              <w:jc w:val="left"/>
              <w:rPr/>
            </w:pPr>
            <w:r>
              <w:rPr/>
              <w:t> </w:t>
            </w:r>
          </w:p>
        </w:tc>
      </w:tr>
      <w:tr>
        <w:trPr/>
        <w:tc>
          <w:tcPr>
            <w:tcW w:w="2315" w:type="dxa"/>
            <w:tcBorders/>
            <w:shd w:fill="FFFF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60" w:type="dxa"/>
            <w:tcBorders/>
            <w:shd w:fill="FFFFFF" w:val="clear"/>
            <w:tcMar>
              <w:bottom w:w="0" w:type="dxa"/>
            </w:tcMar>
            <w:vAlign w:val="bottom"/>
          </w:tcPr>
          <w:p>
            <w:pPr>
              <w:pStyle w:val="TableContents"/>
              <w:bidi w:val="0"/>
              <w:spacing w:before="0" w:after="283"/>
              <w:jc w:val="left"/>
              <w:rPr/>
            </w:pPr>
            <w:r>
              <w:rPr/>
              <w:t> </w:t>
            </w:r>
          </w:p>
        </w:tc>
        <w:tc>
          <w:tcPr>
            <w:tcW w:w="125" w:type="dxa"/>
            <w:tcBorders/>
            <w:shd w:fill="FFFFFF" w:val="clear"/>
            <w:tcMar>
              <w:bottom w:w="0" w:type="dxa"/>
            </w:tcMar>
            <w:vAlign w:val="bottom"/>
          </w:tcPr>
          <w:p>
            <w:pPr>
              <w:pStyle w:val="TableContents"/>
              <w:bidi w:val="0"/>
              <w:spacing w:before="0" w:after="283"/>
              <w:jc w:val="left"/>
              <w:rPr/>
            </w:pPr>
            <w:r>
              <w:rPr/>
              <w:t> </w:t>
            </w:r>
          </w:p>
        </w:tc>
        <w:tc>
          <w:tcPr>
            <w:tcW w:w="485" w:type="dxa"/>
            <w:tcBorders/>
            <w:shd w:fill="FFFF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4,175</w:t>
            </w:r>
          </w:p>
        </w:tc>
        <w:tc>
          <w:tcPr>
            <w:tcW w:w="75" w:type="dxa"/>
            <w:tcBorders/>
            <w:shd w:fill="FFFFFF" w:val="clear"/>
            <w:tcMar>
              <w:bottom w:w="0" w:type="dxa"/>
            </w:tcMar>
            <w:vAlign w:val="bottom"/>
          </w:tcPr>
          <w:p>
            <w:pPr>
              <w:pStyle w:val="TableContents"/>
              <w:bidi w:val="0"/>
              <w:spacing w:before="0" w:after="283"/>
              <w:jc w:val="left"/>
              <w:rPr/>
            </w:pPr>
            <w:r>
              <w:rPr/>
              <w:t> </w:t>
            </w:r>
          </w:p>
        </w:tc>
      </w:tr>
      <w:tr>
        <w:trPr/>
        <w:tc>
          <w:tcPr>
            <w:tcW w:w="231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485"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3,912</w:t>
            </w:r>
          </w:p>
        </w:tc>
        <w:tc>
          <w:tcPr>
            <w:tcW w:w="75" w:type="dxa"/>
            <w:tcBorders/>
            <w:shd w:fill="CCEEFF" w:val="clear"/>
            <w:tcMar>
              <w:bottom w:w="0" w:type="dxa"/>
            </w:tcMar>
            <w:vAlign w:val="bottom"/>
          </w:tcPr>
          <w:p>
            <w:pPr>
              <w:pStyle w:val="TableContents"/>
              <w:bidi w:val="0"/>
              <w:spacing w:before="0" w:after="283"/>
              <w:jc w:val="left"/>
              <w:rPr/>
            </w:pPr>
            <w:r>
              <w:rPr/>
              <w:t> </w:t>
            </w:r>
          </w:p>
        </w:tc>
      </w:tr>
      <w:tr>
        <w:trPr/>
        <w:tc>
          <w:tcPr>
            <w:tcW w:w="2315" w:type="dxa"/>
            <w:tcBorders/>
            <w:shd w:fill="FFFF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60" w:type="dxa"/>
            <w:tcBorders/>
            <w:shd w:fill="FFFFFF" w:val="clear"/>
            <w:tcMar>
              <w:bottom w:w="0" w:type="dxa"/>
            </w:tcMar>
            <w:vAlign w:val="bottom"/>
          </w:tcPr>
          <w:p>
            <w:pPr>
              <w:pStyle w:val="TableContents"/>
              <w:bidi w:val="0"/>
              <w:spacing w:before="0" w:after="283"/>
              <w:jc w:val="left"/>
              <w:rPr/>
            </w:pPr>
            <w:r>
              <w:rPr/>
              <w:t> </w:t>
            </w:r>
          </w:p>
        </w:tc>
        <w:tc>
          <w:tcPr>
            <w:tcW w:w="125" w:type="dxa"/>
            <w:tcBorders/>
            <w:shd w:fill="FFFFFF" w:val="clear"/>
            <w:tcMar>
              <w:bottom w:w="0" w:type="dxa"/>
            </w:tcMar>
            <w:vAlign w:val="bottom"/>
          </w:tcPr>
          <w:p>
            <w:pPr>
              <w:pStyle w:val="TableContents"/>
              <w:bidi w:val="0"/>
              <w:spacing w:before="0" w:after="283"/>
              <w:jc w:val="left"/>
              <w:rPr/>
            </w:pPr>
            <w:r>
              <w:rPr/>
              <w:t> </w:t>
            </w:r>
          </w:p>
        </w:tc>
        <w:tc>
          <w:tcPr>
            <w:tcW w:w="485" w:type="dxa"/>
            <w:tcBorders/>
            <w:shd w:fill="FFFF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1,599</w:t>
            </w:r>
          </w:p>
        </w:tc>
        <w:tc>
          <w:tcPr>
            <w:tcW w:w="75" w:type="dxa"/>
            <w:tcBorders/>
            <w:shd w:fill="FFFFFF" w:val="clear"/>
            <w:tcMar>
              <w:bottom w:w="0" w:type="dxa"/>
            </w:tcMar>
            <w:vAlign w:val="bottom"/>
          </w:tcPr>
          <w:p>
            <w:pPr>
              <w:pStyle w:val="TableContents"/>
              <w:bidi w:val="0"/>
              <w:spacing w:before="0" w:after="283"/>
              <w:jc w:val="left"/>
              <w:rPr/>
            </w:pPr>
            <w:r>
              <w:rPr/>
              <w:t> </w:t>
            </w:r>
          </w:p>
        </w:tc>
      </w:tr>
      <w:tr>
        <w:trPr/>
        <w:tc>
          <w:tcPr>
            <w:tcW w:w="231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485"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778</w:t>
            </w:r>
          </w:p>
        </w:tc>
        <w:tc>
          <w:tcPr>
            <w:tcW w:w="75"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b w:val="false"/>
          <w:i w:val="false"/>
          <w:caps w:val="false"/>
          <w:smallCaps w:val="false"/>
          <w:color w:val="000000"/>
          <w:sz w:val="20"/>
          <w:shd w:fill="FFFFFF" w:val="clear"/>
        </w:rPr>
        <w:t>Indefinite life intangible assets are not amortized, rather they are subject to annual impairment tests. Finite life intangibles are amortized over their useful lives. The Company reviews long-lived assets for impairment when performance expectations, events or change in circumstances indicate that the assets’ carrying value may not be recoverable.  The evaluation is performed at the lowest level of identifiable cash flows by comparing the carrying value of the asset group to the net undiscounted cash flows. If the evaluation indicates that the carrying amount of the assets may not be recoverable, any potential impairment is measured based upon the fair value of the related asset group.</w:t>
      </w:r>
      <w:r>
        <w:rPr>
          <w:rFonts w:ascii="Times New Roman" w:hAnsi="Times New Roman"/>
          <w:color w:val="000000"/>
          <w:sz w:val="20"/>
          <w:shd w:fill="FFFFFF" w:val="clear"/>
        </w:rPr>
        <w:t xml:space="preserve"> </w:t>
      </w:r>
    </w:p>
    <w:p>
      <w:pPr>
        <w:pStyle w:val="TextBody"/>
        <w:bidi w:val="0"/>
        <w:spacing w:before="0" w:after="0"/>
        <w:ind w:left="0" w:right="0" w:hanging="0"/>
        <w:jc w:val="both"/>
        <w:rPr/>
      </w:pPr>
      <w:r>
        <w:rPr/>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During the second quarter of 2024, based on continued losses and change in forecasted losses associated with the BeautyBio retail asset group within the Rhyz Other segment, the Company concluded that these factors were an interim triggering event. As a result, the Company performed an interim impairment test of the asset group and assessed the recoverability of the related asset group by comparing the carrying value of the retail asset group to the net undiscounted cash flow expected to be generated. The recoverability test indicated that the retail asset group was impaired. The Company concluded the retail asset group’s carrying value exceeded its estimated fair value, which was determined utilizing the discounted projected future cash flows, which resulted in an impairment charge. The estimated fair value was based on expected future cash flows using level 3 inputs and utilized management estimates related to revenue growth rates, profitability margins and discount rates. The Company recorded an impairment charge of $10.1 million for its Rhyz Other segment during the three months ended June 30, 2024 within restructuring and impairment expenses on the consolidated statement of income. Following the impairment, the retail asset group has a remaining carrying value of $2.3 million with a remaining amortization period of approximately 9 years.</w:t>
      </w:r>
    </w:p>
    <w:p>
      <w:pPr>
        <w:pStyle w:val="TextBody"/>
        <w:bidi w:val="0"/>
        <w:spacing w:before="0" w:after="0"/>
        <w:ind w:left="0" w:right="0" w:hanging="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pacing w:val="0"/>
          <w:sz w:val="16"/>
          <w:shd w:fill="FFFFFF" w:val="clear"/>
        </w:rPr>
      </w:pPr>
      <w:r>
        <w:rPr>
          <w:rFonts w:ascii="Times New Roman;Times;serif" w:hAnsi="Times New Roman;Times;serif"/>
          <w:b w:val="false"/>
          <w:i w:val="false"/>
          <w:caps w:val="false"/>
          <w:smallCaps w:val="false"/>
          <w:color w:val="000000"/>
          <w:spacing w:val="0"/>
          <w:sz w:val="16"/>
          <w:shd w:fill="FFFFFF" w:val="clear"/>
        </w:rPr>
        <w:t>83</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b w:val="false"/>
            <w:i/>
            <w:caps w:val="false"/>
            <w:smallCaps w:val="false"/>
            <w:color w:val="000000"/>
            <w:spacing w:val="0"/>
            <w:sz w:val="16"/>
            <w:shd w:fill="FFFFFF" w:val="clear"/>
          </w:rPr>
          <w:t>Table of Contents</w:t>
        </w:r>
      </w:hyperlink>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 xml:space="preserve">During the first quarter of 2025, the Company decided to make a strategic shift in how it operates the BeautyBio asset group. These strategy changes included exiting certain sales channels which reduced the forecasted revenues for BeautyBio. The Company concluded these actions were an interim impairment triggering event. As a result, the Company performed an interim impairment test of the asset group and assessed the recoverability of the related asset group by comparing the carrying value of the asset group to the net undiscounted cash flow expected to be generated. The recoverability test indicated that the asset group was impaired. The Company concluded the asset group’s carrying value exceeded its estimated fair value, which was determined utilizing the discounted projected future cash flows, which resulted in an impairment charge. The estimated fair value was based on expected future cash flows using level 3 inputs and utilized management estimates related to revenue growth rates, profitability margins and discount rates. As a result, during the three months ended March 31, 2025, the Company recorded an impairment charge of $25.1 million on the BeautyBio asset group, which is part of its Rhyz Other segment within restructuring and impairment expenses on the consolidated statement of income. </w:t>
      </w:r>
      <w:r>
        <w:rPr>
          <w:rFonts w:ascii="Times New Roman;Times;serif" w:hAnsi="Times New Roman;Times;serif"/>
          <w:b w:val="false"/>
          <w:i w:val="false"/>
          <w:caps w:val="false"/>
          <w:smallCaps w:val="false"/>
          <w:color w:val="000000"/>
          <w:spacing w:val="0"/>
          <w:sz w:val="20"/>
          <w:shd w:fill="FFFFFF" w:val="clear"/>
        </w:rPr>
        <w:t>As of the impairment date, the</w:t>
      </w:r>
      <w:r>
        <w:rPr>
          <w:rFonts w:ascii="Times New Roman" w:hAnsi="Times New Roman"/>
          <w:b w:val="false"/>
          <w:i w:val="false"/>
          <w:caps w:val="false"/>
          <w:smallCaps w:val="false"/>
          <w:color w:val="000000"/>
          <w:spacing w:val="0"/>
          <w:sz w:val="20"/>
          <w:shd w:fill="FFFFFF" w:val="clear"/>
        </w:rPr>
        <w:t xml:space="preserve"> BeautyBio asset group </w:t>
      </w:r>
      <w:r>
        <w:rPr>
          <w:rFonts w:ascii="Times New Roman;Times;serif" w:hAnsi="Times New Roman;Times;serif"/>
          <w:b w:val="false"/>
          <w:i w:val="false"/>
          <w:caps w:val="false"/>
          <w:smallCaps w:val="false"/>
          <w:color w:val="000000"/>
          <w:spacing w:val="0"/>
          <w:sz w:val="20"/>
          <w:shd w:fill="FFFFFF" w:val="clear"/>
        </w:rPr>
        <w:t>had</w:t>
      </w:r>
      <w:r>
        <w:rPr>
          <w:rFonts w:ascii="Times New Roman" w:hAnsi="Times New Roman"/>
          <w:b w:val="false"/>
          <w:i w:val="false"/>
          <w:caps w:val="false"/>
          <w:smallCaps w:val="false"/>
          <w:color w:val="000000"/>
          <w:spacing w:val="0"/>
          <w:sz w:val="20"/>
          <w:shd w:fill="FFFFFF" w:val="clear"/>
        </w:rPr>
        <w:t xml:space="preserve"> a remaining carrying value of $2.3 million with a remaining weighted-average amortization period of approximately 7 years.</w:t>
      </w:r>
    </w:p>
    <w:p>
      <w:pPr>
        <w:pStyle w:val="TextBody"/>
        <w:bidi w:val="0"/>
        <w:spacing w:before="0" w:after="0"/>
        <w:jc w:val="left"/>
        <w:rPr/>
      </w:pPr>
      <w:r>
        <w:rPr/>
      </w:r>
    </w:p>
    <w:tbl>
      <w:tblPr>
        <w:tblW w:w="1645" w:type="dxa"/>
        <w:jc w:val="left"/>
        <w:tblInd w:w="0" w:type="dxa"/>
        <w:tblLayout w:type="fixed"/>
        <w:tblCellMar>
          <w:top w:w="0" w:type="dxa"/>
          <w:left w:w="0" w:type="dxa"/>
          <w:bottom w:w="0" w:type="dxa"/>
          <w:right w:w="0" w:type="dxa"/>
        </w:tblCellMar>
      </w:tblPr>
      <w:tblGrid>
        <w:gridCol w:w="185"/>
        <w:gridCol w:w="1460"/>
      </w:tblGrid>
      <w:tr>
        <w:trPr/>
        <w:tc>
          <w:tcPr>
            <w:tcW w:w="18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7.</w:t>
            </w:r>
          </w:p>
        </w:tc>
        <w:tc>
          <w:tcPr>
            <w:tcW w:w="146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Long-Term Debt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color w:val="000000"/>
          <w:spacing w:val="0"/>
          <w:sz w:val="20"/>
          <w:shd w:fill="FFFFFF" w:val="clear"/>
        </w:rPr>
      </w:pPr>
      <w:r>
        <w:rPr>
          <w:rFonts w:ascii="Times New Roman" w:hAnsi="Times New Roman"/>
          <w:b w:val="false"/>
          <w:i/>
          <w:color w:val="000000"/>
          <w:spacing w:val="0"/>
          <w:sz w:val="20"/>
          <w:shd w:fill="FFFFFF" w:val="clear"/>
        </w:rPr>
        <w:t>Credit Agreement</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left"/>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On June 14, 2022, the Company entered into an Amended and Restated Credit Agreement (the “Credit Agreement”) with several financial institutions as lenders and Bank of America, N.A., as administrative agent, which amended and restated the 2018 Credit Agreement. The Credit Agreement provides for a $400 million term loan facility and a $500 million revolving credit facility, each with a term of five years.  Both facilities bear interest at the SOFR, plus a margin based on the Company’s consolidated leverage ratio. Commitment fees payable under the Credit Agreement are also based on the consolidated leverage ratio as defined in the Credit Agreement and range from 0.175% to 0.30% on the unused portion of the total lender commitments then in effect. The term loan facility amortizes in quarterly installments in amounts resulting in an annual amortization of 2.5% during the first year and 5.0% during the second, third, fourth and fifth years after the closing date of the Credit Agreement, with the remainder payable at final maturity. The Credit Agreement is guaranteed by certain of the Company’s domestic subsidiaries and collateralized by assets of such subsidiaries, including a pledge of 65% of the capital stock of certain foreign subsidiaries. The Credit Agreement requires the Company to maintain a consolidated leverage ratio not exceeding 2.75 to 1.00 and a consolidated interest coverage ratio of no less than 3.00 to 1.00. As of December 31, 2025, the Company was in compliance with all covenants under the Credit Agreement.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summarizes the Company’s debt facilities as of December 31, 2025 and 2024:</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681"/>
        <w:gridCol w:w="60"/>
        <w:gridCol w:w="905"/>
        <w:gridCol w:w="60"/>
        <w:gridCol w:w="1022"/>
        <w:gridCol w:w="60"/>
        <w:gridCol w:w="961"/>
        <w:gridCol w:w="60"/>
        <w:gridCol w:w="1174"/>
        <w:gridCol w:w="60"/>
        <w:gridCol w:w="4162"/>
      </w:tblGrid>
      <w:tr>
        <w:trPr/>
        <w:tc>
          <w:tcPr>
            <w:tcW w:w="1681"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Facility or Arrangement</w:t>
            </w:r>
          </w:p>
        </w:tc>
        <w:tc>
          <w:tcPr>
            <w:tcW w:w="60" w:type="dxa"/>
            <w:tcBorders/>
            <w:tcMar>
              <w:bottom w:w="0" w:type="dxa"/>
            </w:tcMar>
            <w:vAlign w:val="center"/>
          </w:tcPr>
          <w:p>
            <w:pPr>
              <w:pStyle w:val="TableContents"/>
              <w:bidi w:val="0"/>
              <w:spacing w:before="0" w:after="283"/>
              <w:jc w:val="left"/>
              <w:rPr/>
            </w:pPr>
            <w:r>
              <w:rPr/>
              <w:t> </w:t>
            </w:r>
          </w:p>
        </w:tc>
        <w:tc>
          <w:tcPr>
            <w:tcW w:w="905"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Original</w:t>
            </w:r>
          </w:p>
          <w:p>
            <w:pPr>
              <w:pStyle w:val="TableContents"/>
              <w:bidi w:val="0"/>
              <w:spacing w:before="0" w:after="0"/>
              <w:jc w:val="center"/>
              <w:rPr>
                <w:rFonts w:ascii="Times New Roman" w:hAnsi="Times New Roman"/>
                <w:b/>
                <w:sz w:val="20"/>
              </w:rPr>
            </w:pPr>
            <w:r>
              <w:rPr>
                <w:rFonts w:ascii="Times New Roman" w:hAnsi="Times New Roman"/>
                <w:b/>
                <w:sz w:val="20"/>
              </w:rPr>
              <w:t>Principal</w:t>
            </w:r>
          </w:p>
          <w:p>
            <w:pPr>
              <w:pStyle w:val="TableContents"/>
              <w:bidi w:val="0"/>
              <w:spacing w:before="0" w:after="0"/>
              <w:jc w:val="center"/>
              <w:rPr>
                <w:rFonts w:ascii="Times New Roman" w:hAnsi="Times New Roman"/>
                <w:b/>
                <w:sz w:val="20"/>
              </w:rPr>
            </w:pPr>
            <w:r>
              <w:rPr>
                <w:rFonts w:ascii="Times New Roman" w:hAnsi="Times New Roman"/>
                <w:b/>
                <w:sz w:val="20"/>
              </w:rPr>
              <w:t>Amount</w:t>
            </w:r>
          </w:p>
        </w:tc>
        <w:tc>
          <w:tcPr>
            <w:tcW w:w="60" w:type="dxa"/>
            <w:tcBorders/>
            <w:tcMar>
              <w:bottom w:w="0" w:type="dxa"/>
            </w:tcMar>
            <w:vAlign w:val="center"/>
          </w:tcPr>
          <w:p>
            <w:pPr>
              <w:pStyle w:val="TableContents"/>
              <w:bidi w:val="0"/>
              <w:spacing w:before="0" w:after="283"/>
              <w:jc w:val="left"/>
              <w:rPr/>
            </w:pPr>
            <w:r>
              <w:rPr/>
              <w:t> </w:t>
            </w:r>
          </w:p>
        </w:tc>
        <w:tc>
          <w:tcPr>
            <w:tcW w:w="1022"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Balance as of</w:t>
            </w:r>
          </w:p>
          <w:p>
            <w:pPr>
              <w:pStyle w:val="TableContents"/>
              <w:bidi w:val="0"/>
              <w:spacing w:before="0" w:after="0"/>
              <w:jc w:val="center"/>
              <w:rPr>
                <w:rFonts w:ascii="Times New Roman" w:hAnsi="Times New Roman"/>
                <w:b/>
                <w:sz w:val="20"/>
              </w:rPr>
            </w:pPr>
            <w:r>
              <w:rPr>
                <w:rFonts w:ascii="Times New Roman" w:hAnsi="Times New Roman"/>
                <w:b/>
                <w:sz w:val="20"/>
              </w:rPr>
              <w:t>December 31,</w:t>
            </w:r>
          </w:p>
          <w:p>
            <w:pPr>
              <w:pStyle w:val="TableContents"/>
              <w:bidi w:val="0"/>
              <w:spacing w:before="0" w:after="0"/>
              <w:jc w:val="center"/>
              <w:rPr>
                <w:rFonts w:ascii="Times New Roman" w:hAnsi="Times New Roman"/>
                <w:sz w:val="20"/>
              </w:rPr>
            </w:pPr>
            <w:r>
              <w:rPr>
                <w:rFonts w:ascii="Times New Roman" w:hAnsi="Times New Roman"/>
                <w:b/>
                <w:sz w:val="20"/>
              </w:rPr>
              <w:t>2025 </w:t>
            </w:r>
            <w:r>
              <w:rPr>
                <w:rFonts w:ascii="Times New Roman" w:hAnsi="Times New Roman"/>
                <w:position w:val="7"/>
                <w:sz w:val="16"/>
                <w:sz w:val="20"/>
              </w:rPr>
              <w:t>(1)(2)</w:t>
            </w:r>
          </w:p>
        </w:tc>
        <w:tc>
          <w:tcPr>
            <w:tcW w:w="60" w:type="dxa"/>
            <w:tcBorders/>
            <w:tcMar>
              <w:bottom w:w="0" w:type="dxa"/>
            </w:tcMar>
            <w:vAlign w:val="center"/>
          </w:tcPr>
          <w:p>
            <w:pPr>
              <w:pStyle w:val="TableContents"/>
              <w:bidi w:val="0"/>
              <w:spacing w:before="0" w:after="283"/>
              <w:jc w:val="left"/>
              <w:rPr/>
            </w:pPr>
            <w:r>
              <w:rPr/>
              <w:t> </w:t>
            </w:r>
          </w:p>
        </w:tc>
        <w:tc>
          <w:tcPr>
            <w:tcW w:w="961"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Balance as of</w:t>
            </w:r>
          </w:p>
          <w:p>
            <w:pPr>
              <w:pStyle w:val="TableContents"/>
              <w:bidi w:val="0"/>
              <w:spacing w:before="0" w:after="0"/>
              <w:jc w:val="center"/>
              <w:rPr>
                <w:rFonts w:ascii="Times New Roman" w:hAnsi="Times New Roman"/>
                <w:b/>
                <w:sz w:val="20"/>
              </w:rPr>
            </w:pPr>
            <w:r>
              <w:rPr>
                <w:rFonts w:ascii="Times New Roman" w:hAnsi="Times New Roman"/>
                <w:b/>
                <w:sz w:val="20"/>
              </w:rPr>
              <w:t xml:space="preserve">December 31, </w:t>
            </w:r>
          </w:p>
          <w:p>
            <w:pPr>
              <w:pStyle w:val="TableContents"/>
              <w:bidi w:val="0"/>
              <w:spacing w:before="0" w:after="0"/>
              <w:jc w:val="center"/>
              <w:rPr>
                <w:rFonts w:ascii="Times New Roman" w:hAnsi="Times New Roman"/>
                <w:sz w:val="20"/>
              </w:rPr>
            </w:pPr>
            <w:r>
              <w:rPr>
                <w:rFonts w:ascii="Times New Roman" w:hAnsi="Times New Roman"/>
                <w:b/>
                <w:sz w:val="20"/>
              </w:rPr>
              <w:t xml:space="preserve">2024 </w:t>
            </w:r>
            <w:r>
              <w:rPr>
                <w:rFonts w:ascii="Times New Roman" w:hAnsi="Times New Roman"/>
                <w:position w:val="7"/>
                <w:sz w:val="16"/>
                <w:sz w:val="20"/>
              </w:rPr>
              <w:t>(1)(2)</w:t>
            </w:r>
          </w:p>
        </w:tc>
        <w:tc>
          <w:tcPr>
            <w:tcW w:w="60" w:type="dxa"/>
            <w:tcBorders/>
            <w:tcMar>
              <w:bottom w:w="0" w:type="dxa"/>
            </w:tcMar>
            <w:vAlign w:val="center"/>
          </w:tcPr>
          <w:p>
            <w:pPr>
              <w:pStyle w:val="TableContents"/>
              <w:bidi w:val="0"/>
              <w:spacing w:before="0" w:after="283"/>
              <w:jc w:val="left"/>
              <w:rPr/>
            </w:pPr>
            <w:r>
              <w:rPr/>
              <w:t> </w:t>
            </w:r>
          </w:p>
        </w:tc>
        <w:tc>
          <w:tcPr>
            <w:tcW w:w="1174"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 xml:space="preserve">Interest </w:t>
            </w:r>
          </w:p>
          <w:p>
            <w:pPr>
              <w:pStyle w:val="TableContents"/>
              <w:bidi w:val="0"/>
              <w:spacing w:before="0" w:after="0"/>
              <w:jc w:val="center"/>
              <w:rPr>
                <w:rFonts w:ascii="Times New Roman" w:hAnsi="Times New Roman"/>
                <w:b/>
                <w:sz w:val="20"/>
              </w:rPr>
            </w:pPr>
            <w:r>
              <w:rPr>
                <w:rFonts w:ascii="Times New Roman" w:hAnsi="Times New Roman"/>
                <w:b/>
                <w:sz w:val="20"/>
              </w:rPr>
              <w:t>Rate</w:t>
            </w:r>
          </w:p>
        </w:tc>
        <w:tc>
          <w:tcPr>
            <w:tcW w:w="60" w:type="dxa"/>
            <w:tcBorders/>
            <w:tcMar>
              <w:bottom w:w="0" w:type="dxa"/>
            </w:tcMar>
            <w:vAlign w:val="center"/>
          </w:tcPr>
          <w:p>
            <w:pPr>
              <w:pStyle w:val="TableContents"/>
              <w:bidi w:val="0"/>
              <w:spacing w:before="0" w:after="283"/>
              <w:jc w:val="left"/>
              <w:rPr/>
            </w:pPr>
            <w:r>
              <w:rPr/>
              <w:t> </w:t>
            </w:r>
          </w:p>
        </w:tc>
        <w:tc>
          <w:tcPr>
            <w:tcW w:w="4162"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Repayment</w:t>
            </w:r>
          </w:p>
          <w:p>
            <w:pPr>
              <w:pStyle w:val="TableContents"/>
              <w:bidi w:val="0"/>
              <w:spacing w:before="0" w:after="0"/>
              <w:jc w:val="center"/>
              <w:rPr>
                <w:rFonts w:ascii="Times New Roman" w:hAnsi="Times New Roman"/>
                <w:b/>
                <w:sz w:val="20"/>
              </w:rPr>
            </w:pPr>
            <w:r>
              <w:rPr>
                <w:rFonts w:ascii="Times New Roman" w:hAnsi="Times New Roman"/>
                <w:b/>
                <w:sz w:val="20"/>
              </w:rPr>
              <w:t>Terms</w:t>
            </w:r>
          </w:p>
        </w:tc>
      </w:tr>
      <w:tr>
        <w:trPr/>
        <w:tc>
          <w:tcPr>
            <w:tcW w:w="1681"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Credit Agreement term loan facility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$400.0 million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2"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$225.0 million</w:t>
            </w:r>
          </w:p>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1"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 xml:space="preserve">$360.0 million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4" w:type="dxa"/>
            <w:tcBorders/>
            <w:shd w:fill="CCEEFF" w:val="clear"/>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Variable 30 day: 5.57%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62" w:type="dxa"/>
            <w:tcBorders/>
            <w:shd w:fill="CCEEFF" w:val="clear"/>
            <w:tcMar>
              <w:bottom w:w="0"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21% of the principal amount is payable in increasing quarterly installments over a five-year period that began on September 30, 2022, with the remainder payable at the end of the five-year term.</w:t>
            </w:r>
          </w:p>
        </w:tc>
      </w:tr>
      <w:tr>
        <w:trPr/>
        <w:tc>
          <w:tcPr>
            <w:tcW w:w="168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2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62" w:type="dxa"/>
            <w:tcBorders/>
            <w:tcMar>
              <w:bottom w:w="0" w:type="dxa"/>
            </w:tcMar>
            <w:vAlign w:val="center"/>
          </w:tcPr>
          <w:p>
            <w:pPr>
              <w:pStyle w:val="TableContents"/>
              <w:bidi w:val="0"/>
              <w:spacing w:before="0" w:after="283"/>
              <w:jc w:val="left"/>
              <w:rPr/>
            </w:pPr>
            <w:r>
              <w:rPr/>
              <w:t> </w:t>
            </w:r>
          </w:p>
        </w:tc>
      </w:tr>
      <w:tr>
        <w:trPr/>
        <w:tc>
          <w:tcPr>
            <w:tcW w:w="1681"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Credit Agreement revolving credit facility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2"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 million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1"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$35.0 million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4" w:type="dxa"/>
            <w:tcBorders/>
            <w:shd w:fill="CCEEFF" w:val="clear"/>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Variable 30 day: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62" w:type="dxa"/>
            <w:tcBorders/>
            <w:shd w:fill="CCEEFF" w:val="clear"/>
            <w:tcMar>
              <w:bottom w:w="0"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Revolving line of credit expires June 14, 2027.</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997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As of December 31, 2025 and 2024, the current portion of the Company’s debt (i.e. becoming due in the next 12 months) included $20.0 million and $20.0 million, respectively, of the balance of its term loan under the Credit Agreement.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997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carrying value of the debt reflects the amounts stated in the above table, less debt issuance costs of $0.8 million and $1.4 million as of December 31, 2025 and 2024, respectively, related to the Credit Agreement, which are not reflected in this table.</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84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Maturities of all long-term debt at December 31, 2025, are as follows (U.S. dollars in thousands):</w:t>
      </w:r>
    </w:p>
    <w:p>
      <w:pPr>
        <w:pStyle w:val="TextBody"/>
        <w:bidi w:val="0"/>
        <w:spacing w:before="0" w:after="0"/>
        <w:jc w:val="left"/>
        <w:rPr/>
      </w:pPr>
      <w:r>
        <w:rPr/>
      </w:r>
    </w:p>
    <w:tbl>
      <w:tblPr>
        <w:tblW w:w="3270" w:type="dxa"/>
        <w:jc w:val="left"/>
        <w:tblInd w:w="0" w:type="dxa"/>
        <w:tblLayout w:type="fixed"/>
        <w:tblCellMar>
          <w:top w:w="0" w:type="dxa"/>
          <w:left w:w="0" w:type="dxa"/>
          <w:bottom w:w="28" w:type="dxa"/>
          <w:right w:w="0" w:type="dxa"/>
        </w:tblCellMar>
      </w:tblPr>
      <w:tblGrid>
        <w:gridCol w:w="2315"/>
        <w:gridCol w:w="60"/>
        <w:gridCol w:w="125"/>
        <w:gridCol w:w="695"/>
        <w:gridCol w:w="75"/>
      </w:tblGrid>
      <w:tr>
        <w:trPr/>
        <w:tc>
          <w:tcPr>
            <w:tcW w:w="2315" w:type="dxa"/>
            <w:tcBorders>
              <w:bottom w:val="single" w:sz="12" w:space="0" w:color="000000"/>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Year Ending December 31,</w:t>
            </w:r>
          </w:p>
        </w:tc>
        <w:tc>
          <w:tcPr>
            <w:tcW w:w="60" w:type="dxa"/>
            <w:tcBorders/>
            <w:tcMar>
              <w:bottom w:w="0" w:type="dxa"/>
            </w:tcMar>
            <w:vAlign w:val="bottom"/>
          </w:tcPr>
          <w:p>
            <w:pPr>
              <w:pStyle w:val="TableContents"/>
              <w:bidi w:val="0"/>
              <w:spacing w:before="0" w:after="283"/>
              <w:jc w:val="left"/>
              <w:rPr/>
            </w:pPr>
            <w:r>
              <w:rPr/>
              <w:t> </w:t>
            </w:r>
          </w:p>
        </w:tc>
        <w:tc>
          <w:tcPr>
            <w:tcW w:w="820" w:type="dxa"/>
            <w:gridSpan w:val="2"/>
            <w:tcBorders/>
            <w:tcMar>
              <w:bottom w:w="0" w:type="dxa"/>
            </w:tcMar>
            <w:vAlign w:val="bottom"/>
          </w:tcPr>
          <w:p>
            <w:pPr>
              <w:pStyle w:val="TableContents"/>
              <w:bidi w:val="0"/>
              <w:spacing w:before="0" w:after="283"/>
              <w:jc w:val="left"/>
              <w:rPr/>
            </w:pPr>
            <w:r>
              <w:rPr/>
              <w:t> </w:t>
            </w:r>
          </w:p>
        </w:tc>
        <w:tc>
          <w:tcPr>
            <w:tcW w:w="75" w:type="dxa"/>
            <w:tcBorders/>
            <w:tcMar>
              <w:bottom w:w="0" w:type="dxa"/>
            </w:tcMar>
            <w:vAlign w:val="bottom"/>
          </w:tcPr>
          <w:p>
            <w:pPr>
              <w:pStyle w:val="TableContents"/>
              <w:bidi w:val="0"/>
              <w:spacing w:before="0" w:after="283"/>
              <w:jc w:val="left"/>
              <w:rPr/>
            </w:pPr>
            <w:r>
              <w:rPr/>
              <w:t> </w:t>
            </w:r>
          </w:p>
        </w:tc>
      </w:tr>
      <w:tr>
        <w:trPr/>
        <w:tc>
          <w:tcPr>
            <w:tcW w:w="2315" w:type="dxa"/>
            <w:tcBorders/>
            <w:shd w:fill="CCEEFF" w:val="clear"/>
            <w:tcMar>
              <w:bottom w:w="0" w:type="dxa"/>
            </w:tcMar>
            <w:vAlign w:val="bottom"/>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2026</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20,000</w:t>
            </w:r>
          </w:p>
        </w:tc>
        <w:tc>
          <w:tcPr>
            <w:tcW w:w="75" w:type="dxa"/>
            <w:tcBorders/>
            <w:shd w:fill="CCEEFF" w:val="clear"/>
            <w:tcMar>
              <w:bottom w:w="0" w:type="dxa"/>
            </w:tcMar>
            <w:vAlign w:val="bottom"/>
          </w:tcPr>
          <w:p>
            <w:pPr>
              <w:pStyle w:val="TableContents"/>
              <w:bidi w:val="0"/>
              <w:spacing w:before="0" w:after="283"/>
              <w:jc w:val="left"/>
              <w:rPr/>
            </w:pPr>
            <w:r>
              <w:rPr/>
              <w:t> </w:t>
            </w:r>
          </w:p>
        </w:tc>
      </w:tr>
      <w:tr>
        <w:trPr/>
        <w:tc>
          <w:tcPr>
            <w:tcW w:w="2315" w:type="dxa"/>
            <w:tcBorders/>
            <w:tcMar>
              <w:bottom w:w="0" w:type="dxa"/>
            </w:tcMar>
            <w:vAlign w:val="bottom"/>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2027</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283"/>
              <w:jc w:val="left"/>
              <w:rPr/>
            </w:pPr>
            <w:r>
              <w:rPr/>
              <w:t> </w:t>
            </w:r>
          </w:p>
        </w:tc>
        <w:tc>
          <w:tcPr>
            <w:tcW w:w="695"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205,000</w:t>
            </w:r>
          </w:p>
        </w:tc>
        <w:tc>
          <w:tcPr>
            <w:tcW w:w="75" w:type="dxa"/>
            <w:tcBorders/>
            <w:tcMar>
              <w:bottom w:w="0" w:type="dxa"/>
            </w:tcMar>
            <w:vAlign w:val="bottom"/>
          </w:tcPr>
          <w:p>
            <w:pPr>
              <w:pStyle w:val="TableContents"/>
              <w:bidi w:val="0"/>
              <w:spacing w:before="0" w:after="283"/>
              <w:jc w:val="left"/>
              <w:rPr/>
            </w:pPr>
            <w:r>
              <w:rPr/>
              <w:t> </w:t>
            </w:r>
          </w:p>
        </w:tc>
      </w:tr>
      <w:tr>
        <w:trPr/>
        <w:tc>
          <w:tcPr>
            <w:tcW w:w="2315" w:type="dxa"/>
            <w:tcBorders/>
            <w:shd w:fill="CCEEFF" w:val="clear"/>
            <w:tcMar>
              <w:bottom w:w="0" w:type="dxa"/>
            </w:tcMar>
            <w:vAlign w:val="bottom"/>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2028</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695" w:type="dxa"/>
            <w:tcBorders/>
            <w:shd w:fill="CCEEFF" w:val="clear"/>
            <w:tcMar>
              <w:bottom w:w="0" w:type="dxa"/>
            </w:tcMar>
            <w:vAlign w:val="bottom"/>
          </w:tcPr>
          <w:p>
            <w:pPr>
              <w:pStyle w:val="TableContents"/>
              <w:bidi w:val="0"/>
              <w:spacing w:before="0" w:after="0"/>
              <w:jc w:val="right"/>
              <w:rPr/>
            </w:pPr>
            <w:r>
              <w:rPr/>
              <w:t>—</w:t>
            </w:r>
          </w:p>
        </w:tc>
        <w:tc>
          <w:tcPr>
            <w:tcW w:w="75" w:type="dxa"/>
            <w:tcBorders/>
            <w:shd w:fill="CCEEFF" w:val="clear"/>
            <w:tcMar>
              <w:bottom w:w="0" w:type="dxa"/>
            </w:tcMar>
            <w:vAlign w:val="bottom"/>
          </w:tcPr>
          <w:p>
            <w:pPr>
              <w:pStyle w:val="TableContents"/>
              <w:bidi w:val="0"/>
              <w:spacing w:before="0" w:after="283"/>
              <w:jc w:val="left"/>
              <w:rPr/>
            </w:pPr>
            <w:r>
              <w:rPr/>
              <w:t> </w:t>
            </w:r>
          </w:p>
        </w:tc>
      </w:tr>
      <w:tr>
        <w:trPr/>
        <w:tc>
          <w:tcPr>
            <w:tcW w:w="2315" w:type="dxa"/>
            <w:tcBorders/>
            <w:tcMar>
              <w:bottom w:w="0" w:type="dxa"/>
            </w:tcMar>
            <w:vAlign w:val="bottom"/>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2029</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283"/>
              <w:jc w:val="left"/>
              <w:rPr/>
            </w:pPr>
            <w:r>
              <w:rPr/>
              <w:t> </w:t>
            </w:r>
          </w:p>
        </w:tc>
        <w:tc>
          <w:tcPr>
            <w:tcW w:w="695" w:type="dxa"/>
            <w:tcBorders/>
            <w:tcMar>
              <w:bottom w:w="0" w:type="dxa"/>
            </w:tcMar>
            <w:vAlign w:val="bottom"/>
          </w:tcPr>
          <w:p>
            <w:pPr>
              <w:pStyle w:val="TableContents"/>
              <w:bidi w:val="0"/>
              <w:spacing w:before="0" w:after="0"/>
              <w:jc w:val="right"/>
              <w:rPr/>
            </w:pPr>
            <w:r>
              <w:rPr/>
              <w:t>—</w:t>
            </w:r>
          </w:p>
        </w:tc>
        <w:tc>
          <w:tcPr>
            <w:tcW w:w="75" w:type="dxa"/>
            <w:tcBorders/>
            <w:tcMar>
              <w:bottom w:w="0" w:type="dxa"/>
            </w:tcMar>
            <w:vAlign w:val="bottom"/>
          </w:tcPr>
          <w:p>
            <w:pPr>
              <w:pStyle w:val="TableContents"/>
              <w:bidi w:val="0"/>
              <w:spacing w:before="0" w:after="283"/>
              <w:jc w:val="left"/>
              <w:rPr/>
            </w:pPr>
            <w:r>
              <w:rPr/>
              <w:t> </w:t>
            </w:r>
          </w:p>
        </w:tc>
      </w:tr>
      <w:tr>
        <w:trPr/>
        <w:tc>
          <w:tcPr>
            <w:tcW w:w="2315" w:type="dxa"/>
            <w:tcBorders/>
            <w:shd w:fill="CCEEFF" w:val="clear"/>
            <w:tcMar>
              <w:bottom w:w="0" w:type="dxa"/>
            </w:tcMar>
            <w:vAlign w:val="bottom"/>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2030</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695" w:type="dxa"/>
            <w:tcBorders/>
            <w:shd w:fill="CCEEFF" w:val="clear"/>
            <w:tcMar>
              <w:bottom w:w="0" w:type="dxa"/>
            </w:tcMar>
            <w:vAlign w:val="bottom"/>
          </w:tcPr>
          <w:p>
            <w:pPr>
              <w:pStyle w:val="TableContents"/>
              <w:bidi w:val="0"/>
              <w:spacing w:before="0" w:after="0"/>
              <w:jc w:val="right"/>
              <w:rPr/>
            </w:pPr>
            <w:r>
              <w:rPr/>
              <w:t>—</w:t>
            </w:r>
          </w:p>
        </w:tc>
        <w:tc>
          <w:tcPr>
            <w:tcW w:w="75" w:type="dxa"/>
            <w:tcBorders/>
            <w:shd w:fill="CCEEFF" w:val="clear"/>
            <w:tcMar>
              <w:bottom w:w="0" w:type="dxa"/>
            </w:tcMar>
            <w:vAlign w:val="bottom"/>
          </w:tcPr>
          <w:p>
            <w:pPr>
              <w:pStyle w:val="TableContents"/>
              <w:bidi w:val="0"/>
              <w:spacing w:before="0" w:after="283"/>
              <w:jc w:val="left"/>
              <w:rPr/>
            </w:pPr>
            <w:r>
              <w:rPr/>
              <w:t> </w:t>
            </w:r>
          </w:p>
        </w:tc>
      </w:tr>
      <w:tr>
        <w:trPr/>
        <w:tc>
          <w:tcPr>
            <w:tcW w:w="2315" w:type="dxa"/>
            <w:tcBorders/>
            <w:tcMar>
              <w:bottom w:w="0" w:type="dxa"/>
            </w:tcM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Thereafter</w:t>
            </w:r>
          </w:p>
        </w:tc>
        <w:tc>
          <w:tcPr>
            <w:tcW w:w="60" w:type="dxa"/>
            <w:tcBorders/>
            <w:tcMar>
              <w:bottom w:w="0" w:type="dxa"/>
            </w:tcMar>
            <w:vAlign w:val="bottom"/>
          </w:tcPr>
          <w:p>
            <w:pPr>
              <w:pStyle w:val="TableContents"/>
              <w:bidi w:val="0"/>
              <w:spacing w:before="0" w:after="283"/>
              <w:jc w:val="left"/>
              <w:rPr/>
            </w:pPr>
            <w:r>
              <w:rPr/>
              <w:t> </w:t>
            </w:r>
          </w:p>
        </w:tc>
        <w:tc>
          <w:tcPr>
            <w:tcW w:w="125" w:type="dxa"/>
            <w:tcBorders>
              <w:bottom w:val="single" w:sz="12" w:space="0" w:color="000000"/>
            </w:tcBorders>
            <w:vAlign w:val="bottom"/>
          </w:tcPr>
          <w:p>
            <w:pPr>
              <w:pStyle w:val="TableContents"/>
              <w:bidi w:val="0"/>
              <w:spacing w:before="0" w:after="283"/>
              <w:jc w:val="left"/>
              <w:rPr/>
            </w:pPr>
            <w:r>
              <w:rPr/>
              <w:t> </w:t>
            </w:r>
          </w:p>
        </w:tc>
        <w:tc>
          <w:tcPr>
            <w:tcW w:w="695" w:type="dxa"/>
            <w:tcBorders>
              <w:bottom w:val="single" w:sz="12" w:space="0" w:color="000000"/>
            </w:tcBorders>
            <w:vAlign w:val="bottom"/>
          </w:tcPr>
          <w:p>
            <w:pPr>
              <w:pStyle w:val="TableContents"/>
              <w:bidi w:val="0"/>
              <w:spacing w:before="0" w:after="0"/>
              <w:jc w:val="right"/>
              <w:rPr/>
            </w:pPr>
            <w:r>
              <w:rPr/>
              <w:t>—</w:t>
            </w:r>
          </w:p>
        </w:tc>
        <w:tc>
          <w:tcPr>
            <w:tcW w:w="75" w:type="dxa"/>
            <w:tcBorders/>
            <w:tcMar>
              <w:bottom w:w="0" w:type="dxa"/>
            </w:tcMar>
            <w:vAlign w:val="bottom"/>
          </w:tcPr>
          <w:p>
            <w:pPr>
              <w:pStyle w:val="TableContents"/>
              <w:bidi w:val="0"/>
              <w:spacing w:before="0" w:after="283"/>
              <w:jc w:val="left"/>
              <w:rPr/>
            </w:pPr>
            <w:r>
              <w:rPr/>
              <w:t> </w:t>
            </w:r>
          </w:p>
        </w:tc>
      </w:tr>
      <w:tr>
        <w:trPr/>
        <w:tc>
          <w:tcPr>
            <w:tcW w:w="231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 xml:space="preserve">Total </w:t>
            </w:r>
            <w:r>
              <w:rPr>
                <w:rFonts w:ascii="Times New Roman" w:hAnsi="Times New Roman"/>
                <w:position w:val="7"/>
                <w:sz w:val="16"/>
                <w:sz w:val="20"/>
              </w:rPr>
              <w:t>(1)</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bottom w:val="double" w:sz="8" w:space="0" w:color="000000"/>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225,000</w:t>
            </w:r>
          </w:p>
        </w:tc>
        <w:tc>
          <w:tcPr>
            <w:tcW w:w="75"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7900" w:type="dxa"/>
        <w:jc w:val="left"/>
        <w:tblInd w:w="0" w:type="dxa"/>
        <w:tblLayout w:type="fixed"/>
        <w:tblCellMar>
          <w:top w:w="0" w:type="dxa"/>
          <w:left w:w="0" w:type="dxa"/>
          <w:bottom w:w="0" w:type="dxa"/>
          <w:right w:w="0" w:type="dxa"/>
        </w:tblCellMar>
      </w:tblPr>
      <w:tblGrid>
        <w:gridCol w:w="260"/>
        <w:gridCol w:w="7640"/>
      </w:tblGrid>
      <w:tr>
        <w:trPr/>
        <w:tc>
          <w:tcPr>
            <w:tcW w:w="26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76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carrying value of the debt in the above table excludes debt issuance costs of $0.8 million.</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Cash paid for interest totaled $16.7 million, $35.3 million and $33.3 million for the years ended December 31, 2025, 2024 and 2023.</w:t>
      </w:r>
    </w:p>
    <w:p>
      <w:pPr>
        <w:pStyle w:val="TextBody"/>
        <w:bidi w:val="0"/>
        <w:spacing w:before="0" w:after="0"/>
        <w:jc w:val="left"/>
        <w:rPr/>
      </w:pPr>
      <w:r>
        <w:rPr/>
      </w:r>
    </w:p>
    <w:tbl>
      <w:tblPr>
        <w:tblW w:w="790" w:type="dxa"/>
        <w:jc w:val="left"/>
        <w:tblInd w:w="0" w:type="dxa"/>
        <w:tblLayout w:type="fixed"/>
        <w:tblCellMar>
          <w:top w:w="0" w:type="dxa"/>
          <w:left w:w="0" w:type="dxa"/>
          <w:bottom w:w="0" w:type="dxa"/>
          <w:right w:w="0" w:type="dxa"/>
        </w:tblCellMar>
      </w:tblPr>
      <w:tblGrid>
        <w:gridCol w:w="185"/>
        <w:gridCol w:w="605"/>
      </w:tblGrid>
      <w:tr>
        <w:trPr/>
        <w:tc>
          <w:tcPr>
            <w:tcW w:w="18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8.</w:t>
            </w:r>
          </w:p>
        </w:tc>
        <w:tc>
          <w:tcPr>
            <w:tcW w:w="60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Leases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has operating and finance leases for regional offices, manufacturing facilities, retail centers, distribution centers and certain equipment. The Company’s leases have remaining lease terms of 1 year to 12 years, some of which include options to extend the leases for up to 20 years, and some of which include options to terminate the leases within 1 year.</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weighted-average remaining lease term and weighted-average discount rate are as follows: </w:t>
      </w:r>
    </w:p>
    <w:p>
      <w:pPr>
        <w:pStyle w:val="TextBody"/>
        <w:bidi w:val="0"/>
        <w:spacing w:before="0" w:after="0"/>
        <w:jc w:val="both"/>
        <w:rPr>
          <w:rFonts w:ascii="Times New Roman" w:hAnsi="Times New Roman"/>
          <w:sz w:val="20"/>
        </w:rPr>
      </w:pPr>
      <w:r>
        <w:rPr>
          <w:rFonts w:ascii="Times New Roman" w:hAnsi="Times New Roman"/>
          <w:sz w:val="20"/>
        </w:rPr>
      </w:r>
    </w:p>
    <w:tbl>
      <w:tblPr>
        <w:tblW w:w="5787" w:type="dxa"/>
        <w:jc w:val="left"/>
        <w:tblInd w:w="0" w:type="dxa"/>
        <w:tblLayout w:type="fixed"/>
        <w:tblCellMar>
          <w:top w:w="0" w:type="dxa"/>
          <w:left w:w="0" w:type="dxa"/>
          <w:bottom w:w="0" w:type="dxa"/>
          <w:right w:w="0" w:type="dxa"/>
        </w:tblCellMar>
      </w:tblPr>
      <w:tblGrid>
        <w:gridCol w:w="3305"/>
        <w:gridCol w:w="60"/>
        <w:gridCol w:w="89"/>
        <w:gridCol w:w="409"/>
        <w:gridCol w:w="275"/>
        <w:gridCol w:w="89"/>
        <w:gridCol w:w="89"/>
        <w:gridCol w:w="409"/>
        <w:gridCol w:w="275"/>
        <w:gridCol w:w="89"/>
        <w:gridCol w:w="89"/>
        <w:gridCol w:w="409"/>
        <w:gridCol w:w="200"/>
      </w:tblGrid>
      <w:tr>
        <w:trPr/>
        <w:tc>
          <w:tcPr>
            <w:tcW w:w="3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2"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Year Ended December 31,</w:t>
            </w:r>
          </w:p>
        </w:tc>
        <w:tc>
          <w:tcPr>
            <w:tcW w:w="200" w:type="dxa"/>
            <w:tcBorders/>
            <w:vAlign w:val="bottom"/>
          </w:tcPr>
          <w:p>
            <w:pPr>
              <w:pStyle w:val="TableContents"/>
              <w:bidi w:val="0"/>
              <w:spacing w:before="0" w:after="283"/>
              <w:jc w:val="left"/>
              <w:rPr/>
            </w:pPr>
            <w:r>
              <w:rPr/>
              <w:t> </w:t>
            </w:r>
          </w:p>
        </w:tc>
      </w:tr>
      <w:tr>
        <w:trPr/>
        <w:tc>
          <w:tcPr>
            <w:tcW w:w="3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27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49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27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49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200" w:type="dxa"/>
            <w:tcBorders/>
            <w:vAlign w:val="bottom"/>
          </w:tcPr>
          <w:p>
            <w:pPr>
              <w:pStyle w:val="TableContents"/>
              <w:bidi w:val="0"/>
              <w:spacing w:before="0" w:after="283"/>
              <w:jc w:val="left"/>
              <w:rPr/>
            </w:pPr>
            <w:r>
              <w:rPr/>
              <w:t> </w:t>
            </w:r>
          </w:p>
        </w:tc>
      </w:tr>
      <w:tr>
        <w:trPr/>
        <w:tc>
          <w:tcPr>
            <w:tcW w:w="3305" w:type="dxa"/>
            <w:tcBorders/>
            <w:vAlign w:val="bottom"/>
          </w:tcPr>
          <w:p>
            <w:pPr>
              <w:pStyle w:val="TableContents"/>
              <w:bidi w:val="0"/>
              <w:spacing w:before="0" w:after="0"/>
              <w:ind w:left="540" w:right="0" w:hanging="540"/>
              <w:jc w:val="left"/>
              <w:rPr>
                <w:rFonts w:ascii="Times New Roman" w:hAnsi="Times New Roman"/>
                <w:sz w:val="20"/>
              </w:rPr>
            </w:pPr>
            <w:r>
              <w:rPr>
                <w:rFonts w:ascii="Times New Roman" w:hAnsi="Times New Roman"/>
                <w:sz w:val="20"/>
              </w:rPr>
              <w:t>Weighted-average remaining lease term:</w:t>
            </w:r>
          </w:p>
        </w:tc>
        <w:tc>
          <w:tcPr>
            <w:tcW w:w="60" w:type="dxa"/>
            <w:tcBorders/>
            <w:vAlign w:val="bottom"/>
          </w:tcPr>
          <w:p>
            <w:pPr>
              <w:pStyle w:val="TableContents"/>
              <w:bidi w:val="0"/>
              <w:spacing w:before="0" w:after="283"/>
              <w:jc w:val="left"/>
              <w:rPr/>
            </w:pPr>
            <w:r>
              <w:rPr/>
              <w:t> </w:t>
            </w:r>
          </w:p>
        </w:tc>
        <w:tc>
          <w:tcPr>
            <w:tcW w:w="498"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498"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498" w:type="dxa"/>
            <w:gridSpan w:val="2"/>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r>
      <w:tr>
        <w:trPr/>
        <w:tc>
          <w:tcPr>
            <w:tcW w:w="3305" w:type="dxa"/>
            <w:tcBorders/>
            <w:shd w:fill="CCEEFF" w:val="clear"/>
            <w:vAlign w:val="bottom"/>
          </w:tcPr>
          <w:p>
            <w:pPr>
              <w:pStyle w:val="TableContents"/>
              <w:bidi w:val="0"/>
              <w:spacing w:before="0" w:after="0"/>
              <w:ind w:left="540" w:right="0" w:hanging="360"/>
              <w:jc w:val="left"/>
              <w:rPr>
                <w:rFonts w:ascii="Times New Roman" w:hAnsi="Times New Roman"/>
                <w:color w:val="000000"/>
                <w:sz w:val="20"/>
              </w:rPr>
            </w:pPr>
            <w:r>
              <w:rPr>
                <w:rFonts w:ascii="Times New Roman" w:hAnsi="Times New Roman"/>
                <w:color w:val="000000"/>
                <w:sz w:val="20"/>
              </w:rPr>
              <w:t>Operating leases</w:t>
            </w:r>
          </w:p>
        </w:tc>
        <w:tc>
          <w:tcPr>
            <w:tcW w:w="60" w:type="dxa"/>
            <w:tcBorders/>
            <w:shd w:fill="CCEEFF" w:val="clear"/>
            <w:vAlign w:val="bottom"/>
          </w:tcPr>
          <w:p>
            <w:pPr>
              <w:pStyle w:val="TableContents"/>
              <w:bidi w:val="0"/>
              <w:spacing w:before="0" w:after="283"/>
              <w:jc w:val="right"/>
              <w:rPr/>
            </w:pPr>
            <w:r>
              <w:rPr/>
              <w:t> </w:t>
            </w:r>
          </w:p>
        </w:tc>
        <w:tc>
          <w:tcPr>
            <w:tcW w:w="89"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w:t>
            </w:r>
          </w:p>
        </w:tc>
        <w:tc>
          <w:tcPr>
            <w:tcW w:w="27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right"/>
              <w:rPr/>
            </w:pPr>
            <w:r>
              <w:rPr/>
              <w:t> </w:t>
            </w:r>
          </w:p>
        </w:tc>
        <w:tc>
          <w:tcPr>
            <w:tcW w:w="89"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w:t>
            </w:r>
          </w:p>
        </w:tc>
        <w:tc>
          <w:tcPr>
            <w:tcW w:w="27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right"/>
              <w:rPr/>
            </w:pPr>
            <w:r>
              <w:rPr/>
              <w:t> </w:t>
            </w:r>
          </w:p>
        </w:tc>
        <w:tc>
          <w:tcPr>
            <w:tcW w:w="89"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w:t>
            </w:r>
          </w:p>
        </w:tc>
        <w:tc>
          <w:tcPr>
            <w:tcW w:w="200" w:type="dxa"/>
            <w:tcBorders/>
            <w:shd w:fill="CCEEFF" w:val="clear"/>
            <w:vAlign w:val="bottom"/>
          </w:tcPr>
          <w:p>
            <w:pPr>
              <w:pStyle w:val="TableContents"/>
              <w:bidi w:val="0"/>
              <w:spacing w:before="0" w:after="283"/>
              <w:jc w:val="left"/>
              <w:rPr/>
            </w:pPr>
            <w:r>
              <w:rPr/>
              <w:t> </w:t>
            </w:r>
          </w:p>
        </w:tc>
      </w:tr>
      <w:tr>
        <w:trPr/>
        <w:tc>
          <w:tcPr>
            <w:tcW w:w="3305" w:type="dxa"/>
            <w:tcBorders/>
            <w:vAlign w:val="bottom"/>
          </w:tcPr>
          <w:p>
            <w:pPr>
              <w:pStyle w:val="TableContents"/>
              <w:bidi w:val="0"/>
              <w:spacing w:before="0" w:after="0"/>
              <w:ind w:left="540" w:right="0" w:hanging="360"/>
              <w:jc w:val="left"/>
              <w:rPr>
                <w:rFonts w:ascii="Times New Roman" w:hAnsi="Times New Roman"/>
                <w:color w:val="000000"/>
                <w:sz w:val="20"/>
              </w:rPr>
            </w:pPr>
            <w:r>
              <w:rPr>
                <w:rFonts w:ascii="Times New Roman" w:hAnsi="Times New Roman"/>
                <w:color w:val="000000"/>
                <w:sz w:val="20"/>
              </w:rPr>
              <w:t>Finance leases</w:t>
            </w:r>
          </w:p>
        </w:tc>
        <w:tc>
          <w:tcPr>
            <w:tcW w:w="60" w:type="dxa"/>
            <w:tcBorders/>
            <w:vAlign w:val="bottom"/>
          </w:tcPr>
          <w:p>
            <w:pPr>
              <w:pStyle w:val="TableContents"/>
              <w:bidi w:val="0"/>
              <w:spacing w:before="0" w:after="283"/>
              <w:jc w:val="right"/>
              <w:rPr/>
            </w:pPr>
            <w:r>
              <w:rPr/>
              <w:t> </w:t>
            </w:r>
          </w:p>
        </w:tc>
        <w:tc>
          <w:tcPr>
            <w:tcW w:w="89"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w:t>
            </w:r>
          </w:p>
        </w:tc>
        <w:tc>
          <w:tcPr>
            <w:tcW w:w="27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right"/>
              <w:rPr/>
            </w:pPr>
            <w:r>
              <w:rPr/>
              <w:t> </w:t>
            </w:r>
          </w:p>
        </w:tc>
        <w:tc>
          <w:tcPr>
            <w:tcW w:w="89"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w:t>
            </w:r>
          </w:p>
        </w:tc>
        <w:tc>
          <w:tcPr>
            <w:tcW w:w="27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right"/>
              <w:rPr/>
            </w:pPr>
            <w:r>
              <w:rPr/>
              <w:t> </w:t>
            </w:r>
          </w:p>
        </w:tc>
        <w:tc>
          <w:tcPr>
            <w:tcW w:w="89"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w:t>
            </w:r>
          </w:p>
        </w:tc>
        <w:tc>
          <w:tcPr>
            <w:tcW w:w="200" w:type="dxa"/>
            <w:tcBorders/>
            <w:vAlign w:val="bottom"/>
          </w:tcPr>
          <w:p>
            <w:pPr>
              <w:pStyle w:val="TableContents"/>
              <w:bidi w:val="0"/>
              <w:spacing w:before="0" w:after="283"/>
              <w:jc w:val="left"/>
              <w:rPr/>
            </w:pPr>
            <w:r>
              <w:rPr/>
              <w:t> </w:t>
            </w:r>
          </w:p>
        </w:tc>
      </w:tr>
      <w:tr>
        <w:trPr/>
        <w:tc>
          <w:tcPr>
            <w:tcW w:w="3305" w:type="dxa"/>
            <w:tcBorders/>
            <w:shd w:fill="CCEEFF" w:val="clear"/>
            <w:vAlign w:val="bottom"/>
          </w:tcPr>
          <w:p>
            <w:pPr>
              <w:pStyle w:val="TableContents"/>
              <w:bidi w:val="0"/>
              <w:spacing w:before="0" w:after="0"/>
              <w:ind w:left="540" w:right="0" w:hanging="540"/>
              <w:jc w:val="left"/>
              <w:rPr>
                <w:rFonts w:ascii="Times New Roman" w:hAnsi="Times New Roman"/>
                <w:sz w:val="20"/>
              </w:rPr>
            </w:pPr>
            <w:r>
              <w:rPr>
                <w:rFonts w:ascii="Times New Roman" w:hAnsi="Times New Roman"/>
                <w:sz w:val="20"/>
              </w:rPr>
              <w:t>Weighted-average discount rate:</w:t>
            </w:r>
          </w:p>
        </w:tc>
        <w:tc>
          <w:tcPr>
            <w:tcW w:w="60" w:type="dxa"/>
            <w:tcBorders/>
            <w:shd w:fill="CCEEFF" w:val="clear"/>
            <w:vAlign w:val="bottom"/>
          </w:tcPr>
          <w:p>
            <w:pPr>
              <w:pStyle w:val="TableContents"/>
              <w:bidi w:val="0"/>
              <w:spacing w:before="0" w:after="283"/>
              <w:jc w:val="right"/>
              <w:rPr/>
            </w:pPr>
            <w:r>
              <w:rPr/>
              <w:t> </w:t>
            </w:r>
          </w:p>
        </w:tc>
        <w:tc>
          <w:tcPr>
            <w:tcW w:w="89"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right"/>
              <w:rPr/>
            </w:pPr>
            <w:r>
              <w:rPr/>
              <w:t> </w:t>
            </w:r>
          </w:p>
        </w:tc>
        <w:tc>
          <w:tcPr>
            <w:tcW w:w="89"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right"/>
              <w:rPr/>
            </w:pPr>
            <w:r>
              <w:rPr/>
              <w:t> </w:t>
            </w:r>
          </w:p>
        </w:tc>
        <w:tc>
          <w:tcPr>
            <w:tcW w:w="89"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305" w:type="dxa"/>
            <w:tcBorders/>
            <w:vAlign w:val="bottom"/>
          </w:tcPr>
          <w:p>
            <w:pPr>
              <w:pStyle w:val="TableContents"/>
              <w:bidi w:val="0"/>
              <w:spacing w:before="0" w:after="0"/>
              <w:ind w:left="540" w:right="0" w:hanging="360"/>
              <w:jc w:val="left"/>
              <w:rPr>
                <w:rFonts w:ascii="Times New Roman" w:hAnsi="Times New Roman"/>
                <w:color w:val="000000"/>
                <w:sz w:val="20"/>
              </w:rPr>
            </w:pPr>
            <w:r>
              <w:rPr>
                <w:rFonts w:ascii="Times New Roman" w:hAnsi="Times New Roman"/>
                <w:color w:val="000000"/>
                <w:sz w:val="20"/>
              </w:rPr>
              <w:t>Operating leases</w:t>
            </w:r>
          </w:p>
        </w:tc>
        <w:tc>
          <w:tcPr>
            <w:tcW w:w="60" w:type="dxa"/>
            <w:tcBorders/>
            <w:vAlign w:val="bottom"/>
          </w:tcPr>
          <w:p>
            <w:pPr>
              <w:pStyle w:val="TableContents"/>
              <w:bidi w:val="0"/>
              <w:spacing w:before="0" w:after="283"/>
              <w:jc w:val="right"/>
              <w:rPr/>
            </w:pPr>
            <w:r>
              <w:rPr/>
              <w:t> </w:t>
            </w:r>
          </w:p>
        </w:tc>
        <w:tc>
          <w:tcPr>
            <w:tcW w:w="89"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w:t>
            </w:r>
          </w:p>
        </w:tc>
        <w:tc>
          <w:tcPr>
            <w:tcW w:w="27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 w:type="dxa"/>
            <w:tcBorders/>
            <w:vAlign w:val="bottom"/>
          </w:tcPr>
          <w:p>
            <w:pPr>
              <w:pStyle w:val="TableContents"/>
              <w:bidi w:val="0"/>
              <w:spacing w:before="0" w:after="283"/>
              <w:jc w:val="right"/>
              <w:rPr/>
            </w:pPr>
            <w:r>
              <w:rPr/>
              <w:t> </w:t>
            </w:r>
          </w:p>
        </w:tc>
        <w:tc>
          <w:tcPr>
            <w:tcW w:w="89"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w:t>
            </w:r>
          </w:p>
        </w:tc>
        <w:tc>
          <w:tcPr>
            <w:tcW w:w="27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 w:type="dxa"/>
            <w:tcBorders/>
            <w:vAlign w:val="bottom"/>
          </w:tcPr>
          <w:p>
            <w:pPr>
              <w:pStyle w:val="TableContents"/>
              <w:bidi w:val="0"/>
              <w:spacing w:before="0" w:after="283"/>
              <w:jc w:val="right"/>
              <w:rPr/>
            </w:pPr>
            <w:r>
              <w:rPr/>
              <w:t> </w:t>
            </w:r>
          </w:p>
        </w:tc>
        <w:tc>
          <w:tcPr>
            <w:tcW w:w="89"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305" w:type="dxa"/>
            <w:tcBorders/>
            <w:shd w:fill="CCEEFF" w:val="clear"/>
            <w:vAlign w:val="bottom"/>
          </w:tcPr>
          <w:p>
            <w:pPr>
              <w:pStyle w:val="TableContents"/>
              <w:bidi w:val="0"/>
              <w:spacing w:before="0" w:after="0"/>
              <w:ind w:left="540" w:right="0" w:hanging="360"/>
              <w:jc w:val="left"/>
              <w:rPr>
                <w:rFonts w:ascii="Times New Roman" w:hAnsi="Times New Roman"/>
                <w:color w:val="000000"/>
                <w:sz w:val="20"/>
              </w:rPr>
            </w:pPr>
            <w:r>
              <w:rPr>
                <w:rFonts w:ascii="Times New Roman" w:hAnsi="Times New Roman"/>
                <w:color w:val="000000"/>
                <w:sz w:val="20"/>
              </w:rPr>
              <w:t>Finance leases</w:t>
            </w:r>
          </w:p>
        </w:tc>
        <w:tc>
          <w:tcPr>
            <w:tcW w:w="60" w:type="dxa"/>
            <w:tcBorders/>
            <w:shd w:fill="CCEEFF" w:val="clear"/>
            <w:vAlign w:val="bottom"/>
          </w:tcPr>
          <w:p>
            <w:pPr>
              <w:pStyle w:val="TableContents"/>
              <w:bidi w:val="0"/>
              <w:spacing w:before="0" w:after="283"/>
              <w:jc w:val="right"/>
              <w:rPr/>
            </w:pPr>
            <w:r>
              <w:rPr/>
              <w:t> </w:t>
            </w:r>
          </w:p>
        </w:tc>
        <w:tc>
          <w:tcPr>
            <w:tcW w:w="89"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w:t>
            </w:r>
          </w:p>
        </w:tc>
        <w:tc>
          <w:tcPr>
            <w:tcW w:w="27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 w:type="dxa"/>
            <w:tcBorders/>
            <w:shd w:fill="CCEEFF" w:val="clear"/>
            <w:vAlign w:val="bottom"/>
          </w:tcPr>
          <w:p>
            <w:pPr>
              <w:pStyle w:val="TableContents"/>
              <w:bidi w:val="0"/>
              <w:spacing w:before="0" w:after="283"/>
              <w:jc w:val="right"/>
              <w:rPr/>
            </w:pPr>
            <w:r>
              <w:rPr/>
              <w:t> </w:t>
            </w:r>
          </w:p>
        </w:tc>
        <w:tc>
          <w:tcPr>
            <w:tcW w:w="89"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w:t>
            </w:r>
          </w:p>
        </w:tc>
        <w:tc>
          <w:tcPr>
            <w:tcW w:w="27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 w:type="dxa"/>
            <w:tcBorders/>
            <w:shd w:fill="CCEEFF" w:val="clear"/>
            <w:vAlign w:val="bottom"/>
          </w:tcPr>
          <w:p>
            <w:pPr>
              <w:pStyle w:val="TableContents"/>
              <w:bidi w:val="0"/>
              <w:spacing w:before="0" w:after="283"/>
              <w:jc w:val="right"/>
              <w:rPr/>
            </w:pPr>
            <w:r>
              <w:rPr/>
              <w:t> </w:t>
            </w:r>
          </w:p>
        </w:tc>
        <w:tc>
          <w:tcPr>
            <w:tcW w:w="89"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components of lease expense were as follows (U.S. dollars in thousands):</w:t>
      </w:r>
    </w:p>
    <w:p>
      <w:pPr>
        <w:pStyle w:val="TextBody"/>
        <w:bidi w:val="0"/>
        <w:spacing w:before="0" w:after="0"/>
        <w:jc w:val="left"/>
        <w:rPr/>
      </w:pPr>
      <w:r>
        <w:rPr/>
      </w:r>
    </w:p>
    <w:tbl>
      <w:tblPr>
        <w:tblW w:w="5644" w:type="dxa"/>
        <w:jc w:val="left"/>
        <w:tblInd w:w="0" w:type="dxa"/>
        <w:tblLayout w:type="fixed"/>
        <w:tblCellMar>
          <w:top w:w="0" w:type="dxa"/>
          <w:left w:w="0" w:type="dxa"/>
          <w:bottom w:w="0" w:type="dxa"/>
          <w:right w:w="0" w:type="dxa"/>
        </w:tblCellMar>
      </w:tblPr>
      <w:tblGrid>
        <w:gridCol w:w="2810"/>
        <w:gridCol w:w="60"/>
        <w:gridCol w:w="152"/>
        <w:gridCol w:w="742"/>
        <w:gridCol w:w="65"/>
        <w:gridCol w:w="65"/>
        <w:gridCol w:w="136"/>
        <w:gridCol w:w="644"/>
        <w:gridCol w:w="65"/>
        <w:gridCol w:w="65"/>
        <w:gridCol w:w="136"/>
        <w:gridCol w:w="644"/>
        <w:gridCol w:w="60"/>
      </w:tblGrid>
      <w:tr>
        <w:trPr/>
        <w:tc>
          <w:tcPr>
            <w:tcW w:w="28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2714" w:type="dxa"/>
            <w:gridSpan w:val="10"/>
            <w:tcBorders>
              <w:bottom w:val="single" w:sz="12" w:space="0" w:color="000000"/>
            </w:tcBorders>
            <w:tcMar>
              <w:bottom w:w="28" w:type="dxa"/>
            </w:tcMar>
            <w:vAlign w:val="bottom"/>
          </w:tcPr>
          <w:p>
            <w:pPr>
              <w:pStyle w:val="TableContents"/>
              <w:bidi w:val="0"/>
              <w:spacing w:before="0" w:after="283"/>
              <w:jc w:val="center"/>
              <w:rPr>
                <w:b/>
              </w:rPr>
            </w:pPr>
            <w:r>
              <w:rPr>
                <w:b/>
              </w:rPr>
              <w:t>Year Ended December 31,</w:t>
            </w:r>
          </w:p>
        </w:tc>
        <w:tc>
          <w:tcPr>
            <w:tcW w:w="60" w:type="dxa"/>
            <w:tcBorders/>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center"/>
              <w:rPr/>
            </w:pPr>
            <w:r>
              <w:rPr/>
              <w:t> </w:t>
            </w:r>
          </w:p>
        </w:tc>
        <w:tc>
          <w:tcPr>
            <w:tcW w:w="780"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2024</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center"/>
              <w:rPr/>
            </w:pPr>
            <w:r>
              <w:rPr/>
              <w:t> </w:t>
            </w:r>
          </w:p>
        </w:tc>
        <w:tc>
          <w:tcPr>
            <w:tcW w:w="780"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Operating lease expense</w:t>
            </w:r>
          </w:p>
        </w:tc>
        <w:tc>
          <w:tcPr>
            <w:tcW w:w="60" w:type="dxa"/>
            <w:tcBorders/>
            <w:vAlign w:val="bottom"/>
          </w:tcPr>
          <w:p>
            <w:pPr>
              <w:pStyle w:val="TableContents"/>
              <w:bidi w:val="0"/>
              <w:spacing w:before="0" w:after="283"/>
              <w:jc w:val="left"/>
              <w:rPr/>
            </w:pPr>
            <w:r>
              <w:rPr/>
              <w:t> </w:t>
            </w:r>
          </w:p>
        </w:tc>
        <w:tc>
          <w:tcPr>
            <w:tcW w:w="894" w:type="dxa"/>
            <w:gridSpan w:val="2"/>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80" w:type="dxa"/>
            <w:gridSpan w:val="2"/>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8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281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Operating lease cost</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w:t>
            </w:r>
          </w:p>
        </w:tc>
        <w:tc>
          <w:tcPr>
            <w:tcW w:w="742" w:type="dxa"/>
            <w:tcBorders/>
            <w:shd w:fill="CCEEFF" w:val="clear"/>
            <w:vAlign w:val="bottom"/>
          </w:tcPr>
          <w:p>
            <w:pPr>
              <w:pStyle w:val="TableContents"/>
              <w:bidi w:val="0"/>
              <w:spacing w:before="0" w:after="283"/>
              <w:jc w:val="right"/>
              <w:rPr/>
            </w:pPr>
            <w:r>
              <w:rPr/>
              <w:t>23,327</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23,668</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29,186</w:t>
            </w:r>
          </w:p>
        </w:tc>
        <w:tc>
          <w:tcPr>
            <w:tcW w:w="60" w:type="dxa"/>
            <w:tcBorders/>
            <w:shd w:fill="CCEEFF" w:val="clear"/>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Variable lease cost</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4,812</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6,203</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4,245</w:t>
            </w:r>
          </w:p>
        </w:tc>
        <w:tc>
          <w:tcPr>
            <w:tcW w:w="60" w:type="dxa"/>
            <w:tcBorders/>
            <w:vAlign w:val="bottom"/>
          </w:tcPr>
          <w:p>
            <w:pPr>
              <w:pStyle w:val="TableContents"/>
              <w:bidi w:val="0"/>
              <w:spacing w:before="0" w:after="283"/>
              <w:jc w:val="left"/>
              <w:rPr/>
            </w:pPr>
            <w:r>
              <w:rPr/>
              <w:t> </w:t>
            </w:r>
          </w:p>
        </w:tc>
      </w:tr>
      <w:tr>
        <w:trPr/>
        <w:tc>
          <w:tcPr>
            <w:tcW w:w="28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Finance lease expense</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283"/>
              <w:jc w:val="left"/>
              <w:rPr/>
            </w:pPr>
            <w:r>
              <w:rPr/>
              <w:t> </w:t>
            </w:r>
          </w:p>
        </w:tc>
        <w:tc>
          <w:tcPr>
            <w:tcW w:w="644"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283"/>
              <w:jc w:val="left"/>
              <w:rPr/>
            </w:pPr>
            <w:r>
              <w:rPr/>
              <w:t> </w:t>
            </w:r>
          </w:p>
        </w:tc>
        <w:tc>
          <w:tcPr>
            <w:tcW w:w="64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Amortization of right-of-use assets</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2,129</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2,707</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4,785</w:t>
            </w:r>
          </w:p>
        </w:tc>
        <w:tc>
          <w:tcPr>
            <w:tcW w:w="60" w:type="dxa"/>
            <w:tcBorders/>
            <w:vAlign w:val="bottom"/>
          </w:tcPr>
          <w:p>
            <w:pPr>
              <w:pStyle w:val="TableContents"/>
              <w:bidi w:val="0"/>
              <w:spacing w:before="0" w:after="283"/>
              <w:jc w:val="left"/>
              <w:rPr/>
            </w:pPr>
            <w:r>
              <w:rPr/>
              <w:t> </w:t>
            </w:r>
          </w:p>
        </w:tc>
      </w:tr>
      <w:tr>
        <w:trPr/>
        <w:tc>
          <w:tcPr>
            <w:tcW w:w="2810" w:type="dxa"/>
            <w:tcBorders/>
            <w:shd w:fill="CCEEFF" w:val="clear"/>
            <w:vAlign w:val="bottom"/>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Interest on lease liabilities</w:t>
            </w:r>
          </w:p>
        </w:tc>
        <w:tc>
          <w:tcPr>
            <w:tcW w:w="60" w:type="dxa"/>
            <w:tcBorders/>
            <w:shd w:fill="CCEEFF" w:val="clear"/>
            <w:vAlign w:val="bottom"/>
          </w:tcPr>
          <w:p>
            <w:pPr>
              <w:pStyle w:val="TableContents"/>
              <w:bidi w:val="0"/>
              <w:spacing w:before="0" w:after="283"/>
              <w:jc w:val="righ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2" w:type="dxa"/>
            <w:tcBorders>
              <w:bottom w:val="single" w:sz="12" w:space="0" w:color="000000"/>
            </w:tcBorders>
            <w:shd w:fill="CCEEFF" w:val="clear"/>
            <w:tcMar>
              <w:bottom w:w="28" w:type="dxa"/>
            </w:tcMar>
            <w:vAlign w:val="bottom"/>
          </w:tcPr>
          <w:p>
            <w:pPr>
              <w:pStyle w:val="TableContents"/>
              <w:bidi w:val="0"/>
              <w:spacing w:before="0" w:after="283"/>
              <w:jc w:val="right"/>
              <w:rPr/>
            </w:pPr>
            <w:r>
              <w:rPr/>
              <w:t>632</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4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404</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4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502</w:t>
            </w:r>
          </w:p>
        </w:tc>
        <w:tc>
          <w:tcPr>
            <w:tcW w:w="60" w:type="dxa"/>
            <w:tcBorders/>
            <w:shd w:fill="CCEEFF" w:val="clear"/>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lease expense</w:t>
            </w:r>
          </w:p>
        </w:tc>
        <w:tc>
          <w:tcPr>
            <w:tcW w:w="60" w:type="dxa"/>
            <w:tcBorders/>
            <w:vAlign w:val="bottom"/>
          </w:tcPr>
          <w:p>
            <w:pPr>
              <w:pStyle w:val="TableContents"/>
              <w:bidi w:val="0"/>
              <w:spacing w:before="0" w:after="283"/>
              <w:jc w:val="right"/>
              <w:rPr/>
            </w:pPr>
            <w:r>
              <w:rPr/>
              <w:t> </w:t>
            </w:r>
          </w:p>
        </w:tc>
        <w:tc>
          <w:tcPr>
            <w:tcW w:w="152" w:type="dxa"/>
            <w:tcBorders>
              <w:bottom w:val="double" w:sz="8" w:space="0" w:color="000000"/>
            </w:tcBorders>
            <w:tcMar>
              <w:bottom w:w="28" w:type="dxa"/>
            </w:tcMar>
            <w:vAlign w:val="bottom"/>
          </w:tcPr>
          <w:p>
            <w:pPr>
              <w:pStyle w:val="TableContents"/>
              <w:bidi w:val="0"/>
              <w:spacing w:before="0" w:after="283"/>
              <w:jc w:val="left"/>
              <w:rPr/>
            </w:pPr>
            <w:r>
              <w:rPr/>
              <w:t>$</w:t>
            </w:r>
          </w:p>
        </w:tc>
        <w:tc>
          <w:tcPr>
            <w:tcW w:w="742" w:type="dxa"/>
            <w:tcBorders>
              <w:bottom w:val="double" w:sz="8" w:space="0" w:color="000000"/>
            </w:tcBorders>
            <w:tcMar>
              <w:bottom w:w="28" w:type="dxa"/>
            </w:tcMar>
            <w:vAlign w:val="bottom"/>
          </w:tcPr>
          <w:p>
            <w:pPr>
              <w:pStyle w:val="TableContents"/>
              <w:bidi w:val="0"/>
              <w:spacing w:before="0" w:after="283"/>
              <w:jc w:val="right"/>
              <w:rPr/>
            </w:pPr>
            <w:r>
              <w:rPr/>
              <w:t>30,900</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32,982</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38,718</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Supplemental cash flow information related to leases was as follows (U.S. dollars in thousands):</w:t>
      </w:r>
    </w:p>
    <w:p>
      <w:pPr>
        <w:pStyle w:val="TextBody"/>
        <w:bidi w:val="0"/>
        <w:spacing w:before="0" w:after="0"/>
        <w:jc w:val="left"/>
        <w:rPr/>
      </w:pPr>
      <w:r>
        <w:rPr/>
      </w:r>
    </w:p>
    <w:tbl>
      <w:tblPr>
        <w:tblW w:w="8480" w:type="dxa"/>
        <w:jc w:val="left"/>
        <w:tblInd w:w="0" w:type="dxa"/>
        <w:tblLayout w:type="fixed"/>
        <w:tblCellMar>
          <w:top w:w="0" w:type="dxa"/>
          <w:left w:w="0" w:type="dxa"/>
          <w:bottom w:w="0" w:type="dxa"/>
          <w:right w:w="0" w:type="dxa"/>
        </w:tblCellMar>
      </w:tblPr>
      <w:tblGrid>
        <w:gridCol w:w="5870"/>
        <w:gridCol w:w="60"/>
        <w:gridCol w:w="140"/>
        <w:gridCol w:w="680"/>
        <w:gridCol w:w="60"/>
        <w:gridCol w:w="60"/>
        <w:gridCol w:w="125"/>
        <w:gridCol w:w="590"/>
        <w:gridCol w:w="60"/>
        <w:gridCol w:w="60"/>
        <w:gridCol w:w="125"/>
        <w:gridCol w:w="590"/>
        <w:gridCol w:w="60"/>
      </w:tblGrid>
      <w:tr>
        <w:trPr/>
        <w:tc>
          <w:tcPr>
            <w:tcW w:w="58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90"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Year Ended December 31,</w:t>
            </w:r>
          </w:p>
        </w:tc>
        <w:tc>
          <w:tcPr>
            <w:tcW w:w="60" w:type="dxa"/>
            <w:tcBorders/>
            <w:vAlign w:val="bottom"/>
          </w:tcPr>
          <w:p>
            <w:pPr>
              <w:pStyle w:val="TableContents"/>
              <w:bidi w:val="0"/>
              <w:spacing w:before="0" w:after="283"/>
              <w:jc w:val="left"/>
              <w:rPr/>
            </w:pPr>
            <w:r>
              <w:rPr/>
              <w:t> </w:t>
            </w:r>
          </w:p>
        </w:tc>
      </w:tr>
      <w:tr>
        <w:trPr/>
        <w:tc>
          <w:tcPr>
            <w:tcW w:w="58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2023</w:t>
            </w:r>
          </w:p>
        </w:tc>
        <w:tc>
          <w:tcPr>
            <w:tcW w:w="60" w:type="dxa"/>
            <w:tcBorders/>
            <w:vAlign w:val="bottom"/>
          </w:tcPr>
          <w:p>
            <w:pPr>
              <w:pStyle w:val="TableContents"/>
              <w:bidi w:val="0"/>
              <w:spacing w:before="0" w:after="283"/>
              <w:jc w:val="left"/>
              <w:rPr/>
            </w:pPr>
            <w:r>
              <w:rPr/>
              <w:t> </w:t>
            </w:r>
          </w:p>
        </w:tc>
      </w:tr>
      <w:tr>
        <w:trPr/>
        <w:tc>
          <w:tcPr>
            <w:tcW w:w="587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Operating cash outflow from operating leases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23,833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24,609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29,055</w:t>
            </w:r>
          </w:p>
        </w:tc>
        <w:tc>
          <w:tcPr>
            <w:tcW w:w="60" w:type="dxa"/>
            <w:tcBorders/>
            <w:shd w:fill="CCEEFF" w:val="clear"/>
            <w:vAlign w:val="bottom"/>
          </w:tcPr>
          <w:p>
            <w:pPr>
              <w:pStyle w:val="TableContents"/>
              <w:bidi w:val="0"/>
              <w:spacing w:before="0" w:after="283"/>
              <w:jc w:val="left"/>
              <w:rPr/>
            </w:pPr>
            <w:r>
              <w:rPr/>
              <w:t> </w:t>
            </w:r>
          </w:p>
        </w:tc>
      </w:tr>
      <w:tr>
        <w:trPr/>
        <w:tc>
          <w:tcPr>
            <w:tcW w:w="587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Operating cash outflow from finance leases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640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481</w:t>
            </w:r>
          </w:p>
        </w:tc>
        <w:tc>
          <w:tcPr>
            <w:tcW w:w="60" w:type="dxa"/>
            <w:tcBorders/>
            <w:vAlign w:val="bottom"/>
          </w:tcPr>
          <w:p>
            <w:pPr>
              <w:pStyle w:val="TableContents"/>
              <w:bidi w:val="0"/>
              <w:spacing w:before="0" w:after="283"/>
              <w:jc w:val="left"/>
              <w:rPr/>
            </w:pPr>
            <w:r>
              <w:rPr/>
              <w:t> </w:t>
            </w:r>
          </w:p>
        </w:tc>
      </w:tr>
      <w:tr>
        <w:trPr/>
        <w:tc>
          <w:tcPr>
            <w:tcW w:w="587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Financing cash outflow from finance leases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2,238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2,886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3,198</w:t>
            </w:r>
          </w:p>
        </w:tc>
        <w:tc>
          <w:tcPr>
            <w:tcW w:w="60" w:type="dxa"/>
            <w:tcBorders/>
            <w:shd w:fill="CCEEFF" w:val="clear"/>
            <w:vAlign w:val="bottom"/>
          </w:tcPr>
          <w:p>
            <w:pPr>
              <w:pStyle w:val="TableContents"/>
              <w:bidi w:val="0"/>
              <w:spacing w:before="0" w:after="283"/>
              <w:jc w:val="left"/>
              <w:rPr/>
            </w:pPr>
            <w:r>
              <w:rPr/>
              <w:t> </w:t>
            </w:r>
          </w:p>
        </w:tc>
      </w:tr>
      <w:tr>
        <w:trPr/>
        <w:tc>
          <w:tcPr>
            <w:tcW w:w="587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Right-of-use assets obtained in exchange for operating lease obligations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24,912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16,469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27,730</w:t>
            </w:r>
          </w:p>
        </w:tc>
        <w:tc>
          <w:tcPr>
            <w:tcW w:w="60" w:type="dxa"/>
            <w:tcBorders/>
            <w:vAlign w:val="bottom"/>
          </w:tcPr>
          <w:p>
            <w:pPr>
              <w:pStyle w:val="TableContents"/>
              <w:bidi w:val="0"/>
              <w:spacing w:before="0" w:after="283"/>
              <w:jc w:val="left"/>
              <w:rPr/>
            </w:pPr>
            <w:r>
              <w:rPr/>
              <w:t> </w:t>
            </w:r>
          </w:p>
        </w:tc>
      </w:tr>
      <w:tr>
        <w:trPr/>
        <w:tc>
          <w:tcPr>
            <w:tcW w:w="587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Right-of-use assets obtained in exchange for finance lease obligations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291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1,081</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85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Maturities of lease liabilities are as follows (U.S. dollars in thousands):</w:t>
      </w:r>
    </w:p>
    <w:p>
      <w:pPr>
        <w:pStyle w:val="TextBody"/>
        <w:bidi w:val="0"/>
        <w:spacing w:before="0" w:after="0"/>
        <w:jc w:val="left"/>
        <w:rPr/>
      </w:pPr>
      <w:r>
        <w:rPr/>
      </w:r>
    </w:p>
    <w:tbl>
      <w:tblPr>
        <w:tblW w:w="4155" w:type="dxa"/>
        <w:jc w:val="left"/>
        <w:tblInd w:w="0" w:type="dxa"/>
        <w:tblLayout w:type="fixed"/>
        <w:tblCellMar>
          <w:top w:w="0" w:type="dxa"/>
          <w:left w:w="0" w:type="dxa"/>
          <w:bottom w:w="0" w:type="dxa"/>
          <w:right w:w="0" w:type="dxa"/>
        </w:tblCellMar>
      </w:tblPr>
      <w:tblGrid>
        <w:gridCol w:w="2315"/>
        <w:gridCol w:w="60"/>
        <w:gridCol w:w="155"/>
        <w:gridCol w:w="735"/>
        <w:gridCol w:w="60"/>
        <w:gridCol w:w="60"/>
        <w:gridCol w:w="142"/>
        <w:gridCol w:w="553"/>
        <w:gridCol w:w="75"/>
      </w:tblGrid>
      <w:tr>
        <w:trPr/>
        <w:tc>
          <w:tcPr>
            <w:tcW w:w="2315"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Year Ending December 31,</w:t>
            </w:r>
          </w:p>
        </w:tc>
        <w:tc>
          <w:tcPr>
            <w:tcW w:w="60" w:type="dxa"/>
            <w:tcBorders/>
            <w:vAlign w:val="bottom"/>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Operating</w:t>
            </w:r>
          </w:p>
          <w:p>
            <w:pPr>
              <w:pStyle w:val="TableContents"/>
              <w:bidi w:val="0"/>
              <w:spacing w:before="0" w:after="0"/>
              <w:jc w:val="center"/>
              <w:rPr>
                <w:rFonts w:ascii="Times New Roman" w:hAnsi="Times New Roman"/>
                <w:b/>
                <w:sz w:val="20"/>
              </w:rPr>
            </w:pPr>
            <w:r>
              <w:rPr>
                <w:rFonts w:ascii="Times New Roman" w:hAnsi="Times New Roman"/>
                <w:b/>
                <w:sz w:val="20"/>
              </w:rPr>
              <w:t>Leases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Finance</w:t>
            </w:r>
          </w:p>
          <w:p>
            <w:pPr>
              <w:pStyle w:val="TableContents"/>
              <w:bidi w:val="0"/>
              <w:spacing w:before="0" w:after="0"/>
              <w:jc w:val="center"/>
              <w:rPr>
                <w:rFonts w:ascii="Times New Roman" w:hAnsi="Times New Roman"/>
                <w:b/>
                <w:sz w:val="20"/>
              </w:rPr>
            </w:pPr>
            <w:r>
              <w:rPr>
                <w:rFonts w:ascii="Times New Roman" w:hAnsi="Times New Roman"/>
                <w:b/>
                <w:sz w:val="20"/>
              </w:rPr>
              <w:t>Leases</w:t>
            </w:r>
          </w:p>
        </w:tc>
        <w:tc>
          <w:tcPr>
            <w:tcW w:w="75" w:type="dxa"/>
            <w:tcBorders/>
            <w:vAlign w:val="bottom"/>
          </w:tcPr>
          <w:p>
            <w:pPr>
              <w:pStyle w:val="TableContents"/>
              <w:bidi w:val="0"/>
              <w:spacing w:before="0" w:after="283"/>
              <w:jc w:val="left"/>
              <w:rPr/>
            </w:pPr>
            <w:r>
              <w:rPr/>
              <w:t> </w:t>
            </w:r>
          </w:p>
        </w:tc>
      </w:tr>
      <w:tr>
        <w:trPr/>
        <w:tc>
          <w:tcPr>
            <w:tcW w:w="2315" w:type="dxa"/>
            <w:tcBorders/>
            <w:shd w:fill="CCEEFF" w:val="clear"/>
            <w:vAlign w:val="bottom"/>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2026</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20,972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5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2,521</w:t>
            </w:r>
          </w:p>
        </w:tc>
        <w:tc>
          <w:tcPr>
            <w:tcW w:w="75" w:type="dxa"/>
            <w:tcBorders/>
            <w:shd w:fill="CCEEFF" w:val="clear"/>
            <w:vAlign w:val="bottom"/>
          </w:tcPr>
          <w:p>
            <w:pPr>
              <w:pStyle w:val="TableContents"/>
              <w:bidi w:val="0"/>
              <w:spacing w:before="0" w:after="283"/>
              <w:jc w:val="left"/>
              <w:rPr/>
            </w:pPr>
            <w:r>
              <w:rPr/>
              <w:t> </w:t>
            </w:r>
          </w:p>
        </w:tc>
      </w:tr>
      <w:tr>
        <w:trPr/>
        <w:tc>
          <w:tcPr>
            <w:tcW w:w="2315" w:type="dxa"/>
            <w:tcBorders/>
            <w:vAlign w:val="bottom"/>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2027</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16,264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2,498</w:t>
            </w:r>
          </w:p>
        </w:tc>
        <w:tc>
          <w:tcPr>
            <w:tcW w:w="75" w:type="dxa"/>
            <w:tcBorders/>
            <w:vAlign w:val="bottom"/>
          </w:tcPr>
          <w:p>
            <w:pPr>
              <w:pStyle w:val="TableContents"/>
              <w:bidi w:val="0"/>
              <w:spacing w:before="0" w:after="283"/>
              <w:jc w:val="left"/>
              <w:rPr/>
            </w:pPr>
            <w:r>
              <w:rPr/>
              <w:t> </w:t>
            </w:r>
          </w:p>
        </w:tc>
      </w:tr>
      <w:tr>
        <w:trPr/>
        <w:tc>
          <w:tcPr>
            <w:tcW w:w="2315" w:type="dxa"/>
            <w:tcBorders/>
            <w:shd w:fill="CCEEFF" w:val="clear"/>
            <w:vAlign w:val="bottom"/>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2028</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12,158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2,462</w:t>
            </w:r>
          </w:p>
        </w:tc>
        <w:tc>
          <w:tcPr>
            <w:tcW w:w="75" w:type="dxa"/>
            <w:tcBorders/>
            <w:shd w:fill="CCEEFF" w:val="clear"/>
            <w:vAlign w:val="bottom"/>
          </w:tcPr>
          <w:p>
            <w:pPr>
              <w:pStyle w:val="TableContents"/>
              <w:bidi w:val="0"/>
              <w:spacing w:before="0" w:after="283"/>
              <w:jc w:val="left"/>
              <w:rPr/>
            </w:pPr>
            <w:r>
              <w:rPr/>
              <w:t> </w:t>
            </w:r>
          </w:p>
        </w:tc>
      </w:tr>
      <w:tr>
        <w:trPr/>
        <w:tc>
          <w:tcPr>
            <w:tcW w:w="2315" w:type="dxa"/>
            <w:tcBorders/>
            <w:vAlign w:val="bottom"/>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2029</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10,295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2,004</w:t>
            </w:r>
          </w:p>
        </w:tc>
        <w:tc>
          <w:tcPr>
            <w:tcW w:w="75" w:type="dxa"/>
            <w:tcBorders/>
            <w:vAlign w:val="bottom"/>
          </w:tcPr>
          <w:p>
            <w:pPr>
              <w:pStyle w:val="TableContents"/>
              <w:bidi w:val="0"/>
              <w:spacing w:before="0" w:after="283"/>
              <w:jc w:val="left"/>
              <w:rPr/>
            </w:pPr>
            <w:r>
              <w:rPr/>
              <w:t> </w:t>
            </w:r>
          </w:p>
        </w:tc>
      </w:tr>
      <w:tr>
        <w:trPr/>
        <w:tc>
          <w:tcPr>
            <w:tcW w:w="2315" w:type="dxa"/>
            <w:tcBorders/>
            <w:shd w:fill="CCEEFF" w:val="clear"/>
            <w:vAlign w:val="bottom"/>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2030</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5,492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75" w:type="dxa"/>
            <w:tcBorders/>
            <w:shd w:fill="CCEEFF" w:val="clear"/>
            <w:vAlign w:val="bottom"/>
          </w:tcPr>
          <w:p>
            <w:pPr>
              <w:pStyle w:val="TableContents"/>
              <w:bidi w:val="0"/>
              <w:spacing w:before="0" w:after="283"/>
              <w:jc w:val="left"/>
              <w:rPr/>
            </w:pPr>
            <w:r>
              <w:rPr/>
              <w:t> </w:t>
            </w:r>
          </w:p>
        </w:tc>
      </w:tr>
      <w:tr>
        <w:trPr/>
        <w:tc>
          <w:tcPr>
            <w:tcW w:w="231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Thereafter</w:t>
            </w:r>
          </w:p>
        </w:tc>
        <w:tc>
          <w:tcPr>
            <w:tcW w:w="60" w:type="dxa"/>
            <w:tcBorders/>
            <w:vAlign w:val="bottom"/>
          </w:tcPr>
          <w:p>
            <w:pPr>
              <w:pStyle w:val="TableContents"/>
              <w:bidi w:val="0"/>
              <w:spacing w:before="0" w:after="283"/>
              <w:jc w:val="left"/>
              <w:rPr/>
            </w:pPr>
            <w:r>
              <w:rPr/>
              <w:t> </w:t>
            </w:r>
          </w:p>
        </w:tc>
        <w:tc>
          <w:tcPr>
            <w:tcW w:w="155" w:type="dxa"/>
            <w:tcBorders>
              <w:bottom w:val="single" w:sz="12" w:space="0" w:color="000000"/>
            </w:tcBorders>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19,342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553" w:type="dxa"/>
            <w:tcBorders>
              <w:bottom w:val="single" w:sz="12" w:space="0" w:color="000000"/>
            </w:tcBorders>
            <w:tcMar>
              <w:bottom w:w="28" w:type="dxa"/>
            </w:tcMar>
            <w:vAlign w:val="bottom"/>
          </w:tcPr>
          <w:p>
            <w:pPr>
              <w:pStyle w:val="TableContents"/>
              <w:bidi w:val="0"/>
              <w:spacing w:before="0" w:after="0"/>
              <w:jc w:val="right"/>
              <w:rPr/>
            </w:pPr>
            <w:r>
              <w:rPr/>
              <w:t>—</w:t>
            </w:r>
          </w:p>
        </w:tc>
        <w:tc>
          <w:tcPr>
            <w:tcW w:w="75" w:type="dxa"/>
            <w:tcBorders/>
            <w:vAlign w:val="bottom"/>
          </w:tcPr>
          <w:p>
            <w:pPr>
              <w:pStyle w:val="TableContents"/>
              <w:bidi w:val="0"/>
              <w:spacing w:before="0" w:after="283"/>
              <w:jc w:val="left"/>
              <w:rPr/>
            </w:pPr>
            <w:r>
              <w:rPr/>
              <w:t> </w:t>
            </w:r>
          </w:p>
        </w:tc>
      </w:tr>
      <w:tr>
        <w:trPr/>
        <w:tc>
          <w:tcPr>
            <w:tcW w:w="2315"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Total</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84,523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9,491</w:t>
            </w:r>
          </w:p>
        </w:tc>
        <w:tc>
          <w:tcPr>
            <w:tcW w:w="75" w:type="dxa"/>
            <w:tcBorders/>
            <w:shd w:fill="CCEEFF" w:val="clear"/>
            <w:vAlign w:val="bottom"/>
          </w:tcPr>
          <w:p>
            <w:pPr>
              <w:pStyle w:val="TableContents"/>
              <w:bidi w:val="0"/>
              <w:spacing w:before="0" w:after="283"/>
              <w:jc w:val="left"/>
              <w:rPr/>
            </w:pPr>
            <w:r>
              <w:rPr/>
              <w:t> </w:t>
            </w:r>
          </w:p>
        </w:tc>
      </w:tr>
      <w:tr>
        <w:trPr/>
        <w:tc>
          <w:tcPr>
            <w:tcW w:w="231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Less: Finance charges</w:t>
            </w:r>
          </w:p>
        </w:tc>
        <w:tc>
          <w:tcPr>
            <w:tcW w:w="60" w:type="dxa"/>
            <w:tcBorders/>
            <w:vAlign w:val="bottom"/>
          </w:tcPr>
          <w:p>
            <w:pPr>
              <w:pStyle w:val="TableContents"/>
              <w:bidi w:val="0"/>
              <w:spacing w:before="0" w:after="283"/>
              <w:jc w:val="left"/>
              <w:rPr/>
            </w:pPr>
            <w:r>
              <w:rPr/>
              <w:t> </w:t>
            </w:r>
          </w:p>
        </w:tc>
        <w:tc>
          <w:tcPr>
            <w:tcW w:w="155" w:type="dxa"/>
            <w:tcBorders>
              <w:bottom w:val="single" w:sz="12" w:space="0" w:color="000000"/>
            </w:tcBorders>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8,443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55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1,116</w:t>
            </w:r>
          </w:p>
        </w:tc>
        <w:tc>
          <w:tcPr>
            <w:tcW w:w="75" w:type="dxa"/>
            <w:tcBorders/>
            <w:vAlign w:val="bottom"/>
          </w:tcPr>
          <w:p>
            <w:pPr>
              <w:pStyle w:val="TableContents"/>
              <w:bidi w:val="0"/>
              <w:spacing w:before="0" w:after="283"/>
              <w:jc w:val="left"/>
              <w:rPr/>
            </w:pPr>
            <w:r>
              <w:rPr/>
              <w:t> </w:t>
            </w:r>
          </w:p>
        </w:tc>
      </w:tr>
      <w:tr>
        <w:trPr/>
        <w:tc>
          <w:tcPr>
            <w:tcW w:w="231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principal liability</w:t>
            </w:r>
          </w:p>
        </w:tc>
        <w:tc>
          <w:tcPr>
            <w:tcW w:w="60" w:type="dxa"/>
            <w:tcBorders/>
            <w:shd w:fill="CCEEFF" w:val="clear"/>
            <w:vAlign w:val="bottom"/>
          </w:tcPr>
          <w:p>
            <w:pPr>
              <w:pStyle w:val="TableContents"/>
              <w:bidi w:val="0"/>
              <w:spacing w:before="0" w:after="283"/>
              <w:jc w:val="left"/>
              <w:rPr/>
            </w:pPr>
            <w:r>
              <w:rPr/>
              <w:t> </w:t>
            </w:r>
          </w:p>
        </w:tc>
        <w:tc>
          <w:tcPr>
            <w:tcW w:w="15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76,080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5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8,375</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has additional lease liabilities of $37.7 million which have not yet commenced as of December 31, 2025, and as such, have not been recognized on the consolidated balance sheets.</w:t>
      </w:r>
    </w:p>
    <w:p>
      <w:pPr>
        <w:pStyle w:val="TextBody"/>
        <w:bidi w:val="0"/>
        <w:spacing w:before="0" w:after="0"/>
        <w:jc w:val="left"/>
        <w:rPr/>
      </w:pPr>
      <w:r>
        <w:rPr/>
      </w:r>
    </w:p>
    <w:tbl>
      <w:tblPr>
        <w:tblW w:w="1360" w:type="dxa"/>
        <w:jc w:val="left"/>
        <w:tblInd w:w="0" w:type="dxa"/>
        <w:tblLayout w:type="fixed"/>
        <w:tblCellMar>
          <w:top w:w="0" w:type="dxa"/>
          <w:left w:w="0" w:type="dxa"/>
          <w:bottom w:w="0" w:type="dxa"/>
          <w:right w:w="0" w:type="dxa"/>
        </w:tblCellMar>
      </w:tblPr>
      <w:tblGrid>
        <w:gridCol w:w="185"/>
        <w:gridCol w:w="1175"/>
      </w:tblGrid>
      <w:tr>
        <w:trPr/>
        <w:tc>
          <w:tcPr>
            <w:tcW w:w="18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9.</w:t>
            </w:r>
          </w:p>
        </w:tc>
        <w:tc>
          <w:tcPr>
            <w:tcW w:w="117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Capital Stock</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Company’s authorized capital stock consists of 25 million shares of preferred stock, par value $0.001 per share, 500 million shares of Class A common stock, par value $0.001 per share, and 100 million shares of Class B common stock, par value $0.001 per share. As of December 31, 2025 and 2024, there were no preferred or Class B common shares outstanding. Each share of Class A common stock entitles the holder to one vote on matters submitted to a vote of the Company’s stockholders. Stock dividends of Class A common stock may be paid only to holders of Class A common stock. Class A common stock has no conversion rights.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Weighted-average common shares outstanding</w:t>
      </w:r>
    </w:p>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following is a reconciliation of the weighted-average common shares outstanding for purposes of computing basic and diluted net income per share (in thousands):</w:t>
      </w:r>
    </w:p>
    <w:p>
      <w:pPr>
        <w:pStyle w:val="TextBody"/>
        <w:bidi w:val="0"/>
        <w:spacing w:before="0" w:after="0"/>
        <w:jc w:val="left"/>
        <w:rPr/>
      </w:pPr>
      <w:r>
        <w:rPr/>
      </w:r>
    </w:p>
    <w:tbl>
      <w:tblPr>
        <w:tblW w:w="6797" w:type="dxa"/>
        <w:jc w:val="left"/>
        <w:tblInd w:w="0" w:type="dxa"/>
        <w:tblLayout w:type="fixed"/>
        <w:tblCellMar>
          <w:top w:w="0" w:type="dxa"/>
          <w:left w:w="0" w:type="dxa"/>
          <w:bottom w:w="0" w:type="dxa"/>
          <w:right w:w="0" w:type="dxa"/>
        </w:tblCellMar>
      </w:tblPr>
      <w:tblGrid>
        <w:gridCol w:w="4445"/>
        <w:gridCol w:w="60"/>
        <w:gridCol w:w="60"/>
        <w:gridCol w:w="599"/>
        <w:gridCol w:w="60"/>
        <w:gridCol w:w="60"/>
        <w:gridCol w:w="60"/>
        <w:gridCol w:w="599"/>
        <w:gridCol w:w="60"/>
        <w:gridCol w:w="60"/>
        <w:gridCol w:w="60"/>
        <w:gridCol w:w="599"/>
        <w:gridCol w:w="75"/>
      </w:tblGrid>
      <w:tr>
        <w:trPr/>
        <w:tc>
          <w:tcPr>
            <w:tcW w:w="44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7"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Year Ended December 31,</w:t>
            </w:r>
          </w:p>
        </w:tc>
        <w:tc>
          <w:tcPr>
            <w:tcW w:w="75" w:type="dxa"/>
            <w:tcBorders/>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7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Basic weighted-average common shares outstanding</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49,293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49,662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49,711</w:t>
            </w:r>
          </w:p>
        </w:tc>
        <w:tc>
          <w:tcPr>
            <w:tcW w:w="7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180" w:right="0" w:hanging="180"/>
              <w:jc w:val="left"/>
              <w:rPr/>
            </w:pPr>
            <w:r>
              <w:rPr/>
              <w:t>Effect of dilutive securities: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540" w:right="0" w:hanging="360"/>
              <w:jc w:val="left"/>
              <w:rPr>
                <w:rFonts w:ascii="Times New Roman" w:hAnsi="Times New Roman"/>
                <w:sz w:val="20"/>
              </w:rPr>
            </w:pPr>
            <w:r>
              <w:rPr>
                <w:rFonts w:ascii="Times New Roman" w:hAnsi="Times New Roman"/>
                <w:sz w:val="20"/>
              </w:rPr>
              <w:t>Stock awards and options</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9" w:type="dxa"/>
            <w:tcBorders>
              <w:bottom w:val="single" w:sz="12" w:space="0" w:color="000000"/>
            </w:tcBorders>
            <w:shd w:fill="CCEEFF" w:val="clear"/>
            <w:tcMar>
              <w:bottom w:w="28" w:type="dxa"/>
            </w:tcMar>
            <w:vAlign w:val="bottom"/>
          </w:tcPr>
          <w:p>
            <w:pPr>
              <w:pStyle w:val="TableContents"/>
              <w:bidi w:val="0"/>
              <w:spacing w:before="0" w:after="283"/>
              <w:jc w:val="right"/>
              <w:rPr>
                <w:rFonts w:ascii="Times New Roman" w:hAnsi="Times New Roman"/>
              </w:rPr>
            </w:pPr>
            <w:r>
              <w:rPr>
                <w:rFonts w:ascii="Times New Roman" w:hAnsi="Times New Roman"/>
              </w:rPr>
              <w:t>1,008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9"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9" w:type="dxa"/>
            <w:tcBorders>
              <w:bottom w:val="single" w:sz="12" w:space="0" w:color="000000"/>
            </w:tcBorders>
            <w:shd w:fill="CCEEFF" w:val="clear"/>
            <w:tcMar>
              <w:bottom w:w="28" w:type="dxa"/>
            </w:tcMar>
            <w:vAlign w:val="bottom"/>
          </w:tcPr>
          <w:p>
            <w:pPr>
              <w:pStyle w:val="TableContents"/>
              <w:bidi w:val="0"/>
              <w:spacing w:before="0" w:after="283"/>
              <w:jc w:val="right"/>
              <w:rPr>
                <w:rFonts w:ascii="Times New Roman" w:hAnsi="Times New Roman"/>
              </w:rPr>
            </w:pPr>
            <w:r>
              <w:rPr>
                <w:rFonts w:ascii="Times New Roman" w:hAnsi="Times New Roman"/>
              </w:rPr>
              <w:t>149</w:t>
            </w:r>
          </w:p>
        </w:tc>
        <w:tc>
          <w:tcPr>
            <w:tcW w:w="7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360" w:right="0" w:hanging="360"/>
              <w:jc w:val="left"/>
              <w:rPr>
                <w:rFonts w:ascii="Times New Roman" w:hAnsi="Times New Roman"/>
                <w:sz w:val="20"/>
              </w:rPr>
            </w:pPr>
            <w:r>
              <w:rPr>
                <w:rFonts w:ascii="Times New Roman" w:hAnsi="Times New Roman"/>
                <w:sz w:val="20"/>
              </w:rPr>
              <w:t>Diluted weighted-average common shares outstanding</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59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50,301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59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49,662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59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49,860</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the years ended December 31, 2025, 2024 and 2023, other stock options totaling 1.6 million, 1.5 million and 1.8 million, respectively, were excluded from the calculation of diluted earnings per share because they were anti-dilutive.</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Dividends</w:t>
      </w:r>
    </w:p>
    <w:p>
      <w:pPr>
        <w:pStyle w:val="TextBody"/>
        <w:bidi w:val="0"/>
        <w:spacing w:before="0" w:after="0"/>
        <w:jc w:val="left"/>
        <w:rPr/>
      </w:pPr>
      <w:r>
        <w:rPr/>
      </w:r>
    </w:p>
    <w:p>
      <w:pPr>
        <w:pStyle w:val="TextBody"/>
        <w:bidi w:val="0"/>
        <w:spacing w:before="0" w:after="0"/>
        <w:jc w:val="both"/>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Quarterly cash dividends for the years ended December 31, 2025, 2024, and 2023 totaled $11.8 million, $11.9 million, and $77.6 million or $0.06 per share in all quarters of 2025 and 2024 and $0.39 for all quarters of 2023. The board of directors has declared a quarterly cash dividend of $0.06 per share of Class A common stock to be paid on March 11, 2026 to stockholders of record on February 27, 2026.</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Repurchases of common stock</w:t>
      </w:r>
    </w:p>
    <w:p>
      <w:pPr>
        <w:pStyle w:val="TextBody"/>
        <w:bidi w:val="0"/>
        <w:spacing w:before="0" w:after="0"/>
        <w:ind w:left="0" w:right="0" w:hanging="0"/>
        <w:jc w:val="both"/>
        <w:rPr>
          <w:rFonts w:ascii="Times New Roman" w:hAnsi="Times New Roman"/>
          <w:color w:val="000000"/>
          <w:sz w:val="20"/>
          <w:shd w:fill="FFFFFF" w:val="clear"/>
        </w:rPr>
      </w:pPr>
      <w:r>
        <w:rPr>
          <w:rFonts w:ascii="Times New Roman" w:hAnsi="Times New Roman"/>
          <w:color w:val="000000"/>
          <w:sz w:val="20"/>
          <w:shd w:fill="FFFFFF" w:val="clear"/>
        </w:rPr>
        <w:br/>
      </w:r>
      <w:r>
        <w:rPr>
          <w:rFonts w:ascii="Times New Roman" w:hAnsi="Times New Roman"/>
          <w:b w:val="false"/>
          <w:i w:val="false"/>
          <w:caps w:val="false"/>
          <w:smallCaps w:val="false"/>
          <w:color w:val="000000"/>
          <w:spacing w:val="0"/>
          <w:sz w:val="20"/>
          <w:shd w:fill="FFFFFF" w:val="clear"/>
        </w:rPr>
        <w:t>In July 2018, the Company’s board of directors approved a stock repurchase plan with an authorization amount of $500 million. The repurchases are used primarily for strategic initiatives and to offset dilution from the Company’s equity incentive plans. During the year ended December 31, 2025, the Company purchased 2.0 million shares under the 2018 plan for $20.0 million. During the year ended December 31, 2024, the Company purchased no shares. During the year ended December 31, 2023, the Company purchased 0.6 million shares under the 2018 plan for $13.0 million. At December 31, 2025, $142.3 million was available for repurchases under the 2018 stock repurchase plan.</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86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tbl>
      <w:tblPr>
        <w:tblW w:w="2665" w:type="dxa"/>
        <w:jc w:val="left"/>
        <w:tblInd w:w="0" w:type="dxa"/>
        <w:tblLayout w:type="fixed"/>
        <w:tblCellMar>
          <w:top w:w="0" w:type="dxa"/>
          <w:left w:w="0" w:type="dxa"/>
          <w:bottom w:w="0" w:type="dxa"/>
          <w:right w:w="0" w:type="dxa"/>
        </w:tblCellMar>
      </w:tblPr>
      <w:tblGrid>
        <w:gridCol w:w="290"/>
        <w:gridCol w:w="2375"/>
      </w:tblGrid>
      <w:tr>
        <w:trPr/>
        <w:tc>
          <w:tcPr>
            <w:tcW w:w="29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10.</w:t>
            </w:r>
          </w:p>
        </w:tc>
        <w:tc>
          <w:tcPr>
            <w:tcW w:w="237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Stock–Based Compensation</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At December 31, 2025, the Company had the following stock-based employee compensation plans: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Equity Incentive Plans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April 2010, the Company’s board of directors approved the Nu Skin Enterprises, Inc. 2010 Omnibus Incentive Plan (the “2010 Omnibus Incentive Plan”). This plan was approved by the Company’s stockholders at the Company’s 2010 Annual Meeting of Stockholders held in May 2010. The 2010 Omnibus Incentive Plan provides for granting of a variety of equity-based awards including stock options, stock appreciation rights, restricted stock, restricted stock units, other share-based awards, performance cash, performance shares and performance units to executives, other employees and independent consultants of the Company and its subsidiaries, as well as directors of the Company. Options granted under the 2010 Omnibus Incentive Plan are generally non-qualified stock options, but the 2010 Omnibus Incentive Plan permits some stock options granted to qualify as “incentive stock options” under the U.S. Internal Revenue Code. The exercise price of a stock option generally is equal to the fair market value of the Company’s common stock on the stock option grant date. The contractual term of a stock option granted under the 2010 Omnibus Incentive Plan is seven years. Currently, all shares issued upon the exercise of stock options are from the Company’s treasury shares. Subject to certain adjustments, 7.0 million shares were authorized for issuance under the 2010 Omnibus Incentive Plan. In June 2013, the Company’s stockholders approved an Amended and Restated 2010 Omnibus Incentive Plan, which among other things increased the number of shares available for awards by 3.2 million shares. In May 2016, the Company’s stockholders approved a Second Amended and Restated 2010 Omnibus Incentive Plan, which among other things increased the number of shares available for awards by 3.8 million shares. In June 2020, the Company’s stockholders approved a Third Amended and Restated 2010 Omnibus Incentive Plan, which among other things increased the number of shares available for awards by 5.9 million shares.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April 2024, the Company’s board of directors approved the Nu Skin Enterprises, Inc. 2024 Omnibus Incentive Plan (the “2024 Omnibus Incentive Plan”). This plan was approved by the Company’s stockholders at the Company’s 2024 Annual Meeting of Stockholders held in June 2024. The 2024 Omnibus Incentive Plan provides for granting of a variety of equity-based awards including stock options, stock appreciation rights, restricted stock, restricted stock units, other share-based awards, performance cash, performance shares and performance units to executives, other employees and independent consultants of the Company and its subsidiaries, as well as directors of the Company. Subject to certain adjustments, the number of shares authorized for issuance under the 2024 Omnibus Incentive Plan was the sum of 1.2 million shares plus the number of shares which, as of the 2024 Omnibus Incentive Plan’s effective date, were available for issuance under the Third Amended and Restated 2010 Omnibus Incentive Plan. In May 2025, the Company’s stockholders approved an Amended and Restated 2024 Omnibus Incentive Plan, which among other things increased the number of shares available for awards by 790,000 shares.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Options under the plans as of December 31, 2025 and changes during the year ended December 31, 2025 were as follows:</w:t>
      </w:r>
    </w:p>
    <w:p>
      <w:pPr>
        <w:pStyle w:val="TextBody"/>
        <w:bidi w:val="0"/>
        <w:spacing w:before="0" w:after="0"/>
        <w:jc w:val="left"/>
        <w:rPr/>
      </w:pPr>
      <w:r>
        <w:rPr/>
      </w:r>
    </w:p>
    <w:tbl>
      <w:tblPr>
        <w:tblW w:w="8246" w:type="dxa"/>
        <w:jc w:val="left"/>
        <w:tblInd w:w="0" w:type="dxa"/>
        <w:tblLayout w:type="fixed"/>
        <w:tblCellMar>
          <w:top w:w="0" w:type="dxa"/>
          <w:left w:w="0" w:type="dxa"/>
          <w:bottom w:w="0" w:type="dxa"/>
          <w:right w:w="0" w:type="dxa"/>
        </w:tblCellMar>
      </w:tblPr>
      <w:tblGrid>
        <w:gridCol w:w="3200"/>
        <w:gridCol w:w="60"/>
        <w:gridCol w:w="129"/>
        <w:gridCol w:w="1045"/>
        <w:gridCol w:w="80"/>
        <w:gridCol w:w="60"/>
        <w:gridCol w:w="182"/>
        <w:gridCol w:w="707"/>
        <w:gridCol w:w="60"/>
        <w:gridCol w:w="60"/>
        <w:gridCol w:w="175"/>
        <w:gridCol w:w="1119"/>
        <w:gridCol w:w="60"/>
        <w:gridCol w:w="60"/>
        <w:gridCol w:w="380"/>
        <w:gridCol w:w="794"/>
        <w:gridCol w:w="75"/>
      </w:tblGrid>
      <w:tr>
        <w:trPr/>
        <w:tc>
          <w:tcPr>
            <w:tcW w:w="3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Shares</w:t>
            </w:r>
          </w:p>
          <w:p>
            <w:pPr>
              <w:pStyle w:val="TableContents"/>
              <w:bidi w:val="0"/>
              <w:spacing w:before="0" w:after="0"/>
              <w:jc w:val="center"/>
              <w:rPr>
                <w:rFonts w:ascii="Times New Roman" w:hAnsi="Times New Roman"/>
                <w:sz w:val="20"/>
              </w:rPr>
            </w:pPr>
            <w:r>
              <w:rPr>
                <w:rFonts w:ascii="Times New Roman" w:hAnsi="Times New Roman"/>
                <w:sz w:val="20"/>
              </w:rPr>
              <w:t>(in thousands)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Weighted-</w:t>
            </w:r>
          </w:p>
          <w:p>
            <w:pPr>
              <w:pStyle w:val="TableContents"/>
              <w:bidi w:val="0"/>
              <w:spacing w:before="0" w:after="0"/>
              <w:jc w:val="center"/>
              <w:rPr>
                <w:rFonts w:ascii="Times New Roman" w:hAnsi="Times New Roman"/>
                <w:b/>
                <w:sz w:val="20"/>
              </w:rPr>
            </w:pPr>
            <w:r>
              <w:rPr>
                <w:rFonts w:ascii="Times New Roman" w:hAnsi="Times New Roman"/>
                <w:b/>
                <w:sz w:val="20"/>
              </w:rPr>
              <w:t>average</w:t>
            </w:r>
          </w:p>
          <w:p>
            <w:pPr>
              <w:pStyle w:val="TableContents"/>
              <w:bidi w:val="0"/>
              <w:spacing w:before="0" w:after="0"/>
              <w:jc w:val="center"/>
              <w:rPr>
                <w:rFonts w:ascii="Times New Roman" w:hAnsi="Times New Roman"/>
                <w:b/>
                <w:sz w:val="20"/>
              </w:rPr>
            </w:pPr>
            <w:r>
              <w:rPr>
                <w:rFonts w:ascii="Times New Roman" w:hAnsi="Times New Roman"/>
                <w:b/>
                <w:sz w:val="20"/>
              </w:rPr>
              <w:t>Exercise</w:t>
            </w:r>
          </w:p>
          <w:p>
            <w:pPr>
              <w:pStyle w:val="TableContents"/>
              <w:bidi w:val="0"/>
              <w:spacing w:before="0" w:after="0"/>
              <w:jc w:val="center"/>
              <w:rPr>
                <w:rFonts w:ascii="Times New Roman" w:hAnsi="Times New Roman"/>
                <w:b/>
                <w:sz w:val="20"/>
              </w:rPr>
            </w:pPr>
            <w:r>
              <w:rPr>
                <w:rFonts w:ascii="Times New Roman" w:hAnsi="Times New Roman"/>
                <w:b/>
                <w:sz w:val="20"/>
              </w:rPr>
              <w:t>Price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Weighted-</w:t>
            </w:r>
          </w:p>
          <w:p>
            <w:pPr>
              <w:pStyle w:val="TableContents"/>
              <w:bidi w:val="0"/>
              <w:spacing w:before="0" w:after="0"/>
              <w:jc w:val="center"/>
              <w:rPr>
                <w:rFonts w:ascii="Times New Roman" w:hAnsi="Times New Roman"/>
                <w:b/>
                <w:sz w:val="20"/>
              </w:rPr>
            </w:pPr>
            <w:r>
              <w:rPr>
                <w:rFonts w:ascii="Times New Roman" w:hAnsi="Times New Roman"/>
                <w:b/>
                <w:sz w:val="20"/>
              </w:rPr>
              <w:t>average</w:t>
            </w:r>
          </w:p>
          <w:p>
            <w:pPr>
              <w:pStyle w:val="TableContents"/>
              <w:bidi w:val="0"/>
              <w:spacing w:before="0" w:after="0"/>
              <w:jc w:val="center"/>
              <w:rPr>
                <w:rFonts w:ascii="Times New Roman" w:hAnsi="Times New Roman"/>
                <w:b/>
                <w:sz w:val="20"/>
              </w:rPr>
            </w:pPr>
            <w:r>
              <w:rPr>
                <w:rFonts w:ascii="Times New Roman" w:hAnsi="Times New Roman"/>
                <w:b/>
                <w:sz w:val="20"/>
              </w:rPr>
              <w:t>Remaining</w:t>
            </w:r>
          </w:p>
          <w:p>
            <w:pPr>
              <w:pStyle w:val="TableContents"/>
              <w:bidi w:val="0"/>
              <w:spacing w:before="0" w:after="0"/>
              <w:jc w:val="center"/>
              <w:rPr>
                <w:rFonts w:ascii="Times New Roman" w:hAnsi="Times New Roman"/>
                <w:b/>
                <w:sz w:val="20"/>
              </w:rPr>
            </w:pPr>
            <w:r>
              <w:rPr>
                <w:rFonts w:ascii="Times New Roman" w:hAnsi="Times New Roman"/>
                <w:b/>
                <w:sz w:val="20"/>
              </w:rPr>
              <w:t>Contractual</w:t>
            </w:r>
          </w:p>
          <w:p>
            <w:pPr>
              <w:pStyle w:val="TableContents"/>
              <w:bidi w:val="0"/>
              <w:spacing w:before="0" w:after="0"/>
              <w:jc w:val="center"/>
              <w:rPr>
                <w:rFonts w:ascii="Times New Roman" w:hAnsi="Times New Roman"/>
                <w:sz w:val="20"/>
              </w:rPr>
            </w:pPr>
            <w:r>
              <w:rPr>
                <w:rFonts w:ascii="Times New Roman" w:hAnsi="Times New Roman"/>
                <w:b/>
                <w:sz w:val="20"/>
              </w:rPr>
              <w:t xml:space="preserve">Term </w:t>
            </w:r>
            <w:r>
              <w:rPr>
                <w:rFonts w:ascii="Times New Roman" w:hAnsi="Times New Roman"/>
                <w:sz w:val="20"/>
              </w:rPr>
              <w:t>(in years)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Aggregate</w:t>
            </w:r>
          </w:p>
          <w:p>
            <w:pPr>
              <w:pStyle w:val="TableContents"/>
              <w:bidi w:val="0"/>
              <w:spacing w:before="0" w:after="0"/>
              <w:jc w:val="center"/>
              <w:rPr>
                <w:rFonts w:ascii="Times New Roman" w:hAnsi="Times New Roman"/>
                <w:b/>
                <w:sz w:val="20"/>
              </w:rPr>
            </w:pPr>
            <w:r>
              <w:rPr>
                <w:rFonts w:ascii="Times New Roman" w:hAnsi="Times New Roman"/>
                <w:b/>
                <w:sz w:val="20"/>
              </w:rPr>
              <w:t>Intrinsic</w:t>
            </w:r>
          </w:p>
          <w:p>
            <w:pPr>
              <w:pStyle w:val="TableContents"/>
              <w:bidi w:val="0"/>
              <w:spacing w:before="0" w:after="0"/>
              <w:jc w:val="center"/>
              <w:rPr>
                <w:rFonts w:ascii="Times New Roman" w:hAnsi="Times New Roman"/>
                <w:b/>
                <w:sz w:val="20"/>
              </w:rPr>
            </w:pPr>
            <w:r>
              <w:rPr>
                <w:rFonts w:ascii="Times New Roman" w:hAnsi="Times New Roman"/>
                <w:b/>
                <w:sz w:val="20"/>
              </w:rPr>
              <w:t>Value</w:t>
            </w:r>
          </w:p>
          <w:p>
            <w:pPr>
              <w:pStyle w:val="TableContents"/>
              <w:bidi w:val="0"/>
              <w:spacing w:before="0" w:after="0"/>
              <w:jc w:val="center"/>
              <w:rPr>
                <w:rFonts w:ascii="Times New Roman" w:hAnsi="Times New Roman"/>
                <w:sz w:val="20"/>
              </w:rPr>
            </w:pPr>
            <w:r>
              <w:rPr>
                <w:rFonts w:ascii="Times New Roman" w:hAnsi="Times New Roman"/>
                <w:sz w:val="20"/>
              </w:rPr>
              <w:t>(in thousands)</w:t>
            </w:r>
          </w:p>
        </w:tc>
        <w:tc>
          <w:tcPr>
            <w:tcW w:w="75" w:type="dxa"/>
            <w:tcBorders/>
            <w:vAlign w:val="bottom"/>
          </w:tcPr>
          <w:p>
            <w:pPr>
              <w:pStyle w:val="TableContents"/>
              <w:bidi w:val="0"/>
              <w:spacing w:before="0" w:after="283"/>
              <w:jc w:val="left"/>
              <w:rPr/>
            </w:pPr>
            <w:r>
              <w:rPr/>
              <w:t> </w:t>
            </w:r>
          </w:p>
        </w:tc>
      </w:tr>
      <w:tr>
        <w:trPr/>
        <w:tc>
          <w:tcPr>
            <w:tcW w:w="320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Options activity – performance based</w:t>
            </w:r>
          </w:p>
        </w:tc>
        <w:tc>
          <w:tcPr>
            <w:tcW w:w="60" w:type="dxa"/>
            <w:tcBorders/>
            <w:vAlign w:val="bottom"/>
          </w:tcPr>
          <w:p>
            <w:pPr>
              <w:pStyle w:val="TableContents"/>
              <w:bidi w:val="0"/>
              <w:spacing w:before="0" w:after="283"/>
              <w:jc w:val="left"/>
              <w:rPr/>
            </w:pPr>
            <w:r>
              <w:rPr/>
              <w:t> </w:t>
            </w:r>
          </w:p>
        </w:tc>
        <w:tc>
          <w:tcPr>
            <w:tcW w:w="1174"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20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Outstanding at December 31, 2024</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701.5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0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36.77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320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Granted</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04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4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320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Forfeited/cancelled/expired</w:t>
            </w:r>
          </w:p>
        </w:tc>
        <w:tc>
          <w:tcPr>
            <w:tcW w:w="60" w:type="dxa"/>
            <w:tcBorders/>
            <w:vAlign w:val="bottom"/>
          </w:tcPr>
          <w:p>
            <w:pPr>
              <w:pStyle w:val="TableContents"/>
              <w:bidi w:val="0"/>
              <w:spacing w:before="0" w:after="283"/>
              <w:jc w:val="left"/>
              <w:rPr/>
            </w:pPr>
            <w:r>
              <w:rPr/>
              <w:t> </w:t>
            </w:r>
          </w:p>
        </w:tc>
        <w:tc>
          <w:tcPr>
            <w:tcW w:w="12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(77.4</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67.53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20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Outstanding at December 31, 2025</w:t>
            </w:r>
          </w:p>
        </w:tc>
        <w:tc>
          <w:tcPr>
            <w:tcW w:w="60" w:type="dxa"/>
            <w:tcBorders/>
            <w:shd w:fill="CCEEFF" w:val="clear"/>
            <w:vAlign w:val="bottom"/>
          </w:tcPr>
          <w:p>
            <w:pPr>
              <w:pStyle w:val="TableContents"/>
              <w:bidi w:val="0"/>
              <w:spacing w:before="0" w:after="283"/>
              <w:jc w:val="left"/>
              <w:rPr/>
            </w:pPr>
            <w:r>
              <w:rPr/>
              <w:t> </w:t>
            </w:r>
          </w:p>
        </w:tc>
        <w:tc>
          <w:tcPr>
            <w:tcW w:w="12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624.1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94" w:type="dxa"/>
            <w:tcBorders/>
            <w:shd w:fill="CCEEFF" w:val="clear"/>
            <w:vAlign w:val="bottom"/>
          </w:tcPr>
          <w:p>
            <w:pPr>
              <w:pStyle w:val="TableContents"/>
              <w:bidi w:val="0"/>
              <w:spacing w:before="0" w:after="0"/>
              <w:jc w:val="right"/>
              <w:rPr/>
            </w:pPr>
            <w:r>
              <w:rPr/>
              <w:t>—</w:t>
            </w:r>
          </w:p>
        </w:tc>
        <w:tc>
          <w:tcPr>
            <w:tcW w:w="75" w:type="dxa"/>
            <w:tcBorders/>
            <w:shd w:fill="CCEEFF" w:val="clear"/>
            <w:vAlign w:val="bottom"/>
          </w:tcPr>
          <w:p>
            <w:pPr>
              <w:pStyle w:val="TableContents"/>
              <w:bidi w:val="0"/>
              <w:spacing w:before="0" w:after="283"/>
              <w:jc w:val="left"/>
              <w:rPr/>
            </w:pPr>
            <w:r>
              <w:rPr/>
              <w:t> </w:t>
            </w:r>
          </w:p>
        </w:tc>
      </w:tr>
      <w:tr>
        <w:trPr/>
        <w:tc>
          <w:tcPr>
            <w:tcW w:w="320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Exercisable at December 31, 2025</w:t>
            </w:r>
          </w:p>
        </w:tc>
        <w:tc>
          <w:tcPr>
            <w:tcW w:w="60" w:type="dxa"/>
            <w:tcBorders/>
            <w:vAlign w:val="bottom"/>
          </w:tcPr>
          <w:p>
            <w:pPr>
              <w:pStyle w:val="TableContents"/>
              <w:bidi w:val="0"/>
              <w:spacing w:before="0" w:after="283"/>
              <w:jc w:val="left"/>
              <w:rPr/>
            </w:pPr>
            <w:r>
              <w:rPr/>
              <w:t> </w:t>
            </w:r>
          </w:p>
        </w:tc>
        <w:tc>
          <w:tcPr>
            <w:tcW w:w="129" w:type="dxa"/>
            <w:tcBorders>
              <w:bottom w:val="double" w:sz="8" w:space="0" w:color="000000"/>
            </w:tcBorders>
            <w:tcMar>
              <w:bottom w:w="28" w:type="dxa"/>
            </w:tcMar>
            <w:vAlign w:val="bottom"/>
          </w:tcPr>
          <w:p>
            <w:pPr>
              <w:pStyle w:val="TableContents"/>
              <w:bidi w:val="0"/>
              <w:spacing w:before="0" w:after="283"/>
              <w:jc w:val="left"/>
              <w:rPr/>
            </w:pPr>
            <w:r>
              <w:rPr/>
              <w:t> </w:t>
            </w:r>
          </w:p>
        </w:tc>
        <w:tc>
          <w:tcPr>
            <w:tcW w:w="10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624.1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0"/>
              <w:jc w:val="right"/>
              <w:rPr/>
            </w:pPr>
            <w:r>
              <w:rPr/>
              <w:t>—</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aggregate intrinsic value in the table above represents the total pretax intrinsic value (the difference between the Company’s closing stock price on the last trading day of the respective years and the exercise price, multiplied by the number of in-the-money options) that would have been received by the option holders had all option holders exercised their options on December 31, 2025. This amount varies based on the fair market value of the Company’s stock.</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87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Cash proceeds, tax benefits and intrinsic value related to total stock options exercised during 2025, 2024 and 2023, were as follows (U.S. dollars in thousands):</w:t>
      </w:r>
    </w:p>
    <w:p>
      <w:pPr>
        <w:pStyle w:val="TextBody"/>
        <w:bidi w:val="0"/>
        <w:spacing w:before="0" w:after="0"/>
        <w:jc w:val="left"/>
        <w:rPr/>
      </w:pPr>
      <w:r>
        <w:rPr/>
      </w:r>
    </w:p>
    <w:tbl>
      <w:tblPr>
        <w:tblW w:w="6670" w:type="dxa"/>
        <w:jc w:val="left"/>
        <w:tblInd w:w="0" w:type="dxa"/>
        <w:tblLayout w:type="fixed"/>
        <w:tblCellMar>
          <w:top w:w="0" w:type="dxa"/>
          <w:left w:w="0" w:type="dxa"/>
          <w:bottom w:w="0" w:type="dxa"/>
          <w:right w:w="0" w:type="dxa"/>
        </w:tblCellMar>
      </w:tblPr>
      <w:tblGrid>
        <w:gridCol w:w="4805"/>
        <w:gridCol w:w="60"/>
        <w:gridCol w:w="142"/>
        <w:gridCol w:w="298"/>
        <w:gridCol w:w="60"/>
        <w:gridCol w:w="60"/>
        <w:gridCol w:w="142"/>
        <w:gridCol w:w="298"/>
        <w:gridCol w:w="60"/>
        <w:gridCol w:w="60"/>
        <w:gridCol w:w="125"/>
        <w:gridCol w:w="485"/>
        <w:gridCol w:w="75"/>
      </w:tblGrid>
      <w:tr>
        <w:trPr/>
        <w:tc>
          <w:tcPr>
            <w:tcW w:w="48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30"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w:t>
            </w:r>
          </w:p>
        </w:tc>
        <w:tc>
          <w:tcPr>
            <w:tcW w:w="75" w:type="dxa"/>
            <w:tcBorders/>
            <w:vAlign w:val="bottom"/>
          </w:tcPr>
          <w:p>
            <w:pPr>
              <w:pStyle w:val="TableContents"/>
              <w:bidi w:val="0"/>
              <w:spacing w:before="0" w:after="283"/>
              <w:jc w:val="left"/>
              <w:rPr/>
            </w:pPr>
            <w:r>
              <w:rPr/>
              <w:t> </w:t>
            </w:r>
          </w:p>
        </w:tc>
      </w:tr>
      <w:tr>
        <w:trPr/>
        <w:tc>
          <w:tcPr>
            <w:tcW w:w="48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75" w:type="dxa"/>
            <w:tcBorders/>
            <w:vAlign w:val="bottom"/>
          </w:tcPr>
          <w:p>
            <w:pPr>
              <w:pStyle w:val="TableContents"/>
              <w:bidi w:val="0"/>
              <w:spacing w:before="0" w:after="283"/>
              <w:jc w:val="left"/>
              <w:rPr/>
            </w:pPr>
            <w:r>
              <w:rPr/>
              <w:t> </w:t>
            </w:r>
          </w:p>
        </w:tc>
      </w:tr>
      <w:tr>
        <w:trPr/>
        <w:tc>
          <w:tcPr>
            <w:tcW w:w="480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Cash proceeds from stock options exercised</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298"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298"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8,322</w:t>
            </w:r>
          </w:p>
        </w:tc>
        <w:tc>
          <w:tcPr>
            <w:tcW w:w="75" w:type="dxa"/>
            <w:tcBorders/>
            <w:shd w:fill="CCEEFF" w:val="clear"/>
            <w:vAlign w:val="bottom"/>
          </w:tcPr>
          <w:p>
            <w:pPr>
              <w:pStyle w:val="TableContents"/>
              <w:bidi w:val="0"/>
              <w:spacing w:before="0" w:after="283"/>
              <w:jc w:val="left"/>
              <w:rPr/>
            </w:pPr>
            <w:r>
              <w:rPr/>
              <w:t> </w:t>
            </w:r>
          </w:p>
        </w:tc>
      </w:tr>
      <w:tr>
        <w:trPr/>
        <w:tc>
          <w:tcPr>
            <w:tcW w:w="480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Tax benefit / (expense) realized for stock options exercised</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482</w:t>
            </w:r>
          </w:p>
        </w:tc>
        <w:tc>
          <w:tcPr>
            <w:tcW w:w="75" w:type="dxa"/>
            <w:tcBorders/>
            <w:vAlign w:val="bottom"/>
          </w:tcPr>
          <w:p>
            <w:pPr>
              <w:pStyle w:val="TableContents"/>
              <w:bidi w:val="0"/>
              <w:spacing w:before="0" w:after="283"/>
              <w:jc w:val="left"/>
              <w:rPr>
                <w:sz w:val="4"/>
                <w:szCs w:val="4"/>
              </w:rPr>
            </w:pPr>
            <w:r>
              <w:rPr>
                <w:sz w:val="4"/>
                <w:szCs w:val="4"/>
              </w:rPr>
            </w:r>
          </w:p>
        </w:tc>
      </w:tr>
      <w:tr>
        <w:trPr/>
        <w:tc>
          <w:tcPr>
            <w:tcW w:w="480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Intrinsic value of stock options exercised</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2,338</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Nonvested restricted stock awards as of December 31, 2025 and changes during the year ended December 31, 2025 were as follows:</w:t>
      </w:r>
    </w:p>
    <w:p>
      <w:pPr>
        <w:pStyle w:val="TextBody"/>
        <w:bidi w:val="0"/>
        <w:spacing w:before="0" w:after="0"/>
        <w:jc w:val="left"/>
        <w:rPr/>
      </w:pPr>
      <w:r>
        <w:rPr/>
      </w:r>
    </w:p>
    <w:tbl>
      <w:tblPr>
        <w:tblW w:w="5133" w:type="dxa"/>
        <w:jc w:val="left"/>
        <w:tblInd w:w="0" w:type="dxa"/>
        <w:tblLayout w:type="fixed"/>
        <w:tblCellMar>
          <w:top w:w="0" w:type="dxa"/>
          <w:left w:w="0" w:type="dxa"/>
          <w:bottom w:w="0" w:type="dxa"/>
          <w:right w:w="0" w:type="dxa"/>
        </w:tblCellMar>
      </w:tblPr>
      <w:tblGrid>
        <w:gridCol w:w="2720"/>
        <w:gridCol w:w="60"/>
        <w:gridCol w:w="100"/>
        <w:gridCol w:w="1074"/>
        <w:gridCol w:w="80"/>
        <w:gridCol w:w="60"/>
        <w:gridCol w:w="197"/>
        <w:gridCol w:w="767"/>
        <w:gridCol w:w="75"/>
      </w:tblGrid>
      <w:tr>
        <w:trPr/>
        <w:tc>
          <w:tcPr>
            <w:tcW w:w="27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Number</w:t>
            </w:r>
          </w:p>
          <w:p>
            <w:pPr>
              <w:pStyle w:val="TableContents"/>
              <w:bidi w:val="0"/>
              <w:spacing w:before="0" w:after="0"/>
              <w:jc w:val="center"/>
              <w:rPr>
                <w:rFonts w:ascii="Times New Roman" w:hAnsi="Times New Roman"/>
                <w:b/>
                <w:sz w:val="20"/>
              </w:rPr>
            </w:pPr>
            <w:r>
              <w:rPr>
                <w:rFonts w:ascii="Times New Roman" w:hAnsi="Times New Roman"/>
                <w:b/>
                <w:sz w:val="20"/>
              </w:rPr>
              <w:t>of Shares</w:t>
            </w:r>
          </w:p>
          <w:p>
            <w:pPr>
              <w:pStyle w:val="TableContents"/>
              <w:bidi w:val="0"/>
              <w:spacing w:before="0" w:after="0"/>
              <w:jc w:val="center"/>
              <w:rPr>
                <w:rFonts w:ascii="Times New Roman" w:hAnsi="Times New Roman"/>
                <w:sz w:val="20"/>
              </w:rPr>
            </w:pPr>
            <w:r>
              <w:rPr>
                <w:rFonts w:ascii="Times New Roman" w:hAnsi="Times New Roman"/>
                <w:sz w:val="20"/>
              </w:rPr>
              <w:t>(in thousands)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Weighted-</w:t>
            </w:r>
          </w:p>
          <w:p>
            <w:pPr>
              <w:pStyle w:val="TableContents"/>
              <w:bidi w:val="0"/>
              <w:spacing w:before="0" w:after="0"/>
              <w:jc w:val="center"/>
              <w:rPr>
                <w:rFonts w:ascii="Times New Roman" w:hAnsi="Times New Roman"/>
                <w:b/>
                <w:sz w:val="20"/>
              </w:rPr>
            </w:pPr>
            <w:r>
              <w:rPr>
                <w:rFonts w:ascii="Times New Roman" w:hAnsi="Times New Roman"/>
                <w:b/>
                <w:sz w:val="20"/>
              </w:rPr>
              <w:t>average</w:t>
            </w:r>
          </w:p>
          <w:p>
            <w:pPr>
              <w:pStyle w:val="TableContents"/>
              <w:bidi w:val="0"/>
              <w:spacing w:before="0" w:after="0"/>
              <w:jc w:val="center"/>
              <w:rPr>
                <w:rFonts w:ascii="Times New Roman" w:hAnsi="Times New Roman"/>
                <w:b/>
                <w:sz w:val="20"/>
              </w:rPr>
            </w:pPr>
            <w:r>
              <w:rPr>
                <w:rFonts w:ascii="Times New Roman" w:hAnsi="Times New Roman"/>
                <w:b/>
                <w:sz w:val="20"/>
              </w:rPr>
              <w:t>Grant Date</w:t>
            </w:r>
          </w:p>
          <w:p>
            <w:pPr>
              <w:pStyle w:val="TableContents"/>
              <w:bidi w:val="0"/>
              <w:spacing w:before="0" w:after="0"/>
              <w:jc w:val="center"/>
              <w:rPr>
                <w:rFonts w:ascii="Times New Roman" w:hAnsi="Times New Roman"/>
                <w:b/>
                <w:sz w:val="20"/>
              </w:rPr>
            </w:pPr>
            <w:r>
              <w:rPr>
                <w:rFonts w:ascii="Times New Roman" w:hAnsi="Times New Roman"/>
                <w:b/>
                <w:sz w:val="20"/>
              </w:rPr>
              <w:t>Fair Value</w:t>
            </w:r>
          </w:p>
        </w:tc>
        <w:tc>
          <w:tcPr>
            <w:tcW w:w="75" w:type="dxa"/>
            <w:tcBorders/>
            <w:vAlign w:val="bottom"/>
          </w:tcPr>
          <w:p>
            <w:pPr>
              <w:pStyle w:val="TableContents"/>
              <w:bidi w:val="0"/>
              <w:spacing w:before="0" w:after="283"/>
              <w:jc w:val="left"/>
              <w:rPr/>
            </w:pPr>
            <w:r>
              <w:rPr/>
              <w:t> </w:t>
            </w:r>
          </w:p>
        </w:tc>
      </w:tr>
      <w:tr>
        <w:trPr/>
        <w:tc>
          <w:tcPr>
            <w:tcW w:w="272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Nonvested at December 31, 2024</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1,483.8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21.36</w:t>
            </w:r>
          </w:p>
        </w:tc>
        <w:tc>
          <w:tcPr>
            <w:tcW w:w="75" w:type="dxa"/>
            <w:tcBorders/>
            <w:shd w:fill="CCEEFF" w:val="clear"/>
            <w:vAlign w:val="bottom"/>
          </w:tcPr>
          <w:p>
            <w:pPr>
              <w:pStyle w:val="TableContents"/>
              <w:bidi w:val="0"/>
              <w:spacing w:before="0" w:after="283"/>
              <w:jc w:val="left"/>
              <w:rPr/>
            </w:pPr>
            <w:r>
              <w:rPr/>
              <w:t> </w:t>
            </w:r>
          </w:p>
        </w:tc>
      </w:tr>
      <w:tr>
        <w:trPr/>
        <w:tc>
          <w:tcPr>
            <w:tcW w:w="27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72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Granted</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1,689.8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7.43</w:t>
            </w:r>
          </w:p>
        </w:tc>
        <w:tc>
          <w:tcPr>
            <w:tcW w:w="75" w:type="dxa"/>
            <w:tcBorders/>
            <w:shd w:fill="CCEEFF" w:val="clear"/>
            <w:vAlign w:val="bottom"/>
          </w:tcPr>
          <w:p>
            <w:pPr>
              <w:pStyle w:val="TableContents"/>
              <w:bidi w:val="0"/>
              <w:spacing w:before="0" w:after="283"/>
              <w:jc w:val="left"/>
              <w:rPr/>
            </w:pPr>
            <w:r>
              <w:rPr/>
              <w:t> </w:t>
            </w:r>
          </w:p>
        </w:tc>
      </w:tr>
      <w:tr>
        <w:trPr/>
        <w:tc>
          <w:tcPr>
            <w:tcW w:w="272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Vested</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(529.3</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24.33</w:t>
            </w:r>
          </w:p>
        </w:tc>
        <w:tc>
          <w:tcPr>
            <w:tcW w:w="75" w:type="dxa"/>
            <w:tcBorders/>
            <w:vAlign w:val="bottom"/>
          </w:tcPr>
          <w:p>
            <w:pPr>
              <w:pStyle w:val="TableContents"/>
              <w:bidi w:val="0"/>
              <w:spacing w:before="0" w:after="283"/>
              <w:jc w:val="left"/>
              <w:rPr/>
            </w:pPr>
            <w:r>
              <w:rPr/>
              <w:t> </w:t>
            </w:r>
          </w:p>
        </w:tc>
      </w:tr>
      <w:tr>
        <w:trPr/>
        <w:tc>
          <w:tcPr>
            <w:tcW w:w="272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Forfeited</w:t>
            </w:r>
          </w:p>
        </w:tc>
        <w:tc>
          <w:tcPr>
            <w:tcW w:w="60" w:type="dxa"/>
            <w:tcBorders/>
            <w:shd w:fill="CCEEFF" w:val="clear"/>
            <w:vAlign w:val="bottom"/>
          </w:tcPr>
          <w:p>
            <w:pPr>
              <w:pStyle w:val="TableContents"/>
              <w:bidi w:val="0"/>
              <w:spacing w:before="0" w:after="283"/>
              <w:jc w:val="left"/>
              <w:rPr/>
            </w:pPr>
            <w:r>
              <w:rPr/>
              <w:t> </w:t>
            </w:r>
          </w:p>
        </w:tc>
        <w:tc>
          <w:tcPr>
            <w:tcW w:w="1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(146.0</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14.15</w:t>
            </w:r>
          </w:p>
        </w:tc>
        <w:tc>
          <w:tcPr>
            <w:tcW w:w="75" w:type="dxa"/>
            <w:tcBorders/>
            <w:shd w:fill="CCEEFF" w:val="clear"/>
            <w:vAlign w:val="bottom"/>
          </w:tcPr>
          <w:p>
            <w:pPr>
              <w:pStyle w:val="TableContents"/>
              <w:bidi w:val="0"/>
              <w:spacing w:before="0" w:after="283"/>
              <w:jc w:val="left"/>
              <w:rPr/>
            </w:pPr>
            <w:r>
              <w:rPr/>
              <w:t> </w:t>
            </w:r>
          </w:p>
        </w:tc>
      </w:tr>
      <w:tr>
        <w:trPr/>
        <w:tc>
          <w:tcPr>
            <w:tcW w:w="27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72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Nonvested at December 31, 2025</w:t>
            </w:r>
          </w:p>
        </w:tc>
        <w:tc>
          <w:tcPr>
            <w:tcW w:w="60" w:type="dxa"/>
            <w:tcBorders/>
            <w:shd w:fill="CCEEFF" w:val="clear"/>
            <w:vAlign w:val="bottom"/>
          </w:tcPr>
          <w:p>
            <w:pPr>
              <w:pStyle w:val="TableContents"/>
              <w:bidi w:val="0"/>
              <w:spacing w:before="0" w:after="283"/>
              <w:jc w:val="left"/>
              <w:rPr/>
            </w:pPr>
            <w:r>
              <w:rPr/>
              <w:t> </w:t>
            </w:r>
          </w:p>
        </w:tc>
        <w:tc>
          <w:tcPr>
            <w:tcW w:w="10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7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2,498.3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11.68</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Nonvested performance share units as of December 31, 2025 and changes during the year ended December 31, 2025 were as follows:</w:t>
      </w:r>
    </w:p>
    <w:p>
      <w:pPr>
        <w:pStyle w:val="TextBody"/>
        <w:bidi w:val="0"/>
        <w:spacing w:before="0" w:after="0"/>
        <w:ind w:left="0" w:right="0" w:hanging="0"/>
        <w:jc w:val="left"/>
        <w:rPr/>
      </w:pPr>
      <w:r>
        <w:rPr/>
      </w:r>
    </w:p>
    <w:tbl>
      <w:tblPr>
        <w:tblW w:w="5133" w:type="dxa"/>
        <w:jc w:val="left"/>
        <w:tblInd w:w="0" w:type="dxa"/>
        <w:tblLayout w:type="fixed"/>
        <w:tblCellMar>
          <w:top w:w="0" w:type="dxa"/>
          <w:left w:w="0" w:type="dxa"/>
          <w:bottom w:w="0" w:type="dxa"/>
          <w:right w:w="0" w:type="dxa"/>
        </w:tblCellMar>
      </w:tblPr>
      <w:tblGrid>
        <w:gridCol w:w="2720"/>
        <w:gridCol w:w="60"/>
        <w:gridCol w:w="100"/>
        <w:gridCol w:w="1074"/>
        <w:gridCol w:w="80"/>
        <w:gridCol w:w="60"/>
        <w:gridCol w:w="197"/>
        <w:gridCol w:w="767"/>
        <w:gridCol w:w="75"/>
      </w:tblGrid>
      <w:tr>
        <w:trPr/>
        <w:tc>
          <w:tcPr>
            <w:tcW w:w="27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Number</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of Shares</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(in thousands)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Weighted-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average</w:t>
            </w:r>
          </w:p>
          <w:p>
            <w:pPr>
              <w:pStyle w:val="TableContents"/>
              <w:bidi w:val="0"/>
              <w:spacing w:before="0" w:after="0"/>
              <w:jc w:val="center"/>
              <w:rPr>
                <w:rFonts w:ascii="Times New Roman" w:hAnsi="Times New Roman"/>
                <w:color w:val="000000"/>
                <w:sz w:val="20"/>
              </w:rPr>
            </w:pPr>
            <w:r>
              <w:rPr>
                <w:rFonts w:ascii="Times New Roman" w:hAnsi="Times New Roman"/>
                <w:b/>
                <w:color w:val="000000"/>
                <w:sz w:val="20"/>
              </w:rPr>
              <w:t>Grant</w:t>
            </w:r>
            <w:r>
              <w:rPr>
                <w:rFonts w:ascii="Times New Roman" w:hAnsi="Times New Roman"/>
                <w:color w:val="000000"/>
                <w:sz w:val="20"/>
              </w:rPr>
              <w:t xml:space="preserve"> </w:t>
            </w:r>
            <w:r>
              <w:rPr>
                <w:rFonts w:ascii="Times New Roman" w:hAnsi="Times New Roman"/>
                <w:b/>
                <w:color w:val="000000"/>
                <w:sz w:val="20"/>
              </w:rPr>
              <w:t>Date</w:t>
            </w:r>
          </w:p>
          <w:p>
            <w:pPr>
              <w:pStyle w:val="TableContents"/>
              <w:bidi w:val="0"/>
              <w:spacing w:before="0" w:after="0"/>
              <w:jc w:val="center"/>
              <w:rPr>
                <w:rFonts w:ascii="Times New Roman" w:hAnsi="Times New Roman"/>
                <w:color w:val="000000"/>
                <w:sz w:val="20"/>
              </w:rPr>
            </w:pPr>
            <w:r>
              <w:rPr>
                <w:rFonts w:ascii="Times New Roman" w:hAnsi="Times New Roman"/>
                <w:b/>
                <w:color w:val="000000"/>
                <w:sz w:val="20"/>
              </w:rPr>
              <w:t>Fair</w:t>
            </w:r>
            <w:r>
              <w:rPr>
                <w:rFonts w:ascii="Times New Roman" w:hAnsi="Times New Roman"/>
                <w:color w:val="000000"/>
                <w:sz w:val="20"/>
              </w:rPr>
              <w:t xml:space="preserve"> </w:t>
            </w:r>
            <w:r>
              <w:rPr>
                <w:rFonts w:ascii="Times New Roman" w:hAnsi="Times New Roman"/>
                <w:b/>
                <w:color w:val="000000"/>
                <w:sz w:val="20"/>
              </w:rPr>
              <w:t>Value</w:t>
            </w:r>
          </w:p>
        </w:tc>
        <w:tc>
          <w:tcPr>
            <w:tcW w:w="75" w:type="dxa"/>
            <w:tcBorders/>
            <w:vAlign w:val="bottom"/>
          </w:tcPr>
          <w:p>
            <w:pPr>
              <w:pStyle w:val="TableContents"/>
              <w:bidi w:val="0"/>
              <w:spacing w:before="0" w:after="283"/>
              <w:jc w:val="left"/>
              <w:rPr/>
            </w:pPr>
            <w:r>
              <w:rPr/>
              <w:t> </w:t>
            </w:r>
          </w:p>
        </w:tc>
      </w:tr>
      <w:tr>
        <w:trPr/>
        <w:tc>
          <w:tcPr>
            <w:tcW w:w="272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Nonvested at December 31, 2024</w:t>
            </w:r>
          </w:p>
        </w:tc>
        <w:tc>
          <w:tcPr>
            <w:tcW w:w="60" w:type="dxa"/>
            <w:tcBorders/>
            <w:shd w:fill="CCEEFF" w:val="clear"/>
            <w:vAlign w:val="bottom"/>
          </w:tcPr>
          <w:p>
            <w:pPr>
              <w:pStyle w:val="TableContents"/>
              <w:bidi w:val="0"/>
              <w:spacing w:before="0" w:after="283"/>
              <w:jc w:val="right"/>
              <w:rPr/>
            </w:pPr>
            <w:r>
              <w:rPr/>
              <w:t> </w:t>
            </w:r>
          </w:p>
        </w:tc>
        <w:tc>
          <w:tcPr>
            <w:tcW w:w="100"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667.2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6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17.75</w:t>
            </w:r>
          </w:p>
        </w:tc>
        <w:tc>
          <w:tcPr>
            <w:tcW w:w="75" w:type="dxa"/>
            <w:tcBorders/>
            <w:shd w:fill="CCEEFF" w:val="clear"/>
            <w:vAlign w:val="bottom"/>
          </w:tcPr>
          <w:p>
            <w:pPr>
              <w:pStyle w:val="TableContents"/>
              <w:bidi w:val="0"/>
              <w:spacing w:before="0" w:after="283"/>
              <w:jc w:val="left"/>
              <w:rPr/>
            </w:pPr>
            <w:r>
              <w:rPr/>
              <w:t> </w:t>
            </w:r>
          </w:p>
        </w:tc>
      </w:tr>
      <w:tr>
        <w:trPr/>
        <w:tc>
          <w:tcPr>
            <w:tcW w:w="27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00"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72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Granted</w:t>
            </w:r>
          </w:p>
        </w:tc>
        <w:tc>
          <w:tcPr>
            <w:tcW w:w="60" w:type="dxa"/>
            <w:tcBorders/>
            <w:shd w:fill="CCEEFF" w:val="clear"/>
            <w:vAlign w:val="bottom"/>
          </w:tcPr>
          <w:p>
            <w:pPr>
              <w:pStyle w:val="TableContents"/>
              <w:bidi w:val="0"/>
              <w:spacing w:before="0" w:after="283"/>
              <w:jc w:val="right"/>
              <w:rPr/>
            </w:pPr>
            <w:r>
              <w:rPr/>
              <w:t> </w:t>
            </w:r>
          </w:p>
        </w:tc>
        <w:tc>
          <w:tcPr>
            <w:tcW w:w="100"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894.3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7.49</w:t>
            </w:r>
          </w:p>
        </w:tc>
        <w:tc>
          <w:tcPr>
            <w:tcW w:w="75" w:type="dxa"/>
            <w:tcBorders/>
            <w:shd w:fill="CCEEFF" w:val="clear"/>
            <w:vAlign w:val="bottom"/>
          </w:tcPr>
          <w:p>
            <w:pPr>
              <w:pStyle w:val="TableContents"/>
              <w:bidi w:val="0"/>
              <w:spacing w:before="0" w:after="283"/>
              <w:jc w:val="left"/>
              <w:rPr/>
            </w:pPr>
            <w:r>
              <w:rPr/>
              <w:t> </w:t>
            </w:r>
          </w:p>
        </w:tc>
      </w:tr>
      <w:tr>
        <w:trPr/>
        <w:tc>
          <w:tcPr>
            <w:tcW w:w="272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Vested</w:t>
            </w:r>
          </w:p>
        </w:tc>
        <w:tc>
          <w:tcPr>
            <w:tcW w:w="60" w:type="dxa"/>
            <w:tcBorders/>
            <w:vAlign w:val="bottom"/>
          </w:tcPr>
          <w:p>
            <w:pPr>
              <w:pStyle w:val="TableContents"/>
              <w:bidi w:val="0"/>
              <w:spacing w:before="0" w:after="283"/>
              <w:jc w:val="right"/>
              <w:rPr/>
            </w:pPr>
            <w:r>
              <w:rPr/>
              <w:t> </w:t>
            </w:r>
          </w:p>
        </w:tc>
        <w:tc>
          <w:tcPr>
            <w:tcW w:w="100"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(48.2</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11.90</w:t>
            </w:r>
          </w:p>
        </w:tc>
        <w:tc>
          <w:tcPr>
            <w:tcW w:w="75" w:type="dxa"/>
            <w:tcBorders/>
            <w:vAlign w:val="bottom"/>
          </w:tcPr>
          <w:p>
            <w:pPr>
              <w:pStyle w:val="TableContents"/>
              <w:bidi w:val="0"/>
              <w:spacing w:before="0" w:after="283"/>
              <w:jc w:val="left"/>
              <w:rPr/>
            </w:pPr>
            <w:r>
              <w:rPr/>
              <w:t> </w:t>
            </w:r>
          </w:p>
        </w:tc>
      </w:tr>
      <w:tr>
        <w:trPr/>
        <w:tc>
          <w:tcPr>
            <w:tcW w:w="272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Forfeited</w:t>
            </w:r>
          </w:p>
        </w:tc>
        <w:tc>
          <w:tcPr>
            <w:tcW w:w="60" w:type="dxa"/>
            <w:tcBorders/>
            <w:shd w:fill="CCEEFF" w:val="clear"/>
            <w:vAlign w:val="bottom"/>
          </w:tcPr>
          <w:p>
            <w:pPr>
              <w:pStyle w:val="TableContents"/>
              <w:bidi w:val="0"/>
              <w:spacing w:before="0" w:after="283"/>
              <w:jc w:val="right"/>
              <w:rPr/>
            </w:pPr>
            <w:r>
              <w:rPr/>
              <w:t> </w:t>
            </w:r>
          </w:p>
        </w:tc>
        <w:tc>
          <w:tcPr>
            <w:tcW w:w="1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(243.8</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22.77</w:t>
            </w:r>
          </w:p>
        </w:tc>
        <w:tc>
          <w:tcPr>
            <w:tcW w:w="75" w:type="dxa"/>
            <w:tcBorders/>
            <w:shd w:fill="CCEEFF" w:val="clear"/>
            <w:vAlign w:val="bottom"/>
          </w:tcPr>
          <w:p>
            <w:pPr>
              <w:pStyle w:val="TableContents"/>
              <w:bidi w:val="0"/>
              <w:spacing w:before="0" w:after="283"/>
              <w:jc w:val="left"/>
              <w:rPr/>
            </w:pPr>
            <w:r>
              <w:rPr/>
              <w:t> </w:t>
            </w:r>
          </w:p>
        </w:tc>
      </w:tr>
      <w:tr>
        <w:trPr/>
        <w:tc>
          <w:tcPr>
            <w:tcW w:w="27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00"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72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Nonvested at December 31, 2025</w:t>
            </w:r>
          </w:p>
        </w:tc>
        <w:tc>
          <w:tcPr>
            <w:tcW w:w="60" w:type="dxa"/>
            <w:tcBorders/>
            <w:shd w:fill="CCEEFF" w:val="clear"/>
            <w:vAlign w:val="bottom"/>
          </w:tcPr>
          <w:p>
            <w:pPr>
              <w:pStyle w:val="TableContents"/>
              <w:bidi w:val="0"/>
              <w:spacing w:before="0" w:after="283"/>
              <w:jc w:val="right"/>
              <w:rPr/>
            </w:pPr>
            <w:r>
              <w:rPr/>
              <w:t> </w:t>
            </w:r>
          </w:p>
        </w:tc>
        <w:tc>
          <w:tcPr>
            <w:tcW w:w="10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7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1,269.5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6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9.78</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Stock-based compensation expense is recognized on a straight-line basis, except for performance-based awards for which expense is recognized using a graded-attribution method if the results are materially different than the straight-line method. The Company recognized $13.0 million, $13.3 million and $14.4 million of expense related to service condition restricted stock units in 2025, 2024 and 2023, respectively. For performance stock options and performance stock units, an expense is recorded each period for the estimated expense associated with the projected achievement of the performance-based targets. The Company recognized no expense related to performance stock options in 2025, 2024 and 2023; and $5.7 million, $1.5 million and $1.2 million of expense related to performance stock units in 2025, 2024 and 2023, respectively.</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December 31, 2025, there was no unrecognized stock-based compensation expense related to nonvested stock option awards. As of December 31, 2025, there was $18.4 million of unrecognized stock-based compensation expense related to nonvested restricted stock awards. That cost is expected to be recognized over a weighted-average period of 2.4 years.</w:t>
      </w:r>
    </w:p>
    <w:p>
      <w:pPr>
        <w:pStyle w:val="TextBody"/>
        <w:bidi w:val="0"/>
        <w:spacing w:before="0" w:after="0"/>
        <w:jc w:val="left"/>
        <w:rPr/>
      </w:pPr>
      <w:r>
        <w:rPr/>
      </w:r>
    </w:p>
    <w:tbl>
      <w:tblPr>
        <w:tblW w:w="3265" w:type="dxa"/>
        <w:jc w:val="left"/>
        <w:tblInd w:w="0" w:type="dxa"/>
        <w:tblLayout w:type="fixed"/>
        <w:tblCellMar>
          <w:top w:w="0" w:type="dxa"/>
          <w:left w:w="0" w:type="dxa"/>
          <w:bottom w:w="0" w:type="dxa"/>
          <w:right w:w="0" w:type="dxa"/>
        </w:tblCellMar>
      </w:tblPr>
      <w:tblGrid>
        <w:gridCol w:w="290"/>
        <w:gridCol w:w="2975"/>
      </w:tblGrid>
      <w:tr>
        <w:trPr/>
        <w:tc>
          <w:tcPr>
            <w:tcW w:w="29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11.</w:t>
            </w:r>
          </w:p>
        </w:tc>
        <w:tc>
          <w:tcPr>
            <w:tcW w:w="2975" w:type="dxa"/>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 xml:space="preserve">Fair Value </w:t>
            </w:r>
            <w:r>
              <w:rPr>
                <w:rFonts w:ascii="Times New Roman" w:hAnsi="Times New Roman"/>
                <w:b/>
                <w:i w:val="false"/>
                <w:caps w:val="false"/>
                <w:smallCaps w:val="false"/>
                <w:color w:val="000000"/>
                <w:spacing w:val="0"/>
                <w:sz w:val="20"/>
              </w:rPr>
              <w:t>and Equity Investments</w:t>
            </w:r>
          </w:p>
        </w:tc>
      </w:tr>
    </w:tbl>
    <w:p>
      <w:pPr>
        <w:pStyle w:val="TextBody"/>
        <w:bidi w:val="0"/>
        <w:spacing w:before="0" w:after="0"/>
        <w:jc w:val="left"/>
        <w:rPr/>
      </w:pPr>
      <w:r>
        <w:rPr/>
      </w:r>
    </w:p>
    <w:p>
      <w:pPr>
        <w:pStyle w:val="TextBody"/>
        <w:bidi w:val="0"/>
        <w:spacing w:before="0" w:after="0"/>
        <w:ind w:left="0" w:right="0" w:hanging="0"/>
        <w:jc w:val="left"/>
        <w:rPr>
          <w:rFonts w:ascii="Times New Roman" w:hAnsi="Times New Roman"/>
          <w:color w:val="000000"/>
          <w:sz w:val="20"/>
          <w:shd w:fill="FFFFFF" w:val="clear"/>
        </w:rPr>
      </w:pPr>
      <w:r>
        <w:rPr>
          <w:rFonts w:ascii="Times New Roman" w:hAnsi="Times New Roman"/>
          <w:b w:val="false"/>
          <w:i/>
          <w:color w:val="000000"/>
          <w:spacing w:val="0"/>
          <w:sz w:val="20"/>
          <w:shd w:fill="FFFFFF" w:val="clear"/>
        </w:rPr>
        <w:t>Fair Value</w:t>
      </w:r>
      <w:r>
        <w:rPr>
          <w:rFonts w:ascii="Times New Roman" w:hAnsi="Times New Roman"/>
          <w:color w:val="000000"/>
          <w:sz w:val="20"/>
          <w:shd w:fill="FFFFFF" w:val="clear"/>
        </w:rPr>
        <w:t xml:space="preserve"> </w:t>
      </w:r>
    </w:p>
    <w:p>
      <w:pPr>
        <w:pStyle w:val="TextBody"/>
        <w:bidi w:val="0"/>
        <w:spacing w:before="0" w:after="0"/>
        <w:ind w:left="0" w:right="0" w:hanging="0"/>
        <w:jc w:val="left"/>
        <w:rPr>
          <w:rFonts w:ascii="Times New Roman" w:hAnsi="Times New Roman"/>
          <w:b w:val="false"/>
          <w:i/>
          <w:color w:val="000000"/>
          <w:spacing w:val="0"/>
          <w:sz w:val="20"/>
          <w:shd w:fill="FFFFFF" w:val="clear"/>
        </w:rPr>
      </w:pPr>
      <w:r>
        <w:rPr>
          <w:rFonts w:ascii="Times New Roman" w:hAnsi="Times New Roman"/>
          <w:b w:val="false"/>
          <w:i/>
          <w:color w:val="000000"/>
          <w:spacing w:val="0"/>
          <w:sz w:val="20"/>
          <w:shd w:fill="FFFFFF" w:val="clea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carrying value of financial instruments including cash and cash equivalents, accounts receivable and accounts payable approximate fair values due to the short-term nature of these instruments. Fair value estimates are made at a specific point in time, based on relevant market information.</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88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tables present the fair value hierarchy for those assets and liabilities measured at fair value on a recurring basis (U.S. dollars in thousands):</w:t>
      </w:r>
    </w:p>
    <w:p>
      <w:pPr>
        <w:pStyle w:val="TextBody"/>
        <w:bidi w:val="0"/>
        <w:spacing w:before="0" w:after="0"/>
        <w:jc w:val="left"/>
        <w:rPr/>
      </w:pPr>
      <w:r>
        <w:rPr/>
      </w:r>
    </w:p>
    <w:tbl>
      <w:tblPr>
        <w:tblW w:w="6699" w:type="dxa"/>
        <w:jc w:val="left"/>
        <w:tblInd w:w="0" w:type="dxa"/>
        <w:tblLayout w:type="fixed"/>
        <w:tblCellMar>
          <w:top w:w="0" w:type="dxa"/>
          <w:left w:w="0" w:type="dxa"/>
          <w:bottom w:w="0" w:type="dxa"/>
          <w:right w:w="0" w:type="dxa"/>
        </w:tblCellMar>
      </w:tblPr>
      <w:tblGrid>
        <w:gridCol w:w="3410"/>
        <w:gridCol w:w="60"/>
        <w:gridCol w:w="125"/>
        <w:gridCol w:w="590"/>
        <w:gridCol w:w="60"/>
        <w:gridCol w:w="60"/>
        <w:gridCol w:w="210"/>
        <w:gridCol w:w="439"/>
        <w:gridCol w:w="60"/>
        <w:gridCol w:w="60"/>
        <w:gridCol w:w="125"/>
        <w:gridCol w:w="590"/>
        <w:gridCol w:w="60"/>
        <w:gridCol w:w="60"/>
        <w:gridCol w:w="125"/>
        <w:gridCol w:w="590"/>
        <w:gridCol w:w="75"/>
      </w:tblGrid>
      <w:tr>
        <w:trPr/>
        <w:tc>
          <w:tcPr>
            <w:tcW w:w="3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54" w:type="dxa"/>
            <w:gridSpan w:val="14"/>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Fair Value at December 31, 2025</w:t>
            </w:r>
          </w:p>
        </w:tc>
        <w:tc>
          <w:tcPr>
            <w:tcW w:w="75" w:type="dxa"/>
            <w:tcBorders/>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Level 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49"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Level 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5"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Level 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5" w:type="dxa"/>
            <w:gridSpan w:val="2"/>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Total</w:t>
            </w:r>
          </w:p>
        </w:tc>
        <w:tc>
          <w:tcPr>
            <w:tcW w:w="75" w:type="dxa"/>
            <w:tcBorders/>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Financial assets (liabilities):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Cash equivalents and current investments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39,084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39"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39,084</w:t>
            </w:r>
          </w:p>
        </w:tc>
        <w:tc>
          <w:tcPr>
            <w:tcW w:w="75" w:type="dxa"/>
            <w:tcBorders/>
            <w:shd w:fill="CCEEFF" w:val="clear"/>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Life insurance contracts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0" w:type="dxa"/>
            <w:tcBorders>
              <w:bottom w:val="single" w:sz="12" w:space="0" w:color="000000"/>
            </w:tcBorders>
            <w:tcMar>
              <w:bottom w:w="28" w:type="dxa"/>
            </w:tcMar>
            <w:vAlign w:val="bottom"/>
          </w:tcPr>
          <w:p>
            <w:pPr>
              <w:pStyle w:val="TableContents"/>
              <w:bidi w:val="0"/>
              <w:spacing w:before="0" w:after="283"/>
              <w:jc w:val="left"/>
              <w:rPr/>
            </w:pPr>
            <w:r>
              <w:rPr/>
              <w:t> </w:t>
            </w:r>
          </w:p>
        </w:tc>
        <w:tc>
          <w:tcPr>
            <w:tcW w:w="439"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48,410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48,410</w:t>
            </w:r>
          </w:p>
        </w:tc>
        <w:tc>
          <w:tcPr>
            <w:tcW w:w="75"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ind w:left="331" w:right="0" w:hanging="187"/>
              <w:jc w:val="left"/>
              <w:rPr>
                <w:rFonts w:ascii="Times New Roman" w:hAnsi="Times New Roman"/>
                <w:sz w:val="20"/>
              </w:rPr>
            </w:pPr>
            <w:r>
              <w:rPr>
                <w:rFonts w:ascii="Times New Roman" w:hAnsi="Times New Roman"/>
                <w:sz w:val="20"/>
              </w:rPr>
              <w:t>Total</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39,084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39" w:type="dxa"/>
            <w:tcBorders>
              <w:bottom w:val="double" w:sz="8"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48,410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87,494</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6735" w:type="dxa"/>
        <w:jc w:val="left"/>
        <w:tblInd w:w="0" w:type="dxa"/>
        <w:tblLayout w:type="fixed"/>
        <w:tblCellMar>
          <w:top w:w="0" w:type="dxa"/>
          <w:left w:w="0" w:type="dxa"/>
          <w:bottom w:w="0" w:type="dxa"/>
          <w:right w:w="0" w:type="dxa"/>
        </w:tblCellMar>
      </w:tblPr>
      <w:tblGrid>
        <w:gridCol w:w="3410"/>
        <w:gridCol w:w="60"/>
        <w:gridCol w:w="125"/>
        <w:gridCol w:w="590"/>
        <w:gridCol w:w="60"/>
        <w:gridCol w:w="60"/>
        <w:gridCol w:w="125"/>
        <w:gridCol w:w="560"/>
        <w:gridCol w:w="60"/>
        <w:gridCol w:w="60"/>
        <w:gridCol w:w="125"/>
        <w:gridCol w:w="590"/>
        <w:gridCol w:w="60"/>
        <w:gridCol w:w="60"/>
        <w:gridCol w:w="125"/>
        <w:gridCol w:w="590"/>
        <w:gridCol w:w="75"/>
      </w:tblGrid>
      <w:tr>
        <w:trPr/>
        <w:tc>
          <w:tcPr>
            <w:tcW w:w="3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90" w:type="dxa"/>
            <w:gridSpan w:val="14"/>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Fair Value at December 31, 2024</w:t>
            </w:r>
          </w:p>
        </w:tc>
        <w:tc>
          <w:tcPr>
            <w:tcW w:w="75" w:type="dxa"/>
            <w:tcBorders/>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Level 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85"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Level 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5"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Level 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5"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Total</w:t>
            </w:r>
          </w:p>
        </w:tc>
        <w:tc>
          <w:tcPr>
            <w:tcW w:w="75" w:type="dxa"/>
            <w:tcBorders/>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Financial assets (liabilities):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Cash equivalents and current investments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23,914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23,914</w:t>
            </w:r>
          </w:p>
        </w:tc>
        <w:tc>
          <w:tcPr>
            <w:tcW w:w="75" w:type="dxa"/>
            <w:tcBorders/>
            <w:shd w:fill="CCEEFF" w:val="clear"/>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283"/>
              <w:ind w:left="0" w:right="0" w:hanging="135"/>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Derivative financial instruments asset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4,708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4,708</w:t>
            </w:r>
          </w:p>
        </w:tc>
        <w:tc>
          <w:tcPr>
            <w:tcW w:w="75"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Life insurance contracts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44,091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44,091</w:t>
            </w:r>
          </w:p>
        </w:tc>
        <w:tc>
          <w:tcPr>
            <w:tcW w:w="75" w:type="dxa"/>
            <w:tcBorders/>
            <w:shd w:fill="CCEEFF" w:val="clear"/>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ind w:left="331" w:right="0" w:hanging="187"/>
              <w:jc w:val="left"/>
              <w:rPr>
                <w:rFonts w:ascii="Times New Roman" w:hAnsi="Times New Roman"/>
                <w:sz w:val="20"/>
              </w:rPr>
            </w:pPr>
            <w:r>
              <w:rPr>
                <w:rFonts w:ascii="Times New Roman" w:hAnsi="Times New Roman"/>
                <w:sz w:val="20"/>
              </w:rPr>
              <w:t>Total</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23,914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4,708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44,091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72,713</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methods and assumptions were used to determine the fair value of each class of assets and liabilities recorded at fair value in the consolidated balance sheets: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Cash equivalents and current investments:</w:t>
      </w:r>
      <w:r>
        <w:rPr>
          <w:rFonts w:ascii="Times New Roman" w:hAnsi="Times New Roman"/>
          <w:color w:val="000000"/>
          <w:sz w:val="20"/>
          <w:shd w:fill="FFFFFF" w:val="clear"/>
        </w:rPr>
        <w:t xml:space="preserve"> Cash equivalents and current investments primarily consist of highly rated money market funds with maturities of three months or less, and are purchased daily at par value with specified yield rates. Due to the high ratings and short-term nature of the funds, the Company considers all cash equivalents and current investments as Level 1. Current investments include $0 and $1.4 million as of December 31, 2025 and 2024, respectively, that is restricted for the Company’s voluntary participation in a consumer protection cooperative in South Korea, along with investments in corporate securities.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Life insurance contracts:</w:t>
      </w:r>
      <w:r>
        <w:rPr>
          <w:rFonts w:ascii="Times New Roman" w:hAnsi="Times New Roman"/>
          <w:color w:val="000000"/>
          <w:sz w:val="20"/>
          <w:shd w:fill="FFFFFF" w:val="clear"/>
        </w:rPr>
        <w:t xml:space="preserve"> ASC 820 preserves practicability exceptions to fair value measurements provided by other applicable provisions of U.S. GAAP. The guidance in ASC 715-30-35-60 allows a reporting entity, as a practical expedient, to use cash surrender value or conversion value as an expedient for fair value when it is present. Accordingly, the Company determines the fair value of its life insurance contracts as the cash-surrender value of life insurance policies held in its Rabbi Trust as disclosed in Note 14, “Deferred Compensation Plan.”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Derivative financial instruments asset and liability:</w:t>
      </w:r>
      <w:r>
        <w:rPr>
          <w:rFonts w:ascii="Times New Roman" w:hAnsi="Times New Roman"/>
          <w:color w:val="000000"/>
          <w:sz w:val="20"/>
          <w:shd w:fill="FFFFFF" w:val="clear"/>
        </w:rPr>
        <w:t xml:space="preserve"> Derivative financial instruments are measured at fair value based on observable market information and appropriate valuation methods.  See Note 15, “Derivative Financial Instruments” for more information on derivative financial instruments.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Contingent consideration:</w:t>
      </w:r>
      <w:r>
        <w:rPr>
          <w:rFonts w:ascii="Times New Roman" w:hAnsi="Times New Roman"/>
          <w:color w:val="000000"/>
          <w:sz w:val="20"/>
          <w:shd w:fill="FFFFFF" w:val="clear"/>
        </w:rPr>
        <w:t xml:space="preserve"> Contingent consideration represents the obligations incurred in connection with acquisitions. The estimate of fair value of the contingent consideration obligations requires subjective assumptions to be made regarding the future business results, discount rates, discount periods and probabilities assigned to various potential business result scenarios and was determined using probability assessments with respect to the likelihood of reaching various targets or of achieving certain milestones. The fair value measurement is based on significant inputs unobservable in the market and thus represents a level 3 measurement. Changes in current expectations of progress could change the probability of achieving the targets within the measurement periods and result in an increase or decrease in the fair value of the contingent consideration obligation.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provides a summary of changes in fair value of the Company’s Level 3 life insurance contracts (U.S. dollars in thousands):</w:t>
      </w:r>
    </w:p>
    <w:p>
      <w:pPr>
        <w:pStyle w:val="TextBody"/>
        <w:bidi w:val="0"/>
        <w:spacing w:before="0" w:after="0"/>
        <w:jc w:val="left"/>
        <w:rPr/>
      </w:pPr>
      <w:r>
        <w:rPr/>
      </w:r>
    </w:p>
    <w:tbl>
      <w:tblPr>
        <w:tblW w:w="4320" w:type="dxa"/>
        <w:jc w:val="left"/>
        <w:tblInd w:w="0" w:type="dxa"/>
        <w:tblLayout w:type="fixed"/>
        <w:tblCellMar>
          <w:top w:w="0" w:type="dxa"/>
          <w:left w:w="0" w:type="dxa"/>
          <w:bottom w:w="0" w:type="dxa"/>
          <w:right w:w="0" w:type="dxa"/>
        </w:tblCellMar>
      </w:tblPr>
      <w:tblGrid>
        <w:gridCol w:w="2615"/>
        <w:gridCol w:w="60"/>
        <w:gridCol w:w="125"/>
        <w:gridCol w:w="590"/>
        <w:gridCol w:w="60"/>
        <w:gridCol w:w="60"/>
        <w:gridCol w:w="125"/>
        <w:gridCol w:w="590"/>
        <w:gridCol w:w="95"/>
      </w:tblGrid>
      <w:tr>
        <w:trPr/>
        <w:tc>
          <w:tcPr>
            <w:tcW w:w="2615" w:type="dxa"/>
            <w:tcBorders/>
            <w:vAlign w:val="bottom"/>
          </w:tcPr>
          <w:p>
            <w:pPr>
              <w:pStyle w:val="TableContents"/>
              <w:bidi w:val="0"/>
              <w:spacing w:before="0" w:after="0"/>
              <w:ind w:left="180" w:right="0" w:hanging="180"/>
              <w:jc w:val="center"/>
              <w:rPr>
                <w:rFonts w:ascii="Times New Roman" w:hAnsi="Times New Roman"/>
                <w:b/>
                <w:sz w:val="20"/>
              </w:rPr>
            </w:pPr>
            <w:r>
              <w:rPr>
                <w:rFonts w:ascii="Times New Roman" w:hAnsi="Times New Roman"/>
                <w:b/>
                <w:sz w:val="20"/>
              </w:rPr>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95" w:type="dxa"/>
            <w:tcBorders/>
            <w:vAlign w:val="bottom"/>
          </w:tcPr>
          <w:p>
            <w:pPr>
              <w:pStyle w:val="TableContents"/>
              <w:bidi w:val="0"/>
              <w:spacing w:before="0" w:after="283"/>
              <w:jc w:val="left"/>
              <w:rPr/>
            </w:pPr>
            <w:r>
              <w:rPr/>
              <w:t> </w:t>
            </w:r>
          </w:p>
        </w:tc>
      </w:tr>
      <w:tr>
        <w:trPr/>
        <w:tc>
          <w:tcPr>
            <w:tcW w:w="261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Beginning balance at January 1</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44,091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45,041</w:t>
            </w:r>
          </w:p>
        </w:tc>
        <w:tc>
          <w:tcPr>
            <w:tcW w:w="95" w:type="dxa"/>
            <w:tcBorders/>
            <w:shd w:fill="CCEEFF" w:val="clear"/>
            <w:vAlign w:val="bottom"/>
          </w:tcPr>
          <w:p>
            <w:pPr>
              <w:pStyle w:val="TableContents"/>
              <w:bidi w:val="0"/>
              <w:spacing w:before="0" w:after="283"/>
              <w:jc w:val="left"/>
              <w:rPr/>
            </w:pPr>
            <w:r>
              <w:rPr/>
              <w:t> </w:t>
            </w:r>
          </w:p>
        </w:tc>
      </w:tr>
      <w:tr>
        <w:trPr/>
        <w:tc>
          <w:tcPr>
            <w:tcW w:w="2615" w:type="dxa"/>
            <w:tcBorders/>
            <w:vAlign w:val="bottom"/>
          </w:tcPr>
          <w:p>
            <w:pPr>
              <w:pStyle w:val="TableContents"/>
              <w:bidi w:val="0"/>
              <w:spacing w:before="0" w:after="0"/>
              <w:ind w:left="331" w:right="0" w:hanging="187"/>
              <w:jc w:val="left"/>
              <w:rPr>
                <w:rFonts w:ascii="Times New Roman" w:hAnsi="Times New Roman"/>
                <w:sz w:val="20"/>
              </w:rPr>
            </w:pPr>
            <w:r>
              <w:rPr>
                <w:rFonts w:ascii="Times New Roman" w:hAnsi="Times New Roman"/>
                <w:sz w:val="20"/>
              </w:rPr>
              <w:t>Actual return on plan assets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4,319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6,250</w:t>
            </w:r>
          </w:p>
        </w:tc>
        <w:tc>
          <w:tcPr>
            <w:tcW w:w="95" w:type="dxa"/>
            <w:tcBorders/>
            <w:vAlign w:val="bottom"/>
          </w:tcPr>
          <w:p>
            <w:pPr>
              <w:pStyle w:val="TableContents"/>
              <w:bidi w:val="0"/>
              <w:spacing w:before="0" w:after="283"/>
              <w:jc w:val="left"/>
              <w:rPr>
                <w:sz w:val="4"/>
                <w:szCs w:val="4"/>
              </w:rPr>
            </w:pPr>
            <w:r>
              <w:rPr>
                <w:sz w:val="4"/>
                <w:szCs w:val="4"/>
              </w:rPr>
            </w:r>
          </w:p>
        </w:tc>
      </w:tr>
      <w:tr>
        <w:trPr/>
        <w:tc>
          <w:tcPr>
            <w:tcW w:w="2615" w:type="dxa"/>
            <w:tcBorders/>
            <w:shd w:fill="CCEEFF" w:val="clear"/>
            <w:vAlign w:val="bottom"/>
          </w:tcPr>
          <w:p>
            <w:pPr>
              <w:pStyle w:val="TableContents"/>
              <w:bidi w:val="0"/>
              <w:spacing w:before="0" w:after="0"/>
              <w:ind w:left="331" w:right="0" w:hanging="187"/>
              <w:jc w:val="left"/>
              <w:rPr>
                <w:rFonts w:ascii="Times New Roman" w:hAnsi="Times New Roman"/>
                <w:sz w:val="20"/>
              </w:rPr>
            </w:pPr>
            <w:r>
              <w:rPr>
                <w:rFonts w:ascii="Times New Roman" w:hAnsi="Times New Roman"/>
                <w:sz w:val="20"/>
              </w:rPr>
              <w:t>Sales and settlements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(7,200</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61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Ending balance at December 31</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48,410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44,091</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89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following table provides a summary of changes in fair value of the Company’s Level 3 contingent consideration (U.S. dollars in thousands):</w:t>
      </w:r>
    </w:p>
    <w:p>
      <w:pPr>
        <w:pStyle w:val="TextBody"/>
        <w:bidi w:val="0"/>
        <w:spacing w:before="0" w:after="0"/>
        <w:ind w:left="0" w:right="0" w:hanging="0"/>
        <w:jc w:val="left"/>
        <w:rPr/>
      </w:pPr>
      <w:r>
        <w:rPr/>
      </w:r>
    </w:p>
    <w:tbl>
      <w:tblPr>
        <w:tblW w:w="5600" w:type="dxa"/>
        <w:jc w:val="left"/>
        <w:tblInd w:w="0" w:type="dxa"/>
        <w:shd w:fill="FFFFFF" w:val="clear"/>
        <w:tblLayout w:type="fixed"/>
        <w:tblCellMar>
          <w:top w:w="0" w:type="dxa"/>
          <w:left w:w="0" w:type="dxa"/>
          <w:bottom w:w="0" w:type="dxa"/>
          <w:right w:w="0" w:type="dxa"/>
        </w:tblCellMar>
      </w:tblPr>
      <w:tblGrid>
        <w:gridCol w:w="4055"/>
        <w:gridCol w:w="60"/>
        <w:gridCol w:w="142"/>
        <w:gridCol w:w="298"/>
        <w:gridCol w:w="60"/>
        <w:gridCol w:w="60"/>
        <w:gridCol w:w="125"/>
        <w:gridCol w:w="545"/>
        <w:gridCol w:w="255"/>
      </w:tblGrid>
      <w:tr>
        <w:trPr/>
        <w:tc>
          <w:tcPr>
            <w:tcW w:w="4055" w:type="dxa"/>
            <w:tcBorders/>
            <w:shd w:fill="FFFFFF" w:val="clear"/>
            <w:vAlign w:val="bottom"/>
          </w:tcPr>
          <w:p>
            <w:pPr>
              <w:pStyle w:val="TableContents"/>
              <w:bidi w:val="0"/>
              <w:spacing w:before="0" w:after="0"/>
              <w:jc w:val="center"/>
              <w:rPr>
                <w:b/>
                <w:color w:val="000000"/>
                <w:sz w:val="20"/>
                <w:szCs w:val="20"/>
              </w:rPr>
            </w:pPr>
            <w:r>
              <w:rPr>
                <w:b/>
                <w:color w:val="000000"/>
                <w:sz w:val="20"/>
                <w:szCs w:val="20"/>
              </w:rPr>
            </w:r>
          </w:p>
        </w:tc>
        <w:tc>
          <w:tcPr>
            <w:tcW w:w="60" w:type="dxa"/>
            <w:tcBorders/>
            <w:shd w:fill="FFFFFF" w:val="clear"/>
            <w:vAlign w:val="bottom"/>
          </w:tcPr>
          <w:p>
            <w:pPr>
              <w:pStyle w:val="TableContents"/>
              <w:bidi w:val="0"/>
              <w:spacing w:before="0" w:after="283"/>
              <w:jc w:val="left"/>
              <w:rPr/>
            </w:pPr>
            <w:r>
              <w:rPr/>
              <w:t> </w:t>
            </w:r>
          </w:p>
        </w:tc>
        <w:tc>
          <w:tcPr>
            <w:tcW w:w="440" w:type="dxa"/>
            <w:gridSpan w:val="2"/>
            <w:tcBorders>
              <w:bottom w:val="single" w:sz="12" w:space="0" w:color="000000"/>
            </w:tcBorders>
            <w:shd w:fill="FFFFFF" w:val="clear"/>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670" w:type="dxa"/>
            <w:gridSpan w:val="2"/>
            <w:tcBorders>
              <w:bottom w:val="single" w:sz="12" w:space="0" w:color="000000"/>
            </w:tcBorders>
            <w:shd w:fill="FFFFFF" w:val="clear"/>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255" w:type="dxa"/>
            <w:tcBorders/>
            <w:shd w:fill="FFFFFF" w:val="clear"/>
            <w:vAlign w:val="bottom"/>
          </w:tcPr>
          <w:p>
            <w:pPr>
              <w:pStyle w:val="TableContents"/>
              <w:bidi w:val="0"/>
              <w:spacing w:before="0" w:after="283"/>
              <w:jc w:val="left"/>
              <w:rPr/>
            </w:pPr>
            <w:r>
              <w:rPr/>
              <w:t> </w:t>
            </w:r>
          </w:p>
        </w:tc>
      </w:tr>
      <w:tr>
        <w:trPr/>
        <w:tc>
          <w:tcPr>
            <w:tcW w:w="4055" w:type="dxa"/>
            <w:tcBorders/>
            <w:shd w:fill="CCEEFF" w:val="clear"/>
            <w:vAlign w:val="bottom"/>
          </w:tcPr>
          <w:p>
            <w:pPr>
              <w:pStyle w:val="TableContents"/>
              <w:bidi w:val="0"/>
              <w:spacing w:before="0" w:after="0"/>
              <w:ind w:left="144" w:right="0" w:hanging="144"/>
              <w:jc w:val="left"/>
              <w:rPr>
                <w:color w:val="000000"/>
                <w:sz w:val="20"/>
              </w:rPr>
            </w:pPr>
            <w:r>
              <w:rPr>
                <w:color w:val="000000"/>
                <w:sz w:val="20"/>
              </w:rPr>
              <w:t>Beginning balance at January 1</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0"/>
              <w:jc w:val="left"/>
              <w:rPr>
                <w:color w:val="000000"/>
                <w:sz w:val="20"/>
              </w:rPr>
            </w:pPr>
            <w:r>
              <w:rPr>
                <w:color w:val="000000"/>
                <w:sz w:val="20"/>
              </w:rPr>
              <w:t>$</w:t>
            </w:r>
          </w:p>
        </w:tc>
        <w:tc>
          <w:tcPr>
            <w:tcW w:w="298"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color w:val="000000"/>
                <w:sz w:val="20"/>
              </w:rPr>
            </w:pPr>
            <w:r>
              <w:rPr>
                <w:color w:val="000000"/>
                <w:sz w:val="20"/>
              </w:rPr>
              <w:t>$</w:t>
            </w:r>
          </w:p>
        </w:tc>
        <w:tc>
          <w:tcPr>
            <w:tcW w:w="545" w:type="dxa"/>
            <w:tcBorders/>
            <w:shd w:fill="CCEEFF" w:val="clear"/>
            <w:vAlign w:val="bottom"/>
          </w:tcPr>
          <w:p>
            <w:pPr>
              <w:pStyle w:val="TableContents"/>
              <w:bidi w:val="0"/>
              <w:spacing w:before="0" w:after="0"/>
              <w:jc w:val="right"/>
              <w:rPr>
                <w:color w:val="000000"/>
                <w:sz w:val="20"/>
              </w:rPr>
            </w:pPr>
            <w:r>
              <w:rPr>
                <w:color w:val="000000"/>
                <w:sz w:val="20"/>
              </w:rPr>
              <w:t>(6,300</w:t>
            </w:r>
          </w:p>
        </w:tc>
        <w:tc>
          <w:tcPr>
            <w:tcW w:w="255" w:type="dxa"/>
            <w:tcBorders/>
            <w:shd w:fill="CCEEFF" w:val="clear"/>
            <w:vAlign w:val="bottom"/>
          </w:tcPr>
          <w:p>
            <w:pPr>
              <w:pStyle w:val="TableContents"/>
              <w:bidi w:val="0"/>
              <w:spacing w:before="0" w:after="0"/>
              <w:jc w:val="left"/>
              <w:rPr>
                <w:color w:val="000000"/>
                <w:sz w:val="20"/>
              </w:rPr>
            </w:pPr>
            <w:r>
              <w:rPr>
                <w:color w:val="000000"/>
                <w:sz w:val="20"/>
              </w:rPr>
              <w:t>)</w:t>
            </w:r>
          </w:p>
        </w:tc>
      </w:tr>
      <w:tr>
        <w:trPr/>
        <w:tc>
          <w:tcPr>
            <w:tcW w:w="4055" w:type="dxa"/>
            <w:tcBorders/>
            <w:shd w:fill="FFFFFF" w:val="clear"/>
            <w:vAlign w:val="bottom"/>
          </w:tcPr>
          <w:p>
            <w:pPr>
              <w:pStyle w:val="TableContents"/>
              <w:bidi w:val="0"/>
              <w:spacing w:before="0" w:after="0"/>
              <w:ind w:left="288" w:right="0" w:hanging="144"/>
              <w:jc w:val="left"/>
              <w:rPr>
                <w:color w:val="000000"/>
                <w:sz w:val="20"/>
              </w:rPr>
            </w:pPr>
            <w:r>
              <w:rPr>
                <w:color w:val="000000"/>
                <w:sz w:val="20"/>
              </w:rPr>
              <w:t>Changes in fair value of contingent consideration</w:t>
            </w:r>
          </w:p>
        </w:tc>
        <w:tc>
          <w:tcPr>
            <w:tcW w:w="60" w:type="dxa"/>
            <w:tcBorders/>
            <w:shd w:fill="FFFFFF" w:val="clear"/>
            <w:vAlign w:val="bottom"/>
          </w:tcPr>
          <w:p>
            <w:pPr>
              <w:pStyle w:val="TableContents"/>
              <w:bidi w:val="0"/>
              <w:spacing w:before="0" w:after="283"/>
              <w:jc w:val="right"/>
              <w:rPr/>
            </w:pPr>
            <w:r>
              <w:rPr/>
              <w:t> </w:t>
            </w:r>
          </w:p>
        </w:tc>
        <w:tc>
          <w:tcPr>
            <w:tcW w:w="142" w:type="dxa"/>
            <w:tcBorders/>
            <w:shd w:fill="FFFFFF" w:val="clear"/>
            <w:vAlign w:val="bottom"/>
          </w:tcPr>
          <w:p>
            <w:pPr>
              <w:pStyle w:val="TableContents"/>
              <w:bidi w:val="0"/>
              <w:spacing w:before="0" w:after="283"/>
              <w:jc w:val="left"/>
              <w:rPr/>
            </w:pPr>
            <w:r>
              <w:rPr/>
              <w:t> </w:t>
            </w:r>
          </w:p>
        </w:tc>
        <w:tc>
          <w:tcPr>
            <w:tcW w:w="298" w:type="dxa"/>
            <w:tcBorders/>
            <w:shd w:fill="FFFFFF" w:val="clear"/>
            <w:vAlign w:val="bottom"/>
          </w:tcPr>
          <w:p>
            <w:pPr>
              <w:pStyle w:val="TableContents"/>
              <w:bidi w:val="0"/>
              <w:spacing w:before="0" w:after="0"/>
              <w:jc w:val="right"/>
              <w:rPr>
                <w:color w:val="000000"/>
              </w:rPr>
            </w:pPr>
            <w:r>
              <w:rPr>
                <w:color w:val="00000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25" w:type="dxa"/>
            <w:tcBorders/>
            <w:shd w:fill="FFFFFF" w:val="clear"/>
            <w:vAlign w:val="bottom"/>
          </w:tcPr>
          <w:p>
            <w:pPr>
              <w:pStyle w:val="TableContents"/>
              <w:bidi w:val="0"/>
              <w:spacing w:before="0" w:after="283"/>
              <w:jc w:val="left"/>
              <w:rPr/>
            </w:pPr>
            <w:r>
              <w:rPr/>
              <w:t> </w:t>
            </w:r>
          </w:p>
        </w:tc>
        <w:tc>
          <w:tcPr>
            <w:tcW w:w="545" w:type="dxa"/>
            <w:tcBorders/>
            <w:shd w:fill="FFFFFF" w:val="clear"/>
            <w:vAlign w:val="bottom"/>
          </w:tcPr>
          <w:p>
            <w:pPr>
              <w:pStyle w:val="TableContents"/>
              <w:bidi w:val="0"/>
              <w:spacing w:before="0" w:after="0"/>
              <w:jc w:val="right"/>
              <w:rPr>
                <w:color w:val="000000"/>
              </w:rPr>
            </w:pPr>
            <w:r>
              <w:rPr>
                <w:color w:val="000000"/>
              </w:rPr>
              <w:t>—</w:t>
            </w:r>
          </w:p>
        </w:tc>
        <w:tc>
          <w:tcPr>
            <w:tcW w:w="255" w:type="dxa"/>
            <w:tcBorders/>
            <w:shd w:fill="FFFFFF" w:val="clear"/>
            <w:vAlign w:val="bottom"/>
          </w:tcPr>
          <w:p>
            <w:pPr>
              <w:pStyle w:val="TableContents"/>
              <w:bidi w:val="0"/>
              <w:spacing w:before="0" w:after="283"/>
              <w:ind w:left="0" w:right="0" w:firstLine="180"/>
              <w:jc w:val="left"/>
              <w:rPr/>
            </w:pPr>
            <w:r>
              <w:rPr/>
              <w:t> </w:t>
            </w:r>
          </w:p>
        </w:tc>
      </w:tr>
      <w:tr>
        <w:trPr/>
        <w:tc>
          <w:tcPr>
            <w:tcW w:w="4055" w:type="dxa"/>
            <w:tcBorders/>
            <w:shd w:fill="CCEEFF" w:val="clear"/>
            <w:vAlign w:val="bottom"/>
          </w:tcPr>
          <w:p>
            <w:pPr>
              <w:pStyle w:val="TableContents"/>
              <w:bidi w:val="0"/>
              <w:spacing w:before="0" w:after="0"/>
              <w:jc w:val="left"/>
              <w:rPr>
                <w:sz w:val="20"/>
              </w:rPr>
            </w:pPr>
            <w:r>
              <w:rPr>
                <w:sz w:val="20"/>
              </w:rPr>
              <w:t>Payments</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98"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6,300</w:t>
            </w:r>
          </w:p>
        </w:tc>
        <w:tc>
          <w:tcPr>
            <w:tcW w:w="255" w:type="dxa"/>
            <w:tcBorders/>
            <w:shd w:fill="CCEEFF" w:val="clear"/>
            <w:vAlign w:val="bottom"/>
          </w:tcPr>
          <w:p>
            <w:pPr>
              <w:pStyle w:val="TableContents"/>
              <w:bidi w:val="0"/>
              <w:spacing w:before="0" w:after="283"/>
              <w:jc w:val="left"/>
              <w:rPr/>
            </w:pPr>
            <w:r>
              <w:rPr/>
              <w:t> </w:t>
            </w:r>
          </w:p>
        </w:tc>
      </w:tr>
      <w:tr>
        <w:trPr/>
        <w:tc>
          <w:tcPr>
            <w:tcW w:w="4055" w:type="dxa"/>
            <w:tcBorders/>
            <w:shd w:fill="FFFFFF" w:val="clear"/>
            <w:vAlign w:val="bottom"/>
          </w:tcPr>
          <w:p>
            <w:pPr>
              <w:pStyle w:val="TableContents"/>
              <w:bidi w:val="0"/>
              <w:spacing w:before="0" w:after="0"/>
              <w:ind w:left="144" w:right="0" w:hanging="144"/>
              <w:jc w:val="left"/>
              <w:rPr>
                <w:color w:val="000000"/>
                <w:sz w:val="20"/>
              </w:rPr>
            </w:pPr>
            <w:r>
              <w:rPr>
                <w:color w:val="000000"/>
                <w:sz w:val="20"/>
              </w:rPr>
              <w:t>Ending balance at December 31</w:t>
            </w:r>
          </w:p>
        </w:tc>
        <w:tc>
          <w:tcPr>
            <w:tcW w:w="60" w:type="dxa"/>
            <w:tcBorders/>
            <w:shd w:fill="FFFFFF" w:val="clear"/>
            <w:vAlign w:val="bottom"/>
          </w:tcPr>
          <w:p>
            <w:pPr>
              <w:pStyle w:val="TableContents"/>
              <w:bidi w:val="0"/>
              <w:spacing w:before="0" w:after="283"/>
              <w:jc w:val="right"/>
              <w:rPr/>
            </w:pPr>
            <w:r>
              <w:rPr/>
              <w:t> </w:t>
            </w:r>
          </w:p>
        </w:tc>
        <w:tc>
          <w:tcPr>
            <w:tcW w:w="142" w:type="dxa"/>
            <w:tcBorders>
              <w:bottom w:val="double" w:sz="8" w:space="0" w:color="000000"/>
            </w:tcBorders>
            <w:shd w:fill="FFFFFF" w:val="clear"/>
            <w:tcMar>
              <w:bottom w:w="28" w:type="dxa"/>
            </w:tcMar>
            <w:vAlign w:val="bottom"/>
          </w:tcPr>
          <w:p>
            <w:pPr>
              <w:pStyle w:val="TableContents"/>
              <w:bidi w:val="0"/>
              <w:spacing w:before="0" w:after="0"/>
              <w:jc w:val="left"/>
              <w:rPr>
                <w:color w:val="000000"/>
                <w:sz w:val="20"/>
              </w:rPr>
            </w:pPr>
            <w:r>
              <w:rPr>
                <w:color w:val="000000"/>
                <w:sz w:val="20"/>
              </w:rPr>
              <w:t>$</w:t>
            </w:r>
          </w:p>
        </w:tc>
        <w:tc>
          <w:tcPr>
            <w:tcW w:w="298" w:type="dxa"/>
            <w:tcBorders>
              <w:bottom w:val="double" w:sz="8" w:space="0" w:color="000000"/>
            </w:tcBorders>
            <w:shd w:fill="FFFF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FFFFFF" w:val="clear"/>
            <w:vAlign w:val="bottom"/>
          </w:tcPr>
          <w:p>
            <w:pPr>
              <w:pStyle w:val="TableContents"/>
              <w:bidi w:val="0"/>
              <w:spacing w:before="0" w:after="283"/>
              <w:jc w:val="left"/>
              <w:rPr>
                <w:sz w:val="4"/>
                <w:szCs w:val="4"/>
              </w:rPr>
            </w:pPr>
            <w:r>
              <w:rPr>
                <w:sz w:val="4"/>
                <w:szCs w:val="4"/>
              </w:rPr>
            </w:r>
          </w:p>
        </w:tc>
        <w:tc>
          <w:tcPr>
            <w:tcW w:w="60" w:type="dxa"/>
            <w:tcBorders/>
            <w:shd w:fill="FFFFFF" w:val="clear"/>
            <w:vAlign w:val="bottom"/>
          </w:tcPr>
          <w:p>
            <w:pPr>
              <w:pStyle w:val="TableContents"/>
              <w:bidi w:val="0"/>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bidi w:val="0"/>
              <w:spacing w:before="0" w:after="0"/>
              <w:jc w:val="left"/>
              <w:rPr>
                <w:color w:val="000000"/>
                <w:sz w:val="20"/>
              </w:rPr>
            </w:pPr>
            <w:r>
              <w:rPr>
                <w:color w:val="000000"/>
                <w:sz w:val="20"/>
              </w:rPr>
              <w:t>$</w:t>
            </w:r>
          </w:p>
        </w:tc>
        <w:tc>
          <w:tcPr>
            <w:tcW w:w="545" w:type="dxa"/>
            <w:tcBorders>
              <w:bottom w:val="double" w:sz="8" w:space="0" w:color="000000"/>
            </w:tcBorders>
            <w:shd w:fill="FFFFFF" w:val="clear"/>
            <w:tcMar>
              <w:bottom w:w="28" w:type="dxa"/>
            </w:tcMar>
            <w:vAlign w:val="bottom"/>
          </w:tcPr>
          <w:p>
            <w:pPr>
              <w:pStyle w:val="TableContents"/>
              <w:bidi w:val="0"/>
              <w:spacing w:before="0" w:after="0"/>
              <w:jc w:val="right"/>
              <w:rPr>
                <w:color w:val="000000"/>
              </w:rPr>
            </w:pPr>
            <w:r>
              <w:rPr>
                <w:color w:val="000000"/>
              </w:rPr>
              <w:t>—</w:t>
            </w:r>
          </w:p>
        </w:tc>
        <w:tc>
          <w:tcPr>
            <w:tcW w:w="255" w:type="dxa"/>
            <w:tcBorders/>
            <w:shd w:fill="FFFF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color w:val="000000"/>
          <w:spacing w:val="0"/>
          <w:sz w:val="20"/>
          <w:shd w:fill="FFFFFF" w:val="clear"/>
        </w:rPr>
      </w:pPr>
      <w:r>
        <w:rPr>
          <w:rFonts w:ascii="Times New Roman" w:hAnsi="Times New Roman"/>
          <w:b w:val="false"/>
          <w:i/>
          <w:color w:val="000000"/>
          <w:spacing w:val="0"/>
          <w:sz w:val="20"/>
          <w:shd w:fill="FFFFFF" w:val="clear"/>
        </w:rPr>
        <w:t>Equity Investments</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left"/>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Company maintains equity investments in companies which are accounted for under the measurement alternative described in ASC 321-10-35-2 for equity securities that lack readily determinable fair values. The carrying amount of an equity security held by the Company without readily determinable fair values was $0 and $28.1 million as of December 31, 2025 and 2024, respectively. In prior years, the Company recognized $18.1 million of cumulative upward fair value adjustments, based on the valuation of additional equity issued by the investee which was deemed to be an observable transaction of a similar investment under ASC 321. During the year ended December 31, 2025, based on significant deterioration of the business prospects of the investment, the Company recorded a $28.1 million impairment of the investment. These charges were recorded within Other income (expense), net on the Consolidated Statement of Income. The 2025 estimated fair value was determined using a market-based method with level 3 inputs, including revenue and earnings multiples. The Company also had equity securities held without readily determinable fair values of $14.3 million and $7.6 million as of December 31, 2025 and 2024, respectively.</w:t>
      </w:r>
    </w:p>
    <w:p>
      <w:pPr>
        <w:pStyle w:val="TextBody"/>
        <w:bidi w:val="0"/>
        <w:spacing w:before="0" w:after="0"/>
        <w:jc w:val="left"/>
        <w:rPr/>
      </w:pPr>
      <w:r>
        <w:rPr/>
      </w:r>
    </w:p>
    <w:tbl>
      <w:tblPr>
        <w:tblW w:w="1510" w:type="dxa"/>
        <w:jc w:val="left"/>
        <w:tblInd w:w="0" w:type="dxa"/>
        <w:tblLayout w:type="fixed"/>
        <w:tblCellMar>
          <w:top w:w="0" w:type="dxa"/>
          <w:left w:w="0" w:type="dxa"/>
          <w:bottom w:w="0" w:type="dxa"/>
          <w:right w:w="0" w:type="dxa"/>
        </w:tblCellMar>
      </w:tblPr>
      <w:tblGrid>
        <w:gridCol w:w="290"/>
        <w:gridCol w:w="1220"/>
      </w:tblGrid>
      <w:tr>
        <w:trPr/>
        <w:tc>
          <w:tcPr>
            <w:tcW w:w="29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12.</w:t>
            </w:r>
          </w:p>
        </w:tc>
        <w:tc>
          <w:tcPr>
            <w:tcW w:w="122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Income Taxes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Consolidated (loss) income before provision for income taxes consists of the following for the years ended December 31, 2025, 2024 and 2023 (U.S. dollars in thousands):</w:t>
      </w:r>
    </w:p>
    <w:p>
      <w:pPr>
        <w:pStyle w:val="TextBody"/>
        <w:bidi w:val="0"/>
        <w:spacing w:before="0" w:after="0"/>
        <w:jc w:val="left"/>
        <w:rPr/>
      </w:pPr>
      <w:r>
        <w:rPr/>
      </w:r>
    </w:p>
    <w:tbl>
      <w:tblPr>
        <w:tblW w:w="3555" w:type="dxa"/>
        <w:jc w:val="left"/>
        <w:tblInd w:w="0" w:type="dxa"/>
        <w:tblLayout w:type="fixed"/>
        <w:tblCellMar>
          <w:top w:w="0" w:type="dxa"/>
          <w:left w:w="0" w:type="dxa"/>
          <w:bottom w:w="0" w:type="dxa"/>
          <w:right w:w="0" w:type="dxa"/>
        </w:tblCellMar>
      </w:tblPr>
      <w:tblGrid>
        <w:gridCol w:w="665"/>
        <w:gridCol w:w="60"/>
        <w:gridCol w:w="125"/>
        <w:gridCol w:w="695"/>
        <w:gridCol w:w="60"/>
        <w:gridCol w:w="60"/>
        <w:gridCol w:w="125"/>
        <w:gridCol w:w="755"/>
        <w:gridCol w:w="80"/>
        <w:gridCol w:w="60"/>
        <w:gridCol w:w="125"/>
        <w:gridCol w:w="650"/>
        <w:gridCol w:w="95"/>
      </w:tblGrid>
      <w:tr>
        <w:trPr/>
        <w:tc>
          <w:tcPr>
            <w:tcW w:w="6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95" w:type="dxa"/>
            <w:tcBorders/>
            <w:vAlign w:val="bottom"/>
          </w:tcPr>
          <w:p>
            <w:pPr>
              <w:pStyle w:val="TableContents"/>
              <w:bidi w:val="0"/>
              <w:spacing w:before="0" w:after="283"/>
              <w:jc w:val="left"/>
              <w:rPr/>
            </w:pPr>
            <w:r>
              <w:rPr/>
              <w:t> </w:t>
            </w:r>
          </w:p>
        </w:tc>
      </w:tr>
      <w:tr>
        <w:trPr/>
        <w:tc>
          <w:tcPr>
            <w:tcW w:w="66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U.S.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114,222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(237,693</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(37,152</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6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Foreign</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81,975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62,642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63,730</w:t>
            </w:r>
          </w:p>
        </w:tc>
        <w:tc>
          <w:tcPr>
            <w:tcW w:w="95" w:type="dxa"/>
            <w:tcBorders/>
            <w:vAlign w:val="bottom"/>
          </w:tcPr>
          <w:p>
            <w:pPr>
              <w:pStyle w:val="TableContents"/>
              <w:bidi w:val="0"/>
              <w:spacing w:before="0" w:after="283"/>
              <w:jc w:val="left"/>
              <w:rPr/>
            </w:pPr>
            <w:r>
              <w:rPr/>
              <w:t> </w:t>
            </w:r>
          </w:p>
        </w:tc>
      </w:tr>
      <w:tr>
        <w:trPr/>
        <w:tc>
          <w:tcPr>
            <w:tcW w:w="665" w:type="dxa"/>
            <w:tcBorders/>
            <w:shd w:fill="CCEEFF" w:val="clear"/>
            <w:vAlign w:val="bottom"/>
          </w:tcPr>
          <w:p>
            <w:pPr>
              <w:pStyle w:val="TableContents"/>
              <w:bidi w:val="0"/>
              <w:spacing w:before="0" w:after="0"/>
              <w:ind w:left="331" w:right="0" w:hanging="187"/>
              <w:jc w:val="left"/>
              <w:rPr>
                <w:rFonts w:ascii="Times New Roman" w:hAnsi="Times New Roman"/>
                <w:sz w:val="20"/>
              </w:rPr>
            </w:pPr>
            <w:r>
              <w:rPr>
                <w:rFonts w:ascii="Times New Roman" w:hAnsi="Times New Roman"/>
                <w:sz w:val="20"/>
              </w:rPr>
              <w:t>Total</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196,197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(175,051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26,578</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provision (benefit) for current and deferred taxes for the years ended December 31, 2025, 2024 and 2023 consists of the following (U.S. dollars in thousands):</w:t>
      </w:r>
    </w:p>
    <w:p>
      <w:pPr>
        <w:pStyle w:val="TextBody"/>
        <w:bidi w:val="0"/>
        <w:spacing w:before="0" w:after="0"/>
        <w:jc w:val="left"/>
        <w:rPr/>
      </w:pPr>
      <w:r>
        <w:rPr/>
      </w:r>
    </w:p>
    <w:tbl>
      <w:tblPr>
        <w:tblW w:w="5630" w:type="dxa"/>
        <w:jc w:val="left"/>
        <w:tblInd w:w="0" w:type="dxa"/>
        <w:tblLayout w:type="fixed"/>
        <w:tblCellMar>
          <w:top w:w="0" w:type="dxa"/>
          <w:left w:w="0" w:type="dxa"/>
          <w:bottom w:w="0" w:type="dxa"/>
          <w:right w:w="0" w:type="dxa"/>
        </w:tblCellMar>
      </w:tblPr>
      <w:tblGrid>
        <w:gridCol w:w="2930"/>
        <w:gridCol w:w="60"/>
        <w:gridCol w:w="125"/>
        <w:gridCol w:w="590"/>
        <w:gridCol w:w="80"/>
        <w:gridCol w:w="60"/>
        <w:gridCol w:w="125"/>
        <w:gridCol w:w="650"/>
        <w:gridCol w:w="80"/>
        <w:gridCol w:w="60"/>
        <w:gridCol w:w="125"/>
        <w:gridCol w:w="650"/>
        <w:gridCol w:w="95"/>
      </w:tblGrid>
      <w:tr>
        <w:trPr/>
        <w:tc>
          <w:tcPr>
            <w:tcW w:w="29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95" w:type="dxa"/>
            <w:tcBorders/>
            <w:vAlign w:val="bottom"/>
          </w:tcPr>
          <w:p>
            <w:pPr>
              <w:pStyle w:val="TableContents"/>
              <w:bidi w:val="0"/>
              <w:spacing w:before="0" w:after="283"/>
              <w:jc w:val="left"/>
              <w:rPr/>
            </w:pPr>
            <w:r>
              <w:rPr/>
              <w:t> </w:t>
            </w:r>
          </w:p>
        </w:tc>
      </w:tr>
      <w:tr>
        <w:trPr/>
        <w:tc>
          <w:tcPr>
            <w:tcW w:w="293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Current</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2930" w:type="dxa"/>
            <w:tcBorders/>
            <w:shd w:fill="CCEEFF" w:val="clear"/>
            <w:vAlign w:val="bottom"/>
          </w:tcPr>
          <w:p>
            <w:pPr>
              <w:pStyle w:val="TableContents"/>
              <w:bidi w:val="0"/>
              <w:spacing w:before="0" w:after="0"/>
              <w:ind w:left="331" w:right="0" w:hanging="187"/>
              <w:jc w:val="left"/>
              <w:rPr>
                <w:rFonts w:ascii="Times New Roman" w:hAnsi="Times New Roman"/>
                <w:sz w:val="20"/>
              </w:rPr>
            </w:pPr>
            <w:r>
              <w:rPr>
                <w:rFonts w:ascii="Times New Roman" w:hAnsi="Times New Roman"/>
                <w:sz w:val="20"/>
              </w:rPr>
              <w:t>Federal</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998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2930" w:type="dxa"/>
            <w:tcBorders/>
            <w:vAlign w:val="bottom"/>
          </w:tcPr>
          <w:p>
            <w:pPr>
              <w:pStyle w:val="TableContents"/>
              <w:bidi w:val="0"/>
              <w:spacing w:before="0" w:after="0"/>
              <w:ind w:left="331" w:right="0" w:hanging="187"/>
              <w:jc w:val="left"/>
              <w:rPr>
                <w:rFonts w:ascii="Times New Roman" w:hAnsi="Times New Roman"/>
                <w:sz w:val="20"/>
              </w:rPr>
            </w:pPr>
            <w:r>
              <w:rPr>
                <w:rFonts w:ascii="Times New Roman" w:hAnsi="Times New Roman"/>
                <w:sz w:val="20"/>
              </w:rPr>
              <w:t>State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4,987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708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3,903</w:t>
            </w:r>
          </w:p>
        </w:tc>
        <w:tc>
          <w:tcPr>
            <w:tcW w:w="95" w:type="dxa"/>
            <w:tcBorders/>
            <w:vAlign w:val="bottom"/>
          </w:tcPr>
          <w:p>
            <w:pPr>
              <w:pStyle w:val="TableContents"/>
              <w:bidi w:val="0"/>
              <w:spacing w:before="0" w:after="283"/>
              <w:jc w:val="left"/>
              <w:rPr/>
            </w:pPr>
            <w:r>
              <w:rPr/>
              <w:t> </w:t>
            </w:r>
          </w:p>
        </w:tc>
      </w:tr>
      <w:tr>
        <w:trPr/>
        <w:tc>
          <w:tcPr>
            <w:tcW w:w="2930" w:type="dxa"/>
            <w:tcBorders/>
            <w:shd w:fill="CCEEFF" w:val="clear"/>
            <w:vAlign w:val="bottom"/>
          </w:tcPr>
          <w:p>
            <w:pPr>
              <w:pStyle w:val="TableContents"/>
              <w:bidi w:val="0"/>
              <w:spacing w:before="0" w:after="0"/>
              <w:ind w:left="331" w:right="0" w:hanging="187"/>
              <w:jc w:val="left"/>
              <w:rPr>
                <w:rFonts w:ascii="Times New Roman" w:hAnsi="Times New Roman"/>
                <w:sz w:val="20"/>
              </w:rPr>
            </w:pPr>
            <w:r>
              <w:rPr>
                <w:rFonts w:ascii="Times New Roman" w:hAnsi="Times New Roman"/>
                <w:sz w:val="20"/>
              </w:rPr>
              <w:t>Foreign</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30,986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25,314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29,179</w:t>
            </w:r>
          </w:p>
        </w:tc>
        <w:tc>
          <w:tcPr>
            <w:tcW w:w="95" w:type="dxa"/>
            <w:tcBorders/>
            <w:shd w:fill="CCEEFF" w:val="clear"/>
            <w:vAlign w:val="bottom"/>
          </w:tcPr>
          <w:p>
            <w:pPr>
              <w:pStyle w:val="TableContents"/>
              <w:bidi w:val="0"/>
              <w:spacing w:before="0" w:after="283"/>
              <w:jc w:val="left"/>
              <w:rPr/>
            </w:pPr>
            <w:r>
              <w:rPr/>
              <w:t> </w:t>
            </w:r>
          </w:p>
        </w:tc>
      </w:tr>
      <w:tr>
        <w:trPr/>
        <w:tc>
          <w:tcPr>
            <w:tcW w:w="29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35,973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27,020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33,082</w:t>
            </w:r>
          </w:p>
        </w:tc>
        <w:tc>
          <w:tcPr>
            <w:tcW w:w="95" w:type="dxa"/>
            <w:tcBorders/>
            <w:vAlign w:val="bottom"/>
          </w:tcPr>
          <w:p>
            <w:pPr>
              <w:pStyle w:val="TableContents"/>
              <w:bidi w:val="0"/>
              <w:spacing w:before="0" w:after="283"/>
              <w:jc w:val="left"/>
              <w:rPr/>
            </w:pPr>
            <w:r>
              <w:rPr/>
              <w:t> </w:t>
            </w:r>
          </w:p>
        </w:tc>
      </w:tr>
      <w:tr>
        <w:trPr/>
        <w:tc>
          <w:tcPr>
            <w:tcW w:w="293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Deferred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2930" w:type="dxa"/>
            <w:tcBorders/>
            <w:vAlign w:val="bottom"/>
          </w:tcPr>
          <w:p>
            <w:pPr>
              <w:pStyle w:val="TableContents"/>
              <w:bidi w:val="0"/>
              <w:spacing w:before="0" w:after="0"/>
              <w:ind w:left="331" w:right="0" w:hanging="187"/>
              <w:jc w:val="left"/>
              <w:rPr>
                <w:rFonts w:ascii="Times New Roman" w:hAnsi="Times New Roman"/>
                <w:sz w:val="20"/>
              </w:rPr>
            </w:pPr>
            <w:r>
              <w:rPr>
                <w:rFonts w:ascii="Times New Roman" w:hAnsi="Times New Roman"/>
                <w:sz w:val="20"/>
              </w:rPr>
              <w:t>Federal</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3,837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(60,354</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(18,039</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930" w:type="dxa"/>
            <w:tcBorders/>
            <w:shd w:fill="CCEEFF" w:val="clear"/>
            <w:vAlign w:val="bottom"/>
          </w:tcPr>
          <w:p>
            <w:pPr>
              <w:pStyle w:val="TableContents"/>
              <w:bidi w:val="0"/>
              <w:spacing w:before="0" w:after="0"/>
              <w:ind w:left="331" w:right="0" w:hanging="187"/>
              <w:jc w:val="left"/>
              <w:rPr>
                <w:rFonts w:ascii="Times New Roman" w:hAnsi="Times New Roman"/>
                <w:sz w:val="20"/>
              </w:rPr>
            </w:pPr>
            <w:r>
              <w:rPr>
                <w:rFonts w:ascii="Times New Roman" w:hAnsi="Times New Roman"/>
                <w:sz w:val="20"/>
              </w:rPr>
              <w:t>State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(1,127</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(1,593</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(1,440</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930" w:type="dxa"/>
            <w:tcBorders/>
            <w:vAlign w:val="bottom"/>
          </w:tcPr>
          <w:p>
            <w:pPr>
              <w:pStyle w:val="TableContents"/>
              <w:bidi w:val="0"/>
              <w:spacing w:before="0" w:after="0"/>
              <w:ind w:left="331" w:right="0" w:hanging="187"/>
              <w:jc w:val="left"/>
              <w:rPr>
                <w:rFonts w:ascii="Times New Roman" w:hAnsi="Times New Roman"/>
                <w:sz w:val="20"/>
              </w:rPr>
            </w:pPr>
            <w:r>
              <w:rPr>
                <w:rFonts w:ascii="Times New Roman" w:hAnsi="Times New Roman"/>
                <w:sz w:val="20"/>
              </w:rPr>
              <w:t>Foreign</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(2,690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6,470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4,380</w:t>
            </w:r>
          </w:p>
        </w:tc>
        <w:tc>
          <w:tcPr>
            <w:tcW w:w="95" w:type="dxa"/>
            <w:tcBorders/>
            <w:vAlign w:val="bottom"/>
          </w:tcPr>
          <w:p>
            <w:pPr>
              <w:pStyle w:val="TableContents"/>
              <w:bidi w:val="0"/>
              <w:spacing w:before="0" w:after="283"/>
              <w:jc w:val="left"/>
              <w:rPr/>
            </w:pPr>
            <w:r>
              <w:rPr/>
              <w:t> </w:t>
            </w:r>
          </w:p>
        </w:tc>
      </w:tr>
      <w:tr>
        <w:trPr/>
        <w:tc>
          <w:tcPr>
            <w:tcW w:w="29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(55,477</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(15,099</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93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Provision (benefit) for income taxes</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35,993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(28,457</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17,983</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90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principal components of deferred taxes are as follows (U.S. dollars in thousands):</w:t>
      </w:r>
    </w:p>
    <w:p>
      <w:pPr>
        <w:pStyle w:val="TextBody"/>
        <w:bidi w:val="0"/>
        <w:spacing w:before="0" w:after="0"/>
        <w:jc w:val="left"/>
        <w:rPr/>
      </w:pPr>
      <w:r>
        <w:rPr/>
      </w:r>
    </w:p>
    <w:tbl>
      <w:tblPr>
        <w:tblW w:w="5983" w:type="dxa"/>
        <w:jc w:val="left"/>
        <w:tblInd w:w="0" w:type="dxa"/>
        <w:tblLayout w:type="fixed"/>
        <w:tblCellMar>
          <w:top w:w="0" w:type="dxa"/>
          <w:left w:w="0" w:type="dxa"/>
          <w:bottom w:w="0" w:type="dxa"/>
          <w:right w:w="0" w:type="dxa"/>
        </w:tblCellMar>
      </w:tblPr>
      <w:tblGrid>
        <w:gridCol w:w="3605"/>
        <w:gridCol w:w="60"/>
        <w:gridCol w:w="156"/>
        <w:gridCol w:w="868"/>
        <w:gridCol w:w="100"/>
        <w:gridCol w:w="75"/>
        <w:gridCol w:w="156"/>
        <w:gridCol w:w="868"/>
        <w:gridCol w:w="95"/>
      </w:tblGrid>
      <w:tr>
        <w:trPr/>
        <w:tc>
          <w:tcPr>
            <w:tcW w:w="36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23"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Year Ended December 31,</w:t>
            </w:r>
          </w:p>
        </w:tc>
        <w:tc>
          <w:tcPr>
            <w:tcW w:w="95" w:type="dxa"/>
            <w:tcBorders/>
            <w:vAlign w:val="bottom"/>
          </w:tcPr>
          <w:p>
            <w:pPr>
              <w:pStyle w:val="TableContents"/>
              <w:bidi w:val="0"/>
              <w:spacing w:before="0" w:after="283"/>
              <w:jc w:val="left"/>
              <w:rPr/>
            </w:pPr>
            <w:r>
              <w:rPr/>
              <w:t> </w:t>
            </w:r>
          </w:p>
        </w:tc>
      </w:tr>
      <w:tr>
        <w:trPr/>
        <w:tc>
          <w:tcPr>
            <w:tcW w:w="36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1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2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95" w:type="dxa"/>
            <w:tcBorders/>
            <w:vAlign w:val="bottom"/>
          </w:tcPr>
          <w:p>
            <w:pPr>
              <w:pStyle w:val="TableContents"/>
              <w:bidi w:val="0"/>
              <w:spacing w:before="0" w:after="283"/>
              <w:jc w:val="left"/>
              <w:rPr/>
            </w:pPr>
            <w:r>
              <w:rPr/>
              <w:t> </w:t>
            </w:r>
          </w:p>
        </w:tc>
      </w:tr>
      <w:tr>
        <w:trPr/>
        <w:tc>
          <w:tcPr>
            <w:tcW w:w="360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Deferred tax assets:</w:t>
            </w:r>
          </w:p>
        </w:tc>
        <w:tc>
          <w:tcPr>
            <w:tcW w:w="60" w:type="dxa"/>
            <w:tcBorders/>
            <w:vAlign w:val="bottom"/>
          </w:tcPr>
          <w:p>
            <w:pPr>
              <w:pStyle w:val="TableContents"/>
              <w:bidi w:val="0"/>
              <w:spacing w:before="0" w:after="283"/>
              <w:jc w:val="left"/>
              <w:rPr/>
            </w:pPr>
            <w:r>
              <w:rPr/>
              <w:t> </w:t>
            </w:r>
          </w:p>
        </w:tc>
        <w:tc>
          <w:tcPr>
            <w:tcW w:w="1024" w:type="dxa"/>
            <w:gridSpan w:val="2"/>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24"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360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Inventory differences</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131,774</w:t>
            </w:r>
          </w:p>
        </w:tc>
        <w:tc>
          <w:tcPr>
            <w:tcW w:w="10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108,895</w:t>
            </w:r>
          </w:p>
        </w:tc>
        <w:tc>
          <w:tcPr>
            <w:tcW w:w="95" w:type="dxa"/>
            <w:tcBorders/>
            <w:shd w:fill="CCEEFF" w:val="clear"/>
            <w:vAlign w:val="bottom"/>
          </w:tcPr>
          <w:p>
            <w:pPr>
              <w:pStyle w:val="TableContents"/>
              <w:bidi w:val="0"/>
              <w:spacing w:before="0" w:after="283"/>
              <w:jc w:val="left"/>
              <w:rPr/>
            </w:pPr>
            <w:r>
              <w:rPr/>
              <w:t> </w:t>
            </w:r>
          </w:p>
        </w:tc>
      </w:tr>
      <w:tr>
        <w:trPr/>
        <w:tc>
          <w:tcPr>
            <w:tcW w:w="360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Foreign tax credit and other foreign benefits</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9,802</w:t>
            </w:r>
          </w:p>
        </w:tc>
        <w:tc>
          <w:tcPr>
            <w:tcW w:w="1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36,689</w:t>
            </w:r>
          </w:p>
        </w:tc>
        <w:tc>
          <w:tcPr>
            <w:tcW w:w="95" w:type="dxa"/>
            <w:tcBorders/>
            <w:vAlign w:val="bottom"/>
          </w:tcPr>
          <w:p>
            <w:pPr>
              <w:pStyle w:val="TableContents"/>
              <w:bidi w:val="0"/>
              <w:spacing w:before="0" w:after="283"/>
              <w:jc w:val="left"/>
              <w:rPr/>
            </w:pPr>
            <w:r>
              <w:rPr/>
              <w:t> </w:t>
            </w:r>
          </w:p>
        </w:tc>
      </w:tr>
      <w:tr>
        <w:trPr/>
        <w:tc>
          <w:tcPr>
            <w:tcW w:w="360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Stock-based compensation</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4,826</w:t>
            </w:r>
          </w:p>
        </w:tc>
        <w:tc>
          <w:tcPr>
            <w:tcW w:w="10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3,882</w:t>
            </w:r>
          </w:p>
        </w:tc>
        <w:tc>
          <w:tcPr>
            <w:tcW w:w="95" w:type="dxa"/>
            <w:tcBorders/>
            <w:shd w:fill="CCEEFF" w:val="clear"/>
            <w:vAlign w:val="bottom"/>
          </w:tcPr>
          <w:p>
            <w:pPr>
              <w:pStyle w:val="TableContents"/>
              <w:bidi w:val="0"/>
              <w:spacing w:before="0" w:after="283"/>
              <w:jc w:val="left"/>
              <w:rPr/>
            </w:pPr>
            <w:r>
              <w:rPr/>
              <w:t> </w:t>
            </w:r>
          </w:p>
        </w:tc>
      </w:tr>
      <w:tr>
        <w:trPr/>
        <w:tc>
          <w:tcPr>
            <w:tcW w:w="360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Accrued expenses not deductible until paid</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25,883</w:t>
            </w:r>
          </w:p>
        </w:tc>
        <w:tc>
          <w:tcPr>
            <w:tcW w:w="1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26,529</w:t>
            </w:r>
          </w:p>
        </w:tc>
        <w:tc>
          <w:tcPr>
            <w:tcW w:w="95" w:type="dxa"/>
            <w:tcBorders/>
            <w:vAlign w:val="bottom"/>
          </w:tcPr>
          <w:p>
            <w:pPr>
              <w:pStyle w:val="TableContents"/>
              <w:bidi w:val="0"/>
              <w:spacing w:before="0" w:after="283"/>
              <w:jc w:val="left"/>
              <w:rPr/>
            </w:pPr>
            <w:r>
              <w:rPr/>
              <w:t> </w:t>
            </w:r>
          </w:p>
        </w:tc>
      </w:tr>
      <w:tr>
        <w:trPr/>
        <w:tc>
          <w:tcPr>
            <w:tcW w:w="3605" w:type="dxa"/>
            <w:tcBorders/>
            <w:shd w:fill="CCEEFF" w:val="clear"/>
            <w:vAlign w:val="bottom"/>
          </w:tcPr>
          <w:p>
            <w:pPr>
              <w:pStyle w:val="TableContents"/>
              <w:bidi w:val="0"/>
              <w:spacing w:before="0" w:after="0"/>
              <w:ind w:left="360" w:right="0" w:hanging="180"/>
              <w:jc w:val="left"/>
              <w:rPr/>
            </w:pPr>
            <w:r>
              <w:rPr/>
              <w:t>Foreign currency exchange</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285</w:t>
            </w:r>
          </w:p>
        </w:tc>
        <w:tc>
          <w:tcPr>
            <w:tcW w:w="10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360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Net operating losses</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9,874</w:t>
            </w:r>
          </w:p>
        </w:tc>
        <w:tc>
          <w:tcPr>
            <w:tcW w:w="1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19,710</w:t>
            </w:r>
          </w:p>
        </w:tc>
        <w:tc>
          <w:tcPr>
            <w:tcW w:w="95" w:type="dxa"/>
            <w:tcBorders/>
            <w:vAlign w:val="bottom"/>
          </w:tcPr>
          <w:p>
            <w:pPr>
              <w:pStyle w:val="TableContents"/>
              <w:bidi w:val="0"/>
              <w:spacing w:before="0" w:after="283"/>
              <w:jc w:val="left"/>
              <w:rPr/>
            </w:pPr>
            <w:r>
              <w:rPr/>
              <w:t> </w:t>
            </w:r>
          </w:p>
        </w:tc>
      </w:tr>
      <w:tr>
        <w:trPr/>
        <w:tc>
          <w:tcPr>
            <w:tcW w:w="3605" w:type="dxa"/>
            <w:tcBorders/>
            <w:shd w:fill="CCEEFF" w:val="clear"/>
            <w:vAlign w:val="bottom"/>
          </w:tcPr>
          <w:p>
            <w:pPr>
              <w:pStyle w:val="TableContents"/>
              <w:bidi w:val="0"/>
              <w:spacing w:before="0" w:after="0"/>
              <w:ind w:left="180" w:right="0" w:hanging="0"/>
              <w:jc w:val="left"/>
              <w:rPr/>
            </w:pPr>
            <w:r>
              <w:rPr/>
              <w:t xml:space="preserve">Interest Expense Limitation – 163(j) </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 —</w:t>
            </w:r>
          </w:p>
        </w:tc>
        <w:tc>
          <w:tcPr>
            <w:tcW w:w="10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 </w:t>
            </w:r>
            <w:r>
              <w:rPr/>
              <w:t>2,832</w:t>
            </w:r>
          </w:p>
        </w:tc>
        <w:tc>
          <w:tcPr>
            <w:tcW w:w="95" w:type="dxa"/>
            <w:tcBorders/>
            <w:shd w:fill="CCEEFF" w:val="clear"/>
            <w:vAlign w:val="bottom"/>
          </w:tcPr>
          <w:p>
            <w:pPr>
              <w:pStyle w:val="TableContents"/>
              <w:bidi w:val="0"/>
              <w:spacing w:before="0" w:after="283"/>
              <w:jc w:val="left"/>
              <w:rPr/>
            </w:pPr>
            <w:r>
              <w:rPr/>
              <w:t> </w:t>
            </w:r>
          </w:p>
        </w:tc>
      </w:tr>
      <w:tr>
        <w:trPr/>
        <w:tc>
          <w:tcPr>
            <w:tcW w:w="360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Capitalized research and development</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27,342</w:t>
            </w:r>
          </w:p>
        </w:tc>
        <w:tc>
          <w:tcPr>
            <w:tcW w:w="1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27,917</w:t>
            </w:r>
          </w:p>
        </w:tc>
        <w:tc>
          <w:tcPr>
            <w:tcW w:w="95" w:type="dxa"/>
            <w:tcBorders/>
            <w:vAlign w:val="bottom"/>
          </w:tcPr>
          <w:p>
            <w:pPr>
              <w:pStyle w:val="TableContents"/>
              <w:bidi w:val="0"/>
              <w:spacing w:before="0" w:after="283"/>
              <w:jc w:val="left"/>
              <w:rPr/>
            </w:pPr>
            <w:r>
              <w:rPr/>
              <w:t> </w:t>
            </w:r>
          </w:p>
        </w:tc>
      </w:tr>
      <w:tr>
        <w:trPr/>
        <w:tc>
          <w:tcPr>
            <w:tcW w:w="360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R&amp;D credit carryforward</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3,205</w:t>
            </w:r>
          </w:p>
        </w:tc>
        <w:tc>
          <w:tcPr>
            <w:tcW w:w="10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2,594</w:t>
            </w:r>
          </w:p>
        </w:tc>
        <w:tc>
          <w:tcPr>
            <w:tcW w:w="95" w:type="dxa"/>
            <w:tcBorders/>
            <w:shd w:fill="CCEEFF" w:val="clear"/>
            <w:vAlign w:val="bottom"/>
          </w:tcPr>
          <w:p>
            <w:pPr>
              <w:pStyle w:val="TableContents"/>
              <w:bidi w:val="0"/>
              <w:spacing w:before="0" w:after="283"/>
              <w:jc w:val="left"/>
              <w:rPr/>
            </w:pPr>
            <w:r>
              <w:rPr/>
              <w:t> </w:t>
            </w:r>
          </w:p>
        </w:tc>
      </w:tr>
      <w:tr>
        <w:trPr/>
        <w:tc>
          <w:tcPr>
            <w:tcW w:w="360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Other</w:t>
            </w:r>
          </w:p>
        </w:tc>
        <w:tc>
          <w:tcPr>
            <w:tcW w:w="60" w:type="dxa"/>
            <w:tcBorders/>
            <w:vAlign w:val="bottom"/>
          </w:tcPr>
          <w:p>
            <w:pPr>
              <w:pStyle w:val="TableContents"/>
              <w:bidi w:val="0"/>
              <w:spacing w:before="0" w:after="283"/>
              <w:jc w:val="righ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86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290</w:t>
            </w:r>
          </w:p>
        </w:tc>
        <w:tc>
          <w:tcPr>
            <w:tcW w:w="1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righ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86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285</w:t>
            </w:r>
          </w:p>
        </w:tc>
        <w:tc>
          <w:tcPr>
            <w:tcW w:w="95" w:type="dxa"/>
            <w:tcBorders/>
            <w:vAlign w:val="bottom"/>
          </w:tcPr>
          <w:p>
            <w:pPr>
              <w:pStyle w:val="TableContents"/>
              <w:bidi w:val="0"/>
              <w:spacing w:before="0" w:after="283"/>
              <w:jc w:val="left"/>
              <w:rPr/>
            </w:pPr>
            <w:r>
              <w:rPr/>
              <w:t> </w:t>
            </w:r>
          </w:p>
        </w:tc>
      </w:tr>
      <w:tr>
        <w:trPr/>
        <w:tc>
          <w:tcPr>
            <w:tcW w:w="360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Gross deferred tax assets</w:t>
            </w:r>
          </w:p>
        </w:tc>
        <w:tc>
          <w:tcPr>
            <w:tcW w:w="60" w:type="dxa"/>
            <w:tcBorders/>
            <w:shd w:fill="CCEEFF" w:val="clear"/>
            <w:vAlign w:val="bottom"/>
          </w:tcPr>
          <w:p>
            <w:pPr>
              <w:pStyle w:val="TableContents"/>
              <w:bidi w:val="0"/>
              <w:spacing w:before="0" w:after="283"/>
              <w:jc w:val="righ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213,281</w:t>
            </w:r>
          </w:p>
        </w:tc>
        <w:tc>
          <w:tcPr>
            <w:tcW w:w="10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righ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229,333</w:t>
            </w:r>
          </w:p>
        </w:tc>
        <w:tc>
          <w:tcPr>
            <w:tcW w:w="95" w:type="dxa"/>
            <w:tcBorders/>
            <w:shd w:fill="CCEEFF" w:val="clear"/>
            <w:vAlign w:val="bottom"/>
          </w:tcPr>
          <w:p>
            <w:pPr>
              <w:pStyle w:val="TableContents"/>
              <w:bidi w:val="0"/>
              <w:spacing w:before="0" w:after="283"/>
              <w:jc w:val="left"/>
              <w:rPr/>
            </w:pPr>
            <w:r>
              <w:rPr/>
              <w:t> </w:t>
            </w:r>
          </w:p>
        </w:tc>
      </w:tr>
      <w:tr>
        <w:trPr/>
        <w:tc>
          <w:tcPr>
            <w:tcW w:w="36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 </w:t>
            </w:r>
          </w:p>
        </w:tc>
        <w:tc>
          <w:tcPr>
            <w:tcW w:w="1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605" w:type="dxa"/>
            <w:tcBorders/>
            <w:shd w:fill="CCEEFF" w:val="clear"/>
            <w:vAlign w:val="bottom"/>
          </w:tcPr>
          <w:p>
            <w:pPr>
              <w:pStyle w:val="TableContents"/>
              <w:bidi w:val="0"/>
              <w:spacing w:before="0" w:after="0"/>
              <w:ind w:left="180" w:right="0" w:hanging="0"/>
              <w:jc w:val="left"/>
              <w:rPr/>
            </w:pPr>
            <w:r>
              <w:rPr/>
              <w:t>Foreign currency exchange</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w:t>
            </w:r>
          </w:p>
        </w:tc>
        <w:tc>
          <w:tcPr>
            <w:tcW w:w="10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1,341</w:t>
            </w:r>
          </w:p>
        </w:tc>
        <w:tc>
          <w:tcPr>
            <w:tcW w:w="95" w:type="dxa"/>
            <w:tcBorders/>
            <w:shd w:fill="CCEEFF" w:val="clear"/>
            <w:vAlign w:val="bottom"/>
          </w:tcPr>
          <w:p>
            <w:pPr>
              <w:pStyle w:val="TableContents"/>
              <w:bidi w:val="0"/>
              <w:spacing w:before="0" w:after="283"/>
              <w:jc w:val="left"/>
              <w:rPr/>
            </w:pPr>
            <w:r>
              <w:rPr/>
              <w:t> </w:t>
            </w:r>
          </w:p>
        </w:tc>
      </w:tr>
      <w:tr>
        <w:trPr/>
        <w:tc>
          <w:tcPr>
            <w:tcW w:w="360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Foreign withholding taxes</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11,728</w:t>
            </w:r>
          </w:p>
        </w:tc>
        <w:tc>
          <w:tcPr>
            <w:tcW w:w="1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10,936</w:t>
            </w:r>
          </w:p>
        </w:tc>
        <w:tc>
          <w:tcPr>
            <w:tcW w:w="95" w:type="dxa"/>
            <w:tcBorders/>
            <w:vAlign w:val="bottom"/>
          </w:tcPr>
          <w:p>
            <w:pPr>
              <w:pStyle w:val="TableContents"/>
              <w:bidi w:val="0"/>
              <w:spacing w:before="0" w:after="283"/>
              <w:jc w:val="left"/>
              <w:rPr/>
            </w:pPr>
            <w:r>
              <w:rPr/>
              <w:t> </w:t>
            </w:r>
          </w:p>
        </w:tc>
      </w:tr>
      <w:tr>
        <w:trPr/>
        <w:tc>
          <w:tcPr>
            <w:tcW w:w="360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Intangibles step-up</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1,397</w:t>
            </w:r>
          </w:p>
        </w:tc>
        <w:tc>
          <w:tcPr>
            <w:tcW w:w="10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1,020</w:t>
            </w:r>
          </w:p>
        </w:tc>
        <w:tc>
          <w:tcPr>
            <w:tcW w:w="95" w:type="dxa"/>
            <w:tcBorders/>
            <w:shd w:fill="CCEEFF" w:val="clear"/>
            <w:vAlign w:val="bottom"/>
          </w:tcPr>
          <w:p>
            <w:pPr>
              <w:pStyle w:val="TableContents"/>
              <w:bidi w:val="0"/>
              <w:spacing w:before="0" w:after="283"/>
              <w:jc w:val="left"/>
              <w:rPr/>
            </w:pPr>
            <w:r>
              <w:rPr/>
              <w:t> </w:t>
            </w:r>
          </w:p>
        </w:tc>
      </w:tr>
      <w:tr>
        <w:trPr/>
        <w:tc>
          <w:tcPr>
            <w:tcW w:w="360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Amortization of intangibles</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5,846</w:t>
            </w:r>
          </w:p>
        </w:tc>
        <w:tc>
          <w:tcPr>
            <w:tcW w:w="1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11,215</w:t>
            </w:r>
          </w:p>
        </w:tc>
        <w:tc>
          <w:tcPr>
            <w:tcW w:w="95" w:type="dxa"/>
            <w:tcBorders/>
            <w:vAlign w:val="bottom"/>
          </w:tcPr>
          <w:p>
            <w:pPr>
              <w:pStyle w:val="TableContents"/>
              <w:bidi w:val="0"/>
              <w:spacing w:before="0" w:after="283"/>
              <w:jc w:val="left"/>
              <w:rPr/>
            </w:pPr>
            <w:r>
              <w:rPr/>
              <w:t> </w:t>
            </w:r>
          </w:p>
        </w:tc>
      </w:tr>
      <w:tr>
        <w:trPr/>
        <w:tc>
          <w:tcPr>
            <w:tcW w:w="360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Other</w:t>
            </w:r>
          </w:p>
        </w:tc>
        <w:tc>
          <w:tcPr>
            <w:tcW w:w="60" w:type="dxa"/>
            <w:tcBorders/>
            <w:shd w:fill="CCEEFF" w:val="clear"/>
            <w:vAlign w:val="bottom"/>
          </w:tcPr>
          <w:p>
            <w:pPr>
              <w:pStyle w:val="TableContents"/>
              <w:bidi w:val="0"/>
              <w:spacing w:before="0" w:after="283"/>
              <w:jc w:val="righ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1,642</w:t>
            </w:r>
          </w:p>
        </w:tc>
        <w:tc>
          <w:tcPr>
            <w:tcW w:w="10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righ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6,580</w:t>
            </w:r>
          </w:p>
        </w:tc>
        <w:tc>
          <w:tcPr>
            <w:tcW w:w="95" w:type="dxa"/>
            <w:tcBorders/>
            <w:shd w:fill="CCEEFF" w:val="clear"/>
            <w:vAlign w:val="bottom"/>
          </w:tcPr>
          <w:p>
            <w:pPr>
              <w:pStyle w:val="TableContents"/>
              <w:bidi w:val="0"/>
              <w:spacing w:before="0" w:after="283"/>
              <w:jc w:val="left"/>
              <w:rPr/>
            </w:pPr>
            <w:r>
              <w:rPr/>
              <w:t> </w:t>
            </w:r>
          </w:p>
        </w:tc>
      </w:tr>
      <w:tr>
        <w:trPr/>
        <w:tc>
          <w:tcPr>
            <w:tcW w:w="3605" w:type="dxa"/>
            <w:tcBorders/>
            <w:vAlign w:val="bottom"/>
          </w:tcPr>
          <w:p>
            <w:pPr>
              <w:pStyle w:val="TableContents"/>
              <w:bidi w:val="0"/>
              <w:spacing w:before="0" w:after="0"/>
              <w:ind w:left="475" w:right="0" w:hanging="187"/>
              <w:jc w:val="left"/>
              <w:rPr>
                <w:rFonts w:ascii="Times New Roman" w:hAnsi="Times New Roman"/>
                <w:sz w:val="20"/>
              </w:rPr>
            </w:pPr>
            <w:r>
              <w:rPr>
                <w:rFonts w:ascii="Times New Roman" w:hAnsi="Times New Roman"/>
                <w:sz w:val="20"/>
              </w:rPr>
              <w:t>Gross deferred tax liabilities</w:t>
            </w:r>
          </w:p>
        </w:tc>
        <w:tc>
          <w:tcPr>
            <w:tcW w:w="60" w:type="dxa"/>
            <w:tcBorders/>
            <w:vAlign w:val="bottom"/>
          </w:tcPr>
          <w:p>
            <w:pPr>
              <w:pStyle w:val="TableContents"/>
              <w:bidi w:val="0"/>
              <w:spacing w:before="0" w:after="283"/>
              <w:jc w:val="righ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86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20,613</w:t>
            </w:r>
          </w:p>
        </w:tc>
        <w:tc>
          <w:tcPr>
            <w:tcW w:w="1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righ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86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31,092</w:t>
            </w:r>
          </w:p>
        </w:tc>
        <w:tc>
          <w:tcPr>
            <w:tcW w:w="95" w:type="dxa"/>
            <w:tcBorders/>
            <w:vAlign w:val="bottom"/>
          </w:tcPr>
          <w:p>
            <w:pPr>
              <w:pStyle w:val="TableContents"/>
              <w:bidi w:val="0"/>
              <w:spacing w:before="0" w:after="283"/>
              <w:jc w:val="left"/>
              <w:rPr/>
            </w:pPr>
            <w:r>
              <w:rPr/>
              <w:t> </w:t>
            </w:r>
          </w:p>
        </w:tc>
      </w:tr>
      <w:tr>
        <w:trPr/>
        <w:tc>
          <w:tcPr>
            <w:tcW w:w="360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Valuation allowance</w:t>
            </w:r>
          </w:p>
        </w:tc>
        <w:tc>
          <w:tcPr>
            <w:tcW w:w="60" w:type="dxa"/>
            <w:tcBorders/>
            <w:shd w:fill="CCEEFF" w:val="clear"/>
            <w:vAlign w:val="bottom"/>
          </w:tcPr>
          <w:p>
            <w:pPr>
              <w:pStyle w:val="TableContents"/>
              <w:bidi w:val="0"/>
              <w:spacing w:before="0" w:after="283"/>
              <w:jc w:val="righ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(21,261</w:t>
            </w:r>
          </w:p>
        </w:tc>
        <w:tc>
          <w:tcPr>
            <w:tcW w:w="1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bidi w:val="0"/>
              <w:spacing w:before="0" w:after="283"/>
              <w:jc w:val="righ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(24,337</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6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Deferred taxes, net</w:t>
            </w:r>
          </w:p>
        </w:tc>
        <w:tc>
          <w:tcPr>
            <w:tcW w:w="60" w:type="dxa"/>
            <w:tcBorders/>
            <w:vAlign w:val="bottom"/>
          </w:tcPr>
          <w:p>
            <w:pPr>
              <w:pStyle w:val="TableContents"/>
              <w:bidi w:val="0"/>
              <w:spacing w:before="0" w:after="283"/>
              <w:jc w:val="right"/>
              <w:rPr/>
            </w:pPr>
            <w:r>
              <w:rPr/>
              <w:t> </w:t>
            </w:r>
          </w:p>
        </w:tc>
        <w:tc>
          <w:tcPr>
            <w:tcW w:w="15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171,407</w:t>
            </w:r>
          </w:p>
        </w:tc>
        <w:tc>
          <w:tcPr>
            <w:tcW w:w="10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right"/>
              <w:rPr/>
            </w:pPr>
            <w:r>
              <w:rPr/>
              <w:t> </w:t>
            </w:r>
          </w:p>
        </w:tc>
        <w:tc>
          <w:tcPr>
            <w:tcW w:w="15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173,904</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At December 31, 2025, the Company had foreign operating loss carryforwards of $27.2 million for tax purposes, which will be available to offset future taxable income. If not used, $11.5 million of carryforwards will expire between 2026 and 2037, while $15.7 million do not expire. Tax effected, the foreign operating losses are $8.3 million. A valuation allowance has been placed on foreign operating loss carryforwards of $8.2 million. In addition, a valuation allowance of $9.8 million has been recorded on a portion of the foreign tax credit carryforwards which will expire between 2028 and 2035, and all of the remaining federal and Utah R&amp;D credit carryforwards of $3.2 million which will expire between 2032 and 2045.</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uses the tax law ordering approach when determining when excess tax benefits have been realized.</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Valuation allowances have been recognized for all remaining foreign tax credits, all remaining federal and Utah R&amp;D credits and the majority of the foreign net operating loss carryforwards.  On January 2, 2025 the Company sold its subsidiary Mavely, which affected its U.S. earnings. The gain from the sale in the U.S. increased the Company’s ability to utilize foreign and R&amp;D tax credits. The remaining R&amp;D credits as of December 31,2025 are not expected to be realized and a valuation allowance was placed against them. The other remaining valuation allowances were recognized for assets which it is more likely than not some portion or all of the deferred tax asset will not be realized. In making such determination, the Company considers all available positive and negative evidence, including future reversals of existing taxable temporary difference, projected future taxable income, tax planning strategies and recent financial operations. When the Company determines that there is sufficient positive evidence to utilize the remaining foreign tax credits or the foreign net operating losses, the valuation allowance will be released which would reduce the provision for income taxes.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91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deferred tax asset valuation adjustments for the years ended December 31, 2025, 2024 and 2023 are as follows (U.S. dollars in thousands):</w:t>
      </w:r>
    </w:p>
    <w:p>
      <w:pPr>
        <w:pStyle w:val="TextBody"/>
        <w:bidi w:val="0"/>
        <w:spacing w:before="0" w:after="0"/>
        <w:jc w:val="left"/>
        <w:rPr/>
      </w:pPr>
      <w:r>
        <w:rPr/>
      </w:r>
    </w:p>
    <w:tbl>
      <w:tblPr>
        <w:tblW w:w="6485" w:type="dxa"/>
        <w:jc w:val="left"/>
        <w:tblInd w:w="0" w:type="dxa"/>
        <w:tblLayout w:type="fixed"/>
        <w:tblCellMar>
          <w:top w:w="0" w:type="dxa"/>
          <w:left w:w="0" w:type="dxa"/>
          <w:bottom w:w="0" w:type="dxa"/>
          <w:right w:w="0" w:type="dxa"/>
        </w:tblCellMar>
      </w:tblPr>
      <w:tblGrid>
        <w:gridCol w:w="3230"/>
        <w:gridCol w:w="60"/>
        <w:gridCol w:w="125"/>
        <w:gridCol w:w="590"/>
        <w:gridCol w:w="290"/>
        <w:gridCol w:w="60"/>
        <w:gridCol w:w="125"/>
        <w:gridCol w:w="650"/>
        <w:gridCol w:w="290"/>
        <w:gridCol w:w="60"/>
        <w:gridCol w:w="125"/>
        <w:gridCol w:w="590"/>
        <w:gridCol w:w="290"/>
      </w:tblGrid>
      <w:tr>
        <w:trPr/>
        <w:tc>
          <w:tcPr>
            <w:tcW w:w="323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2905"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Year Ended December 31,</w:t>
            </w:r>
          </w:p>
        </w:tc>
        <w:tc>
          <w:tcPr>
            <w:tcW w:w="290" w:type="dxa"/>
            <w:tcBorders/>
            <w:vAlign w:val="bottom"/>
          </w:tcPr>
          <w:p>
            <w:pPr>
              <w:pStyle w:val="TableContents"/>
              <w:bidi w:val="0"/>
              <w:spacing w:before="0" w:after="283"/>
              <w:jc w:val="left"/>
              <w:rPr/>
            </w:pPr>
            <w:r>
              <w:rPr/>
              <w:t> </w:t>
            </w:r>
          </w:p>
        </w:tc>
      </w:tr>
      <w:tr>
        <w:trPr/>
        <w:tc>
          <w:tcPr>
            <w:tcW w:w="32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290" w:type="dxa"/>
            <w:tcBorders/>
            <w:vAlign w:val="bottom"/>
          </w:tcPr>
          <w:p>
            <w:pPr>
              <w:pStyle w:val="TableContents"/>
              <w:bidi w:val="0"/>
              <w:spacing w:before="0" w:after="283"/>
              <w:jc w:val="left"/>
              <w:rPr/>
            </w:pPr>
            <w:r>
              <w:rPr/>
              <w:t> </w:t>
            </w:r>
          </w:p>
        </w:tc>
      </w:tr>
      <w:tr>
        <w:trPr/>
        <w:tc>
          <w:tcPr>
            <w:tcW w:w="323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Balance at the beginning of period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24,337</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47,142</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33,557</w:t>
            </w:r>
          </w:p>
        </w:tc>
        <w:tc>
          <w:tcPr>
            <w:tcW w:w="290" w:type="dxa"/>
            <w:tcBorders/>
            <w:shd w:fill="CCEEFF" w:val="clear"/>
            <w:vAlign w:val="bottom"/>
          </w:tcPr>
          <w:p>
            <w:pPr>
              <w:pStyle w:val="TableContents"/>
              <w:bidi w:val="0"/>
              <w:spacing w:before="0" w:after="283"/>
              <w:jc w:val="left"/>
              <w:rPr/>
            </w:pPr>
            <w:r>
              <w:rPr/>
              <w:t> </w:t>
            </w:r>
          </w:p>
        </w:tc>
      </w:tr>
      <w:tr>
        <w:trPr/>
        <w:tc>
          <w:tcPr>
            <w:tcW w:w="323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Additions charged to cost and expenses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8,088</w:t>
            </w:r>
          </w:p>
        </w:tc>
        <w:tc>
          <w:tcPr>
            <w:tcW w:w="290" w:type="dxa"/>
            <w:tcBorders/>
            <w:vAlign w:val="center"/>
          </w:tcPr>
          <w:p>
            <w:pPr>
              <w:pStyle w:val="TableContents"/>
              <w:bidi w:val="0"/>
              <w:spacing w:before="0" w:after="283"/>
              <w:jc w:val="left"/>
              <w:rPr>
                <w:position w:val="8"/>
                <w:sz w:val="19"/>
              </w:rPr>
            </w:pPr>
            <w:r>
              <w:rPr>
                <w:position w:val="8"/>
                <w:sz w:val="19"/>
              </w:rPr>
              <w:t xml:space="preserve">(1)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2,245</w:t>
            </w:r>
          </w:p>
        </w:tc>
        <w:tc>
          <w:tcPr>
            <w:tcW w:w="290" w:type="dxa"/>
            <w:tcBorders/>
            <w:vAlign w:val="center"/>
          </w:tcPr>
          <w:p>
            <w:pPr>
              <w:pStyle w:val="TableContents"/>
              <w:bidi w:val="0"/>
              <w:spacing w:before="0" w:after="283"/>
              <w:jc w:val="left"/>
              <w:rPr>
                <w:position w:val="8"/>
                <w:sz w:val="19"/>
              </w:rPr>
            </w:pPr>
            <w:r>
              <w:rPr>
                <w:position w:val="8"/>
                <w:sz w:val="19"/>
              </w:rPr>
              <w:t>(4)</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13,183</w:t>
            </w:r>
          </w:p>
        </w:tc>
        <w:tc>
          <w:tcPr>
            <w:tcW w:w="290" w:type="dxa"/>
            <w:tcBorders/>
            <w:vAlign w:val="center"/>
          </w:tcPr>
          <w:p>
            <w:pPr>
              <w:pStyle w:val="TableContents"/>
              <w:bidi w:val="0"/>
              <w:spacing w:before="0" w:after="283"/>
              <w:jc w:val="left"/>
              <w:rPr>
                <w:position w:val="8"/>
                <w:sz w:val="19"/>
              </w:rPr>
            </w:pPr>
            <w:r>
              <w:rPr>
                <w:position w:val="8"/>
                <w:sz w:val="19"/>
              </w:rPr>
              <w:t>(6)</w:t>
            </w:r>
          </w:p>
        </w:tc>
      </w:tr>
      <w:tr>
        <w:trPr/>
        <w:tc>
          <w:tcPr>
            <w:tcW w:w="323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Decreases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(5,134</w:t>
            </w:r>
          </w:p>
        </w:tc>
        <w:tc>
          <w:tcPr>
            <w:tcW w:w="29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position w:val="7"/>
                <w:sz w:val="16"/>
                <w:sz w:val="20"/>
              </w:rPr>
              <w:t>(2)</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(27,086</w:t>
            </w:r>
          </w:p>
        </w:tc>
        <w:tc>
          <w:tcPr>
            <w:tcW w:w="29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position w:val="7"/>
                <w:sz w:val="16"/>
                <w:sz w:val="20"/>
              </w:rPr>
              <w:t>(5)</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(1,825</w:t>
            </w:r>
          </w:p>
        </w:tc>
        <w:tc>
          <w:tcPr>
            <w:tcW w:w="2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position w:val="7"/>
                <w:sz w:val="16"/>
                <w:sz w:val="20"/>
              </w:rPr>
              <w:t>(7)</w:t>
            </w:r>
          </w:p>
        </w:tc>
      </w:tr>
      <w:tr>
        <w:trPr/>
        <w:tc>
          <w:tcPr>
            <w:tcW w:w="323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Adjustments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(6,030</w:t>
            </w:r>
          </w:p>
        </w:tc>
        <w:tc>
          <w:tcPr>
            <w:tcW w:w="2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position w:val="7"/>
                <w:sz w:val="16"/>
                <w:sz w:val="20"/>
              </w:rPr>
              <w:t>(3)</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2,036</w:t>
            </w:r>
          </w:p>
        </w:tc>
        <w:tc>
          <w:tcPr>
            <w:tcW w:w="290" w:type="dxa"/>
            <w:tcBorders/>
            <w:vAlign w:val="center"/>
          </w:tcPr>
          <w:p>
            <w:pPr>
              <w:pStyle w:val="TableContents"/>
              <w:bidi w:val="0"/>
              <w:spacing w:before="0" w:after="283"/>
              <w:jc w:val="left"/>
              <w:rPr>
                <w:position w:val="8"/>
                <w:sz w:val="19"/>
              </w:rPr>
            </w:pPr>
            <w:r>
              <w:rPr>
                <w:position w:val="8"/>
                <w:sz w:val="19"/>
              </w:rPr>
              <w:t>(3)</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2,227</w:t>
            </w:r>
          </w:p>
        </w:tc>
        <w:tc>
          <w:tcPr>
            <w:tcW w:w="290" w:type="dxa"/>
            <w:tcBorders/>
            <w:vAlign w:val="center"/>
          </w:tcPr>
          <w:p>
            <w:pPr>
              <w:pStyle w:val="TableContents"/>
              <w:bidi w:val="0"/>
              <w:spacing w:before="0" w:after="283"/>
              <w:jc w:val="left"/>
              <w:rPr>
                <w:position w:val="8"/>
                <w:sz w:val="19"/>
              </w:rPr>
            </w:pPr>
            <w:r>
              <w:rPr>
                <w:position w:val="8"/>
                <w:sz w:val="19"/>
              </w:rPr>
              <w:t>(3)</w:t>
            </w:r>
          </w:p>
        </w:tc>
      </w:tr>
      <w:tr>
        <w:trPr/>
        <w:tc>
          <w:tcPr>
            <w:tcW w:w="323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Balance at the end of the period</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21,261</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24,337</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47,142</w:t>
            </w:r>
          </w:p>
        </w:tc>
        <w:tc>
          <w:tcPr>
            <w:tcW w:w="29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rPr>
      </w:pPr>
      <w:r>
        <w:rPr>
          <w:rFonts w:ascii="Times New Roman" w:hAnsi="Times New Roman"/>
        </w:rPr>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9949" w:type="dxa"/>
            <w:tcBorders/>
            <w:vAlign w:val="center"/>
          </w:tcPr>
          <w:p>
            <w:pPr>
              <w:pStyle w:val="TableContents"/>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Increase in valuation is due primarily to net operating losses in foreign markets, branch foreign tax credits, and Utah R&amp;D credits.</w:t>
            </w:r>
          </w:p>
        </w:tc>
      </w:tr>
    </w:tbl>
    <w:tbl>
      <w:tblPr>
        <w:tblW w:w="6910" w:type="dxa"/>
        <w:jc w:val="left"/>
        <w:tblInd w:w="0" w:type="dxa"/>
        <w:tblLayout w:type="fixed"/>
        <w:tblCellMar>
          <w:top w:w="0" w:type="dxa"/>
          <w:left w:w="0" w:type="dxa"/>
          <w:bottom w:w="0" w:type="dxa"/>
          <w:right w:w="0" w:type="dxa"/>
        </w:tblCellMar>
      </w:tblPr>
      <w:tblGrid>
        <w:gridCol w:w="260"/>
        <w:gridCol w:w="6650"/>
      </w:tblGrid>
      <w:tr>
        <w:trPr/>
        <w:tc>
          <w:tcPr>
            <w:tcW w:w="260" w:type="dxa"/>
            <w:tcBorders/>
            <w:vAlign w:val="center"/>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6650" w:type="dxa"/>
            <w:tcBorders/>
            <w:vAlign w:val="center"/>
          </w:tcPr>
          <w:p>
            <w:pPr>
              <w:pStyle w:val="TableContents"/>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decrease was due to utilization and expiration of foreign net operating losses.</w:t>
            </w:r>
          </w:p>
        </w:tc>
      </w:tr>
    </w:tbl>
    <w:tbl>
      <w:tblPr>
        <w:tblW w:w="8305" w:type="dxa"/>
        <w:jc w:val="left"/>
        <w:tblInd w:w="0" w:type="dxa"/>
        <w:tblLayout w:type="fixed"/>
        <w:tblCellMar>
          <w:top w:w="0" w:type="dxa"/>
          <w:left w:w="0" w:type="dxa"/>
          <w:bottom w:w="0" w:type="dxa"/>
          <w:right w:w="0" w:type="dxa"/>
        </w:tblCellMar>
      </w:tblPr>
      <w:tblGrid>
        <w:gridCol w:w="260"/>
        <w:gridCol w:w="8045"/>
      </w:tblGrid>
      <w:tr>
        <w:trPr/>
        <w:tc>
          <w:tcPr>
            <w:tcW w:w="260" w:type="dxa"/>
            <w:tcBorders/>
            <w:vAlign w:val="center"/>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8045" w:type="dxa"/>
            <w:tcBorders/>
            <w:vAlign w:val="center"/>
          </w:tcPr>
          <w:p>
            <w:pPr>
              <w:pStyle w:val="TableContents"/>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Represents the net currency effects of translating valuation allowances at current rates of exchange.</w:t>
            </w:r>
          </w:p>
        </w:tc>
      </w:tr>
    </w:tbl>
    <w:tbl>
      <w:tblPr>
        <w:tblW w:w="6685" w:type="dxa"/>
        <w:jc w:val="left"/>
        <w:tblInd w:w="0" w:type="dxa"/>
        <w:tblLayout w:type="fixed"/>
        <w:tblCellMar>
          <w:top w:w="0" w:type="dxa"/>
          <w:left w:w="0" w:type="dxa"/>
          <w:bottom w:w="0" w:type="dxa"/>
          <w:right w:w="0" w:type="dxa"/>
        </w:tblCellMar>
      </w:tblPr>
      <w:tblGrid>
        <w:gridCol w:w="260"/>
        <w:gridCol w:w="6425"/>
      </w:tblGrid>
      <w:tr>
        <w:trPr/>
        <w:tc>
          <w:tcPr>
            <w:tcW w:w="260" w:type="dxa"/>
            <w:tcBorders/>
            <w:vAlign w:val="center"/>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w:t>
            </w:r>
          </w:p>
        </w:tc>
        <w:tc>
          <w:tcPr>
            <w:tcW w:w="6425" w:type="dxa"/>
            <w:tcBorders/>
            <w:vAlign w:val="center"/>
          </w:tcPr>
          <w:p>
            <w:pPr>
              <w:pStyle w:val="TableContents"/>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Increase in valuation is due primarily to net operating losses in foreign markets</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w:t>
            </w:r>
          </w:p>
        </w:tc>
        <w:tc>
          <w:tcPr>
            <w:tcW w:w="9957" w:type="dxa"/>
            <w:tcBorders/>
            <w:vAlign w:val="center"/>
          </w:tcPr>
          <w:p>
            <w:pPr>
              <w:pStyle w:val="TableContents"/>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decrease was due primarily to the release of the valuation allowance against $18.3 million of foreign tax credits and $2.3 million of R&amp;D credits.</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w:t>
            </w:r>
          </w:p>
        </w:tc>
        <w:tc>
          <w:tcPr>
            <w:tcW w:w="9958" w:type="dxa"/>
            <w:tcBorders/>
            <w:vAlign w:val="center"/>
          </w:tcPr>
          <w:p>
            <w:pPr>
              <w:pStyle w:val="TableContents"/>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Increase in valuation is due primarily to net operating losses in foreign markets and $6.1 million that was recorded on the foreign tax credit carryforward.</w:t>
            </w:r>
          </w:p>
        </w:tc>
      </w:tr>
    </w:tbl>
    <w:tbl>
      <w:tblPr>
        <w:tblW w:w="5665" w:type="dxa"/>
        <w:jc w:val="left"/>
        <w:tblInd w:w="0" w:type="dxa"/>
        <w:tblLayout w:type="fixed"/>
        <w:tblCellMar>
          <w:top w:w="0" w:type="dxa"/>
          <w:left w:w="0" w:type="dxa"/>
          <w:bottom w:w="0" w:type="dxa"/>
          <w:right w:w="0" w:type="dxa"/>
        </w:tblCellMar>
      </w:tblPr>
      <w:tblGrid>
        <w:gridCol w:w="260"/>
        <w:gridCol w:w="5405"/>
      </w:tblGrid>
      <w:tr>
        <w:trPr/>
        <w:tc>
          <w:tcPr>
            <w:tcW w:w="260" w:type="dxa"/>
            <w:tcBorders/>
            <w:vAlign w:val="center"/>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w:t>
            </w:r>
          </w:p>
        </w:tc>
        <w:tc>
          <w:tcPr>
            <w:tcW w:w="5405" w:type="dxa"/>
            <w:tcBorders/>
            <w:vAlign w:val="center"/>
          </w:tcPr>
          <w:p>
            <w:pPr>
              <w:pStyle w:val="TableContents"/>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decrease was due to expiration of foreign net operating losses.</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components of deferred taxes, net on a jurisdiction basis are as follows (U.S. dollars in thousands):</w:t>
      </w:r>
    </w:p>
    <w:p>
      <w:pPr>
        <w:pStyle w:val="TextBody"/>
        <w:bidi w:val="0"/>
        <w:spacing w:before="0" w:after="0"/>
        <w:jc w:val="left"/>
        <w:rPr/>
      </w:pPr>
      <w:r>
        <w:rPr/>
      </w:r>
    </w:p>
    <w:tbl>
      <w:tblPr>
        <w:tblW w:w="5437" w:type="dxa"/>
        <w:jc w:val="left"/>
        <w:tblInd w:w="0" w:type="dxa"/>
        <w:tblLayout w:type="fixed"/>
        <w:tblCellMar>
          <w:top w:w="0" w:type="dxa"/>
          <w:left w:w="0" w:type="dxa"/>
          <w:bottom w:w="0" w:type="dxa"/>
          <w:right w:w="0" w:type="dxa"/>
        </w:tblCellMar>
      </w:tblPr>
      <w:tblGrid>
        <w:gridCol w:w="3080"/>
        <w:gridCol w:w="60"/>
        <w:gridCol w:w="158"/>
        <w:gridCol w:w="878"/>
        <w:gridCol w:w="75"/>
        <w:gridCol w:w="75"/>
        <w:gridCol w:w="158"/>
        <w:gridCol w:w="878"/>
        <w:gridCol w:w="75"/>
      </w:tblGrid>
      <w:tr>
        <w:trPr/>
        <w:tc>
          <w:tcPr>
            <w:tcW w:w="30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2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Year Ended December 31,</w:t>
            </w:r>
          </w:p>
        </w:tc>
        <w:tc>
          <w:tcPr>
            <w:tcW w:w="75" w:type="dxa"/>
            <w:tcBorders/>
            <w:vAlign w:val="bottom"/>
          </w:tcPr>
          <w:p>
            <w:pPr>
              <w:pStyle w:val="TableContents"/>
              <w:bidi w:val="0"/>
              <w:spacing w:before="0" w:after="283"/>
              <w:jc w:val="left"/>
              <w:rPr/>
            </w:pPr>
            <w:r>
              <w:rPr/>
              <w:t> </w:t>
            </w:r>
          </w:p>
        </w:tc>
      </w:tr>
      <w:tr>
        <w:trPr/>
        <w:tc>
          <w:tcPr>
            <w:tcW w:w="30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3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75" w:type="dxa"/>
            <w:tcBorders/>
            <w:vAlign w:val="bottom"/>
          </w:tcPr>
          <w:p>
            <w:pPr>
              <w:pStyle w:val="TableContents"/>
              <w:bidi w:val="0"/>
              <w:spacing w:before="0" w:after="283"/>
              <w:jc w:val="left"/>
              <w:rPr/>
            </w:pPr>
            <w:r>
              <w:rPr/>
              <w:t> </w:t>
            </w:r>
          </w:p>
        </w:tc>
      </w:tr>
      <w:tr>
        <w:trPr/>
        <w:tc>
          <w:tcPr>
            <w:tcW w:w="308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noncurrent deferred tax assets</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171,717</w:t>
            </w:r>
          </w:p>
        </w:tc>
        <w:tc>
          <w:tcPr>
            <w:tcW w:w="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174,249</w:t>
            </w:r>
          </w:p>
        </w:tc>
        <w:tc>
          <w:tcPr>
            <w:tcW w:w="75" w:type="dxa"/>
            <w:tcBorders/>
            <w:shd w:fill="CCEEFF" w:val="clear"/>
            <w:vAlign w:val="bottom"/>
          </w:tcPr>
          <w:p>
            <w:pPr>
              <w:pStyle w:val="TableContents"/>
              <w:bidi w:val="0"/>
              <w:spacing w:before="0" w:after="283"/>
              <w:jc w:val="left"/>
              <w:rPr/>
            </w:pPr>
            <w:r>
              <w:rPr/>
              <w:t> </w:t>
            </w:r>
          </w:p>
        </w:tc>
      </w:tr>
      <w:tr>
        <w:trPr/>
        <w:tc>
          <w:tcPr>
            <w:tcW w:w="308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noncurrent deferred tax liabilities</w:t>
            </w:r>
          </w:p>
        </w:tc>
        <w:tc>
          <w:tcPr>
            <w:tcW w:w="60" w:type="dxa"/>
            <w:tcBorders/>
            <w:vAlign w:val="bottom"/>
          </w:tcPr>
          <w:p>
            <w:pPr>
              <w:pStyle w:val="TableContents"/>
              <w:bidi w:val="0"/>
              <w:spacing w:before="0" w:after="283"/>
              <w:jc w:val="lef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87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310</w:t>
            </w:r>
          </w:p>
        </w:tc>
        <w:tc>
          <w:tcPr>
            <w:tcW w:w="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87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345</w:t>
            </w:r>
          </w:p>
        </w:tc>
        <w:tc>
          <w:tcPr>
            <w:tcW w:w="75" w:type="dxa"/>
            <w:tcBorders/>
            <w:vAlign w:val="bottom"/>
          </w:tcPr>
          <w:p>
            <w:pPr>
              <w:pStyle w:val="TableContents"/>
              <w:bidi w:val="0"/>
              <w:spacing w:before="0" w:after="283"/>
              <w:jc w:val="left"/>
              <w:rPr/>
            </w:pPr>
            <w:r>
              <w:rPr/>
              <w:t> </w:t>
            </w:r>
          </w:p>
        </w:tc>
      </w:tr>
      <w:tr>
        <w:trPr/>
        <w:tc>
          <w:tcPr>
            <w:tcW w:w="308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Deferred taxes, net</w:t>
            </w:r>
          </w:p>
        </w:tc>
        <w:tc>
          <w:tcPr>
            <w:tcW w:w="60" w:type="dxa"/>
            <w:tcBorders/>
            <w:shd w:fill="CCEEFF" w:val="clear"/>
            <w:vAlign w:val="bottom"/>
          </w:tcPr>
          <w:p>
            <w:pPr>
              <w:pStyle w:val="TableContents"/>
              <w:bidi w:val="0"/>
              <w:spacing w:before="0" w:after="283"/>
              <w:jc w:val="left"/>
              <w:rPr/>
            </w:pPr>
            <w:r>
              <w:rPr/>
              <w:t> </w:t>
            </w:r>
          </w:p>
        </w:tc>
        <w:tc>
          <w:tcPr>
            <w:tcW w:w="15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171,407</w:t>
            </w:r>
          </w:p>
        </w:tc>
        <w:tc>
          <w:tcPr>
            <w:tcW w:w="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173,904</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is subject to regular audits by federal, state and foreign tax authorities. These audits may result in proposed assessments that may result in additional tax liabilities.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actual tax rate for the years ended December 31, 2025, 2024 and 2023 compared to the statutory U.S. Federal tax rate is as follows:</w:t>
      </w:r>
    </w:p>
    <w:p>
      <w:pPr>
        <w:pStyle w:val="TextBody"/>
        <w:bidi w:val="0"/>
        <w:spacing w:before="0" w:after="0"/>
        <w:jc w:val="left"/>
        <w:rPr/>
      </w:pPr>
      <w:r>
        <w:rPr/>
      </w:r>
    </w:p>
    <w:tbl>
      <w:tblPr>
        <w:tblW w:w="7422" w:type="dxa"/>
        <w:jc w:val="left"/>
        <w:tblInd w:w="0" w:type="dxa"/>
        <w:tblLayout w:type="fixed"/>
        <w:tblCellMar>
          <w:top w:w="0" w:type="dxa"/>
          <w:left w:w="0" w:type="dxa"/>
          <w:bottom w:w="0" w:type="dxa"/>
          <w:right w:w="0" w:type="dxa"/>
        </w:tblCellMar>
      </w:tblPr>
      <w:tblGrid>
        <w:gridCol w:w="4835"/>
        <w:gridCol w:w="60"/>
        <w:gridCol w:w="87"/>
        <w:gridCol w:w="748"/>
        <w:gridCol w:w="421"/>
        <w:gridCol w:w="87"/>
        <w:gridCol w:w="87"/>
        <w:gridCol w:w="792"/>
        <w:gridCol w:w="305"/>
      </w:tblGrid>
      <w:tr>
        <w:trPr/>
        <w:tc>
          <w:tcPr>
            <w:tcW w:w="48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2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Year Ended December 31,</w:t>
            </w:r>
          </w:p>
        </w:tc>
        <w:tc>
          <w:tcPr>
            <w:tcW w:w="305" w:type="dxa"/>
            <w:tcBorders/>
            <w:vAlign w:val="bottom"/>
          </w:tcPr>
          <w:p>
            <w:pPr>
              <w:pStyle w:val="TableContents"/>
              <w:bidi w:val="0"/>
              <w:spacing w:before="0" w:after="283"/>
              <w:jc w:val="left"/>
              <w:rPr/>
            </w:pPr>
            <w:r>
              <w:rPr/>
              <w:t> </w:t>
            </w:r>
          </w:p>
        </w:tc>
      </w:tr>
      <w:tr>
        <w:trPr/>
        <w:tc>
          <w:tcPr>
            <w:tcW w:w="48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42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87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305" w:type="dxa"/>
            <w:tcBorders/>
            <w:vAlign w:val="bottom"/>
          </w:tcPr>
          <w:p>
            <w:pPr>
              <w:pStyle w:val="TableContents"/>
              <w:bidi w:val="0"/>
              <w:spacing w:before="0" w:after="283"/>
              <w:jc w:val="left"/>
              <w:rPr/>
            </w:pPr>
            <w:r>
              <w:rPr/>
              <w:t> </w:t>
            </w:r>
          </w:p>
        </w:tc>
      </w:tr>
      <w:tr>
        <w:trPr/>
        <w:tc>
          <w:tcPr>
            <w:tcW w:w="483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Income taxes at statutory rate</w:t>
            </w:r>
          </w:p>
        </w:tc>
        <w:tc>
          <w:tcPr>
            <w:tcW w:w="60" w:type="dxa"/>
            <w:tcBorders/>
            <w:shd w:fill="CCEEFF" w:val="clear"/>
            <w:vAlign w:val="bottom"/>
          </w:tcPr>
          <w:p>
            <w:pPr>
              <w:pStyle w:val="TableContents"/>
              <w:bidi w:val="0"/>
              <w:spacing w:before="0" w:after="283"/>
              <w:jc w:val="right"/>
              <w:rPr/>
            </w:pPr>
            <w:r>
              <w:rPr/>
              <w:t> </w:t>
            </w:r>
          </w:p>
        </w:tc>
        <w:tc>
          <w:tcPr>
            <w:tcW w:w="87"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21.00</w:t>
            </w:r>
          </w:p>
        </w:tc>
        <w:tc>
          <w:tcPr>
            <w:tcW w:w="42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 w:type="dxa"/>
            <w:tcBorders/>
            <w:shd w:fill="CCEEFF" w:val="clear"/>
            <w:vAlign w:val="bottom"/>
          </w:tcPr>
          <w:p>
            <w:pPr>
              <w:pStyle w:val="TableContents"/>
              <w:bidi w:val="0"/>
              <w:spacing w:before="0" w:after="283"/>
              <w:jc w:val="right"/>
              <w:rPr/>
            </w:pPr>
            <w:r>
              <w:rPr/>
              <w:t> </w:t>
            </w:r>
          </w:p>
        </w:tc>
        <w:tc>
          <w:tcPr>
            <w:tcW w:w="87"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21.00</w:t>
            </w:r>
          </w:p>
        </w:tc>
        <w:tc>
          <w:tcPr>
            <w:tcW w:w="3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83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Excess tax benefit from equity award</w:t>
            </w:r>
          </w:p>
        </w:tc>
        <w:tc>
          <w:tcPr>
            <w:tcW w:w="60" w:type="dxa"/>
            <w:tcBorders/>
            <w:vAlign w:val="bottom"/>
          </w:tcPr>
          <w:p>
            <w:pPr>
              <w:pStyle w:val="TableContents"/>
              <w:bidi w:val="0"/>
              <w:spacing w:before="0" w:after="283"/>
              <w:jc w:val="right"/>
              <w:rPr/>
            </w:pPr>
            <w:r>
              <w:rPr/>
              <w:t> </w:t>
            </w:r>
          </w:p>
        </w:tc>
        <w:tc>
          <w:tcPr>
            <w:tcW w:w="87"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(0.73</w:t>
            </w:r>
          </w:p>
        </w:tc>
        <w:tc>
          <w:tcPr>
            <w:tcW w:w="42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 w:type="dxa"/>
            <w:tcBorders/>
            <w:vAlign w:val="bottom"/>
          </w:tcPr>
          <w:p>
            <w:pPr>
              <w:pStyle w:val="TableContents"/>
              <w:bidi w:val="0"/>
              <w:spacing w:before="0" w:after="283"/>
              <w:jc w:val="right"/>
              <w:rPr/>
            </w:pPr>
            <w:r>
              <w:rPr/>
              <w:t> </w:t>
            </w:r>
          </w:p>
        </w:tc>
        <w:tc>
          <w:tcPr>
            <w:tcW w:w="87"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5.04</w:t>
            </w:r>
          </w:p>
        </w:tc>
        <w:tc>
          <w:tcPr>
            <w:tcW w:w="3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835" w:type="dxa"/>
            <w:tcBorders/>
            <w:shd w:fill="CCEEFF" w:val="clear"/>
            <w:vAlign w:val="bottom"/>
          </w:tcPr>
          <w:p>
            <w:pPr>
              <w:pStyle w:val="TableContents"/>
              <w:bidi w:val="0"/>
              <w:spacing w:before="0" w:after="283"/>
              <w:jc w:val="left"/>
              <w:rPr/>
            </w:pPr>
            <w:r>
              <w:rPr/>
              <w:t>Deferred compensation</w:t>
            </w:r>
          </w:p>
        </w:tc>
        <w:tc>
          <w:tcPr>
            <w:tcW w:w="60" w:type="dxa"/>
            <w:tcBorders/>
            <w:shd w:fill="CCEEFF" w:val="clear"/>
            <w:vAlign w:val="bottom"/>
          </w:tcPr>
          <w:p>
            <w:pPr>
              <w:pStyle w:val="TableContents"/>
              <w:bidi w:val="0"/>
              <w:spacing w:before="0" w:after="283"/>
              <w:jc w:val="right"/>
              <w:rPr/>
            </w:pPr>
            <w:r>
              <w:rPr/>
              <w:t> </w:t>
            </w:r>
          </w:p>
        </w:tc>
        <w:tc>
          <w:tcPr>
            <w:tcW w:w="87"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right"/>
              <w:rPr/>
            </w:pPr>
            <w:r>
              <w:rPr/>
              <w:t>1.35</w:t>
            </w:r>
          </w:p>
        </w:tc>
        <w:tc>
          <w:tcPr>
            <w:tcW w:w="421" w:type="dxa"/>
            <w:tcBorders/>
            <w:shd w:fill="CCEEFF" w:val="clear"/>
            <w:vAlign w:val="bottom"/>
          </w:tcPr>
          <w:p>
            <w:pPr>
              <w:pStyle w:val="TableContents"/>
              <w:bidi w:val="0"/>
              <w:spacing w:before="0" w:after="283"/>
              <w:jc w:val="left"/>
              <w:rPr/>
            </w:pPr>
            <w:r>
              <w:rPr/>
              <w:t>%</w:t>
            </w:r>
          </w:p>
        </w:tc>
        <w:tc>
          <w:tcPr>
            <w:tcW w:w="87" w:type="dxa"/>
            <w:tcBorders/>
            <w:shd w:fill="CCEEFF" w:val="clear"/>
            <w:vAlign w:val="bottom"/>
          </w:tcPr>
          <w:p>
            <w:pPr>
              <w:pStyle w:val="TableContents"/>
              <w:bidi w:val="0"/>
              <w:spacing w:before="0" w:after="283"/>
              <w:jc w:val="right"/>
              <w:rPr/>
            </w:pPr>
            <w:r>
              <w:rPr/>
              <w:t> </w:t>
            </w:r>
          </w:p>
        </w:tc>
        <w:tc>
          <w:tcPr>
            <w:tcW w:w="87"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(4.28</w:t>
            </w:r>
          </w:p>
        </w:tc>
        <w:tc>
          <w:tcPr>
            <w:tcW w:w="305" w:type="dxa"/>
            <w:tcBorders/>
            <w:shd w:fill="CCEEFF" w:val="clear"/>
            <w:vAlign w:val="bottom"/>
          </w:tcPr>
          <w:p>
            <w:pPr>
              <w:pStyle w:val="TableContents"/>
              <w:bidi w:val="0"/>
              <w:spacing w:before="0" w:after="283"/>
              <w:jc w:val="left"/>
              <w:rPr/>
            </w:pPr>
            <w:r>
              <w:rPr/>
              <w:t>)%</w:t>
            </w:r>
          </w:p>
        </w:tc>
      </w:tr>
      <w:tr>
        <w:trPr/>
        <w:tc>
          <w:tcPr>
            <w:tcW w:w="4835" w:type="dxa"/>
            <w:tcBorders/>
            <w:vAlign w:val="bottom"/>
          </w:tcPr>
          <w:p>
            <w:pPr>
              <w:pStyle w:val="TableContents"/>
              <w:bidi w:val="0"/>
              <w:spacing w:before="0" w:after="283"/>
              <w:jc w:val="left"/>
              <w:rPr/>
            </w:pPr>
            <w:r>
              <w:rPr/>
              <w:t>Executive salary limitation</w:t>
            </w:r>
          </w:p>
        </w:tc>
        <w:tc>
          <w:tcPr>
            <w:tcW w:w="60" w:type="dxa"/>
            <w:tcBorders/>
            <w:vAlign w:val="bottom"/>
          </w:tcPr>
          <w:p>
            <w:pPr>
              <w:pStyle w:val="TableContents"/>
              <w:bidi w:val="0"/>
              <w:spacing w:before="0" w:after="283"/>
              <w:jc w:val="right"/>
              <w:rPr/>
            </w:pPr>
            <w:r>
              <w:rPr/>
              <w:t> </w:t>
            </w:r>
          </w:p>
        </w:tc>
        <w:tc>
          <w:tcPr>
            <w:tcW w:w="87"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(1.15</w:t>
            </w:r>
          </w:p>
        </w:tc>
        <w:tc>
          <w:tcPr>
            <w:tcW w:w="421" w:type="dxa"/>
            <w:tcBorders/>
            <w:vAlign w:val="bottom"/>
          </w:tcPr>
          <w:p>
            <w:pPr>
              <w:pStyle w:val="TableContents"/>
              <w:bidi w:val="0"/>
              <w:spacing w:before="0" w:after="283"/>
              <w:jc w:val="left"/>
              <w:rPr/>
            </w:pPr>
            <w:r>
              <w:rPr/>
              <w:t>)%</w:t>
            </w:r>
          </w:p>
        </w:tc>
        <w:tc>
          <w:tcPr>
            <w:tcW w:w="87" w:type="dxa"/>
            <w:tcBorders/>
            <w:vAlign w:val="bottom"/>
          </w:tcPr>
          <w:p>
            <w:pPr>
              <w:pStyle w:val="TableContents"/>
              <w:bidi w:val="0"/>
              <w:spacing w:before="0" w:after="283"/>
              <w:jc w:val="right"/>
              <w:rPr/>
            </w:pPr>
            <w:r>
              <w:rPr/>
              <w:t> </w:t>
            </w:r>
          </w:p>
        </w:tc>
        <w:tc>
          <w:tcPr>
            <w:tcW w:w="87"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1.59</w:t>
            </w:r>
          </w:p>
        </w:tc>
        <w:tc>
          <w:tcPr>
            <w:tcW w:w="305" w:type="dxa"/>
            <w:tcBorders/>
            <w:vAlign w:val="bottom"/>
          </w:tcPr>
          <w:p>
            <w:pPr>
              <w:pStyle w:val="TableContents"/>
              <w:bidi w:val="0"/>
              <w:spacing w:before="0" w:after="283"/>
              <w:jc w:val="left"/>
              <w:rPr/>
            </w:pPr>
            <w:r>
              <w:rPr/>
              <w:t>%</w:t>
            </w:r>
          </w:p>
        </w:tc>
      </w:tr>
      <w:tr>
        <w:trPr/>
        <w:tc>
          <w:tcPr>
            <w:tcW w:w="4835" w:type="dxa"/>
            <w:tcBorders/>
            <w:shd w:fill="CCEEFF" w:val="clear"/>
            <w:vAlign w:val="bottom"/>
          </w:tcPr>
          <w:p>
            <w:pPr>
              <w:pStyle w:val="TableContents"/>
              <w:bidi w:val="0"/>
              <w:spacing w:before="0" w:after="283"/>
              <w:jc w:val="left"/>
              <w:rPr/>
            </w:pPr>
            <w:r>
              <w:rPr/>
              <w:t>State taxes</w:t>
            </w:r>
          </w:p>
        </w:tc>
        <w:tc>
          <w:tcPr>
            <w:tcW w:w="60" w:type="dxa"/>
            <w:tcBorders/>
            <w:shd w:fill="CCEEFF" w:val="clear"/>
            <w:vAlign w:val="bottom"/>
          </w:tcPr>
          <w:p>
            <w:pPr>
              <w:pStyle w:val="TableContents"/>
              <w:bidi w:val="0"/>
              <w:spacing w:before="0" w:after="283"/>
              <w:jc w:val="right"/>
              <w:rPr/>
            </w:pPr>
            <w:r>
              <w:rPr/>
              <w:t> </w:t>
            </w:r>
          </w:p>
        </w:tc>
        <w:tc>
          <w:tcPr>
            <w:tcW w:w="87"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right"/>
              <w:rPr/>
            </w:pPr>
            <w:r>
              <w:rPr/>
              <w:t>0.38</w:t>
            </w:r>
          </w:p>
        </w:tc>
        <w:tc>
          <w:tcPr>
            <w:tcW w:w="421" w:type="dxa"/>
            <w:tcBorders/>
            <w:shd w:fill="CCEEFF" w:val="clear"/>
            <w:vAlign w:val="bottom"/>
          </w:tcPr>
          <w:p>
            <w:pPr>
              <w:pStyle w:val="TableContents"/>
              <w:bidi w:val="0"/>
              <w:spacing w:before="0" w:after="283"/>
              <w:jc w:val="left"/>
              <w:rPr/>
            </w:pPr>
            <w:r>
              <w:rPr/>
              <w:t>%</w:t>
            </w:r>
          </w:p>
        </w:tc>
        <w:tc>
          <w:tcPr>
            <w:tcW w:w="87" w:type="dxa"/>
            <w:tcBorders/>
            <w:shd w:fill="CCEEFF" w:val="clear"/>
            <w:vAlign w:val="bottom"/>
          </w:tcPr>
          <w:p>
            <w:pPr>
              <w:pStyle w:val="TableContents"/>
              <w:bidi w:val="0"/>
              <w:spacing w:before="0" w:after="283"/>
              <w:jc w:val="right"/>
              <w:rPr/>
            </w:pPr>
            <w:r>
              <w:rPr/>
              <w:t> </w:t>
            </w:r>
          </w:p>
        </w:tc>
        <w:tc>
          <w:tcPr>
            <w:tcW w:w="87"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7.34</w:t>
            </w:r>
          </w:p>
        </w:tc>
        <w:tc>
          <w:tcPr>
            <w:tcW w:w="305" w:type="dxa"/>
            <w:tcBorders/>
            <w:shd w:fill="CCEEFF" w:val="clear"/>
            <w:vAlign w:val="bottom"/>
          </w:tcPr>
          <w:p>
            <w:pPr>
              <w:pStyle w:val="TableContents"/>
              <w:bidi w:val="0"/>
              <w:spacing w:before="0" w:after="283"/>
              <w:jc w:val="left"/>
              <w:rPr/>
            </w:pPr>
            <w:r>
              <w:rPr/>
              <w:t>%</w:t>
            </w:r>
          </w:p>
        </w:tc>
      </w:tr>
      <w:tr>
        <w:trPr/>
        <w:tc>
          <w:tcPr>
            <w:tcW w:w="4835" w:type="dxa"/>
            <w:tcBorders/>
            <w:vAlign w:val="bottom"/>
          </w:tcPr>
          <w:p>
            <w:pPr>
              <w:pStyle w:val="TableContents"/>
              <w:bidi w:val="0"/>
              <w:spacing w:before="0" w:after="283"/>
              <w:jc w:val="left"/>
              <w:rPr/>
            </w:pPr>
            <w:r>
              <w:rPr/>
              <w:t>Foreign exchange</w:t>
            </w:r>
          </w:p>
        </w:tc>
        <w:tc>
          <w:tcPr>
            <w:tcW w:w="60" w:type="dxa"/>
            <w:tcBorders/>
            <w:vAlign w:val="bottom"/>
          </w:tcPr>
          <w:p>
            <w:pPr>
              <w:pStyle w:val="TableContents"/>
              <w:bidi w:val="0"/>
              <w:spacing w:before="0" w:after="283"/>
              <w:jc w:val="right"/>
              <w:rPr/>
            </w:pPr>
            <w:r>
              <w:rPr/>
              <w:t> </w:t>
            </w:r>
          </w:p>
        </w:tc>
        <w:tc>
          <w:tcPr>
            <w:tcW w:w="87"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0.20</w:t>
            </w:r>
          </w:p>
        </w:tc>
        <w:tc>
          <w:tcPr>
            <w:tcW w:w="421" w:type="dxa"/>
            <w:tcBorders/>
            <w:vAlign w:val="bottom"/>
          </w:tcPr>
          <w:p>
            <w:pPr>
              <w:pStyle w:val="TableContents"/>
              <w:bidi w:val="0"/>
              <w:spacing w:before="0" w:after="283"/>
              <w:jc w:val="left"/>
              <w:rPr/>
            </w:pPr>
            <w:r>
              <w:rPr/>
              <w:t>%</w:t>
            </w:r>
          </w:p>
        </w:tc>
        <w:tc>
          <w:tcPr>
            <w:tcW w:w="87" w:type="dxa"/>
            <w:tcBorders/>
            <w:vAlign w:val="bottom"/>
          </w:tcPr>
          <w:p>
            <w:pPr>
              <w:pStyle w:val="TableContents"/>
              <w:bidi w:val="0"/>
              <w:spacing w:before="0" w:after="283"/>
              <w:jc w:val="right"/>
              <w:rPr/>
            </w:pPr>
            <w:r>
              <w:rPr/>
              <w:t> </w:t>
            </w:r>
          </w:p>
        </w:tc>
        <w:tc>
          <w:tcPr>
            <w:tcW w:w="87"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(1.91</w:t>
            </w:r>
          </w:p>
        </w:tc>
        <w:tc>
          <w:tcPr>
            <w:tcW w:w="305" w:type="dxa"/>
            <w:tcBorders/>
            <w:vAlign w:val="bottom"/>
          </w:tcPr>
          <w:p>
            <w:pPr>
              <w:pStyle w:val="TableContents"/>
              <w:bidi w:val="0"/>
              <w:spacing w:before="0" w:after="283"/>
              <w:jc w:val="left"/>
              <w:rPr/>
            </w:pPr>
            <w:r>
              <w:rPr/>
              <w:t>)%</w:t>
            </w:r>
          </w:p>
        </w:tc>
      </w:tr>
      <w:tr>
        <w:trPr/>
        <w:tc>
          <w:tcPr>
            <w:tcW w:w="483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Non-U.S. income taxed at different rates</w:t>
            </w:r>
          </w:p>
        </w:tc>
        <w:tc>
          <w:tcPr>
            <w:tcW w:w="60" w:type="dxa"/>
            <w:tcBorders/>
            <w:shd w:fill="CCEEFF" w:val="clear"/>
            <w:vAlign w:val="bottom"/>
          </w:tcPr>
          <w:p>
            <w:pPr>
              <w:pStyle w:val="TableContents"/>
              <w:bidi w:val="0"/>
              <w:spacing w:before="0" w:after="283"/>
              <w:jc w:val="right"/>
              <w:rPr/>
            </w:pPr>
            <w:r>
              <w:rPr/>
              <w:t> </w:t>
            </w:r>
          </w:p>
        </w:tc>
        <w:tc>
          <w:tcPr>
            <w:tcW w:w="87"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(2.55</w:t>
            </w:r>
          </w:p>
        </w:tc>
        <w:tc>
          <w:tcPr>
            <w:tcW w:w="42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 w:type="dxa"/>
            <w:tcBorders/>
            <w:shd w:fill="CCEEFF" w:val="clear"/>
            <w:vAlign w:val="bottom"/>
          </w:tcPr>
          <w:p>
            <w:pPr>
              <w:pStyle w:val="TableContents"/>
              <w:bidi w:val="0"/>
              <w:spacing w:before="0" w:after="283"/>
              <w:jc w:val="right"/>
              <w:rPr/>
            </w:pPr>
            <w:r>
              <w:rPr/>
              <w:t> </w:t>
            </w:r>
          </w:p>
        </w:tc>
        <w:tc>
          <w:tcPr>
            <w:tcW w:w="87"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12.70</w:t>
            </w:r>
          </w:p>
        </w:tc>
        <w:tc>
          <w:tcPr>
            <w:tcW w:w="3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83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Foreign withholding taxes</w:t>
            </w:r>
          </w:p>
        </w:tc>
        <w:tc>
          <w:tcPr>
            <w:tcW w:w="60" w:type="dxa"/>
            <w:tcBorders/>
            <w:vAlign w:val="bottom"/>
          </w:tcPr>
          <w:p>
            <w:pPr>
              <w:pStyle w:val="TableContents"/>
              <w:bidi w:val="0"/>
              <w:spacing w:before="0" w:after="283"/>
              <w:jc w:val="right"/>
              <w:rPr/>
            </w:pPr>
            <w:r>
              <w:rPr/>
              <w:t> </w:t>
            </w:r>
          </w:p>
        </w:tc>
        <w:tc>
          <w:tcPr>
            <w:tcW w:w="87"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(0.89</w:t>
            </w:r>
          </w:p>
        </w:tc>
        <w:tc>
          <w:tcPr>
            <w:tcW w:w="42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 w:type="dxa"/>
            <w:tcBorders/>
            <w:vAlign w:val="bottom"/>
          </w:tcPr>
          <w:p>
            <w:pPr>
              <w:pStyle w:val="TableContents"/>
              <w:bidi w:val="0"/>
              <w:spacing w:before="0" w:after="283"/>
              <w:jc w:val="right"/>
              <w:rPr/>
            </w:pPr>
            <w:r>
              <w:rPr/>
              <w:t> </w:t>
            </w:r>
          </w:p>
        </w:tc>
        <w:tc>
          <w:tcPr>
            <w:tcW w:w="87"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13.31</w:t>
            </w:r>
          </w:p>
        </w:tc>
        <w:tc>
          <w:tcPr>
            <w:tcW w:w="3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83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Change in reserve for uncertain tax positions</w:t>
            </w:r>
          </w:p>
        </w:tc>
        <w:tc>
          <w:tcPr>
            <w:tcW w:w="60" w:type="dxa"/>
            <w:tcBorders/>
            <w:shd w:fill="CCEEFF" w:val="clear"/>
            <w:vAlign w:val="bottom"/>
          </w:tcPr>
          <w:p>
            <w:pPr>
              <w:pStyle w:val="TableContents"/>
              <w:bidi w:val="0"/>
              <w:spacing w:before="0" w:after="283"/>
              <w:jc w:val="right"/>
              <w:rPr/>
            </w:pPr>
            <w:r>
              <w:rPr/>
              <w:t> </w:t>
            </w:r>
          </w:p>
        </w:tc>
        <w:tc>
          <w:tcPr>
            <w:tcW w:w="87"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(3.77</w:t>
            </w:r>
          </w:p>
        </w:tc>
        <w:tc>
          <w:tcPr>
            <w:tcW w:w="42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 w:type="dxa"/>
            <w:tcBorders/>
            <w:shd w:fill="CCEEFF" w:val="clear"/>
            <w:vAlign w:val="bottom"/>
          </w:tcPr>
          <w:p>
            <w:pPr>
              <w:pStyle w:val="TableContents"/>
              <w:bidi w:val="0"/>
              <w:spacing w:before="0" w:after="283"/>
              <w:jc w:val="right"/>
              <w:rPr/>
            </w:pPr>
            <w:r>
              <w:rPr/>
              <w:t> </w:t>
            </w:r>
          </w:p>
        </w:tc>
        <w:tc>
          <w:tcPr>
            <w:tcW w:w="87"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1.74</w:t>
            </w:r>
          </w:p>
        </w:tc>
        <w:tc>
          <w:tcPr>
            <w:tcW w:w="3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83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Valuation allowance recognized foreign tax credit &amp; others</w:t>
            </w:r>
          </w:p>
        </w:tc>
        <w:tc>
          <w:tcPr>
            <w:tcW w:w="60" w:type="dxa"/>
            <w:tcBorders/>
            <w:vAlign w:val="bottom"/>
          </w:tcPr>
          <w:p>
            <w:pPr>
              <w:pStyle w:val="TableContents"/>
              <w:bidi w:val="0"/>
              <w:spacing w:before="0" w:after="283"/>
              <w:jc w:val="right"/>
              <w:rPr/>
            </w:pPr>
            <w:r>
              <w:rPr/>
              <w:t> </w:t>
            </w:r>
          </w:p>
        </w:tc>
        <w:tc>
          <w:tcPr>
            <w:tcW w:w="87"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11.89</w:t>
            </w:r>
          </w:p>
        </w:tc>
        <w:tc>
          <w:tcPr>
            <w:tcW w:w="42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 w:type="dxa"/>
            <w:tcBorders/>
            <w:vAlign w:val="bottom"/>
          </w:tcPr>
          <w:p>
            <w:pPr>
              <w:pStyle w:val="TableContents"/>
              <w:bidi w:val="0"/>
              <w:spacing w:before="0" w:after="283"/>
              <w:jc w:val="right"/>
              <w:rPr/>
            </w:pPr>
            <w:r>
              <w:rPr/>
              <w:t> </w:t>
            </w:r>
          </w:p>
        </w:tc>
        <w:tc>
          <w:tcPr>
            <w:tcW w:w="87"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24.66</w:t>
            </w:r>
          </w:p>
        </w:tc>
        <w:tc>
          <w:tcPr>
            <w:tcW w:w="3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83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Foreign-Derived Intangible Income (FDII)</w:t>
            </w:r>
          </w:p>
        </w:tc>
        <w:tc>
          <w:tcPr>
            <w:tcW w:w="60" w:type="dxa"/>
            <w:tcBorders/>
            <w:shd w:fill="CCEEFF" w:val="clear"/>
            <w:vAlign w:val="bottom"/>
          </w:tcPr>
          <w:p>
            <w:pPr>
              <w:pStyle w:val="TableContents"/>
              <w:bidi w:val="0"/>
              <w:spacing w:before="0" w:after="283"/>
              <w:jc w:val="right"/>
              <w:rPr/>
            </w:pPr>
            <w:r>
              <w:rPr/>
              <w:t> </w:t>
            </w:r>
          </w:p>
        </w:tc>
        <w:tc>
          <w:tcPr>
            <w:tcW w:w="87"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0"/>
              <w:jc w:val="right"/>
              <w:rPr/>
            </w:pPr>
            <w:r>
              <w:rPr/>
              <w:t>—</w:t>
            </w:r>
          </w:p>
        </w:tc>
        <w:tc>
          <w:tcPr>
            <w:tcW w:w="42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right"/>
              <w:rPr/>
            </w:pPr>
            <w:r>
              <w:rPr/>
              <w:t> </w:t>
            </w:r>
          </w:p>
        </w:tc>
        <w:tc>
          <w:tcPr>
            <w:tcW w:w="87"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(14.11</w:t>
            </w:r>
          </w:p>
        </w:tc>
        <w:tc>
          <w:tcPr>
            <w:tcW w:w="3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835" w:type="dxa"/>
            <w:tcBorders/>
            <w:vAlign w:val="bottom"/>
          </w:tcPr>
          <w:p>
            <w:pPr>
              <w:pStyle w:val="TableContents"/>
              <w:bidi w:val="0"/>
              <w:spacing w:before="0" w:after="283"/>
              <w:jc w:val="left"/>
              <w:rPr/>
            </w:pPr>
            <w:r>
              <w:rPr/>
              <w:t>Acquisition adjustments</w:t>
            </w:r>
          </w:p>
        </w:tc>
        <w:tc>
          <w:tcPr>
            <w:tcW w:w="60" w:type="dxa"/>
            <w:tcBorders/>
            <w:vAlign w:val="bottom"/>
          </w:tcPr>
          <w:p>
            <w:pPr>
              <w:pStyle w:val="TableContents"/>
              <w:bidi w:val="0"/>
              <w:spacing w:before="0" w:after="283"/>
              <w:jc w:val="right"/>
              <w:rPr/>
            </w:pPr>
            <w:r>
              <w:rPr/>
              <w:t> </w:t>
            </w:r>
          </w:p>
        </w:tc>
        <w:tc>
          <w:tcPr>
            <w:tcW w:w="87"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(1.55</w:t>
            </w:r>
          </w:p>
        </w:tc>
        <w:tc>
          <w:tcPr>
            <w:tcW w:w="421" w:type="dxa"/>
            <w:tcBorders/>
            <w:vAlign w:val="bottom"/>
          </w:tcPr>
          <w:p>
            <w:pPr>
              <w:pStyle w:val="TableContents"/>
              <w:bidi w:val="0"/>
              <w:spacing w:before="0" w:after="283"/>
              <w:jc w:val="left"/>
              <w:rPr/>
            </w:pPr>
            <w:r>
              <w:rPr/>
              <w:t>)%</w:t>
            </w:r>
          </w:p>
        </w:tc>
        <w:tc>
          <w:tcPr>
            <w:tcW w:w="87" w:type="dxa"/>
            <w:tcBorders/>
            <w:vAlign w:val="bottom"/>
          </w:tcPr>
          <w:p>
            <w:pPr>
              <w:pStyle w:val="TableContents"/>
              <w:bidi w:val="0"/>
              <w:spacing w:before="0" w:after="283"/>
              <w:jc w:val="right"/>
              <w:rPr/>
            </w:pPr>
            <w:r>
              <w:rPr/>
              <w:t> </w:t>
            </w:r>
          </w:p>
        </w:tc>
        <w:tc>
          <w:tcPr>
            <w:tcW w:w="87"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(0.05</w:t>
            </w:r>
          </w:p>
        </w:tc>
        <w:tc>
          <w:tcPr>
            <w:tcW w:w="305" w:type="dxa"/>
            <w:tcBorders/>
            <w:vAlign w:val="bottom"/>
          </w:tcPr>
          <w:p>
            <w:pPr>
              <w:pStyle w:val="TableContents"/>
              <w:bidi w:val="0"/>
              <w:spacing w:before="0" w:after="283"/>
              <w:jc w:val="left"/>
              <w:rPr/>
            </w:pPr>
            <w:r>
              <w:rPr/>
              <w:t>)%</w:t>
            </w:r>
          </w:p>
        </w:tc>
      </w:tr>
      <w:tr>
        <w:trPr/>
        <w:tc>
          <w:tcPr>
            <w:tcW w:w="4835" w:type="dxa"/>
            <w:tcBorders/>
            <w:shd w:fill="CCEEFF" w:val="clear"/>
            <w:vAlign w:val="bottom"/>
          </w:tcPr>
          <w:p>
            <w:pPr>
              <w:pStyle w:val="TableContents"/>
              <w:bidi w:val="0"/>
              <w:spacing w:before="0" w:after="283"/>
              <w:jc w:val="left"/>
              <w:rPr/>
            </w:pPr>
            <w:r>
              <w:rPr/>
              <w:t>Goodwill impairment</w:t>
            </w:r>
          </w:p>
        </w:tc>
        <w:tc>
          <w:tcPr>
            <w:tcW w:w="60" w:type="dxa"/>
            <w:tcBorders/>
            <w:shd w:fill="CCEEFF" w:val="clear"/>
            <w:vAlign w:val="bottom"/>
          </w:tcPr>
          <w:p>
            <w:pPr>
              <w:pStyle w:val="TableContents"/>
              <w:bidi w:val="0"/>
              <w:spacing w:before="0" w:after="283"/>
              <w:jc w:val="right"/>
              <w:rPr/>
            </w:pPr>
            <w:r>
              <w:rPr/>
              <w:t> </w:t>
            </w:r>
          </w:p>
        </w:tc>
        <w:tc>
          <w:tcPr>
            <w:tcW w:w="87"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right"/>
              <w:rPr/>
            </w:pPr>
            <w:r>
              <w:rPr/>
              <w:t>(7.86</w:t>
            </w:r>
          </w:p>
        </w:tc>
        <w:tc>
          <w:tcPr>
            <w:tcW w:w="421" w:type="dxa"/>
            <w:tcBorders/>
            <w:shd w:fill="CCEEFF" w:val="clear"/>
            <w:vAlign w:val="bottom"/>
          </w:tcPr>
          <w:p>
            <w:pPr>
              <w:pStyle w:val="TableContents"/>
              <w:bidi w:val="0"/>
              <w:spacing w:before="0" w:after="283"/>
              <w:jc w:val="left"/>
              <w:rPr/>
            </w:pPr>
            <w:r>
              <w:rPr/>
              <w:t>)%</w:t>
            </w:r>
          </w:p>
        </w:tc>
        <w:tc>
          <w:tcPr>
            <w:tcW w:w="87" w:type="dxa"/>
            <w:tcBorders/>
            <w:shd w:fill="CCEEFF" w:val="clear"/>
            <w:vAlign w:val="bottom"/>
          </w:tcPr>
          <w:p>
            <w:pPr>
              <w:pStyle w:val="TableContents"/>
              <w:bidi w:val="0"/>
              <w:spacing w:before="0" w:after="283"/>
              <w:jc w:val="right"/>
              <w:rPr/>
            </w:pPr>
            <w:r>
              <w:rPr/>
              <w:t> </w:t>
            </w:r>
          </w:p>
        </w:tc>
        <w:tc>
          <w:tcPr>
            <w:tcW w:w="87"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w:t>
            </w:r>
          </w:p>
        </w:tc>
        <w:tc>
          <w:tcPr>
            <w:tcW w:w="305" w:type="dxa"/>
            <w:tcBorders/>
            <w:shd w:fill="CCEEFF" w:val="clear"/>
            <w:vAlign w:val="bottom"/>
          </w:tcPr>
          <w:p>
            <w:pPr>
              <w:pStyle w:val="TableContents"/>
              <w:bidi w:val="0"/>
              <w:spacing w:before="0" w:after="283"/>
              <w:jc w:val="left"/>
              <w:rPr/>
            </w:pPr>
            <w:r>
              <w:rPr/>
              <w:t> </w:t>
            </w:r>
          </w:p>
        </w:tc>
      </w:tr>
      <w:tr>
        <w:trPr/>
        <w:tc>
          <w:tcPr>
            <w:tcW w:w="483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Other</w:t>
            </w:r>
          </w:p>
        </w:tc>
        <w:tc>
          <w:tcPr>
            <w:tcW w:w="60" w:type="dxa"/>
            <w:tcBorders/>
            <w:vAlign w:val="bottom"/>
          </w:tcPr>
          <w:p>
            <w:pPr>
              <w:pStyle w:val="TableContents"/>
              <w:bidi w:val="0"/>
              <w:spacing w:before="0" w:after="283"/>
              <w:jc w:val="right"/>
              <w:rPr/>
            </w:pPr>
            <w:r>
              <w:rPr/>
              <w:t> </w:t>
            </w:r>
          </w:p>
        </w:tc>
        <w:tc>
          <w:tcPr>
            <w:tcW w:w="87" w:type="dxa"/>
            <w:tcBorders>
              <w:bottom w:val="single" w:sz="12" w:space="0" w:color="000000"/>
            </w:tcBorders>
            <w:tcMar>
              <w:bottom w:w="28" w:type="dxa"/>
            </w:tcMar>
            <w:vAlign w:val="bottom"/>
          </w:tcPr>
          <w:p>
            <w:pPr>
              <w:pStyle w:val="TableContents"/>
              <w:bidi w:val="0"/>
              <w:spacing w:before="0" w:after="283"/>
              <w:jc w:val="left"/>
              <w:rPr/>
            </w:pPr>
            <w:r>
              <w:rPr/>
              <w:t> </w:t>
            </w:r>
          </w:p>
        </w:tc>
        <w:tc>
          <w:tcPr>
            <w:tcW w:w="74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(0.06</w:t>
            </w:r>
          </w:p>
        </w:tc>
        <w:tc>
          <w:tcPr>
            <w:tcW w:w="42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 w:type="dxa"/>
            <w:tcBorders/>
            <w:vAlign w:val="bottom"/>
          </w:tcPr>
          <w:p>
            <w:pPr>
              <w:pStyle w:val="TableContents"/>
              <w:bidi w:val="0"/>
              <w:spacing w:before="0" w:after="283"/>
              <w:jc w:val="right"/>
              <w:rPr/>
            </w:pPr>
            <w:r>
              <w:rPr/>
              <w:t> </w:t>
            </w:r>
          </w:p>
        </w:tc>
        <w:tc>
          <w:tcPr>
            <w:tcW w:w="87" w:type="dxa"/>
            <w:tcBorders>
              <w:bottom w:val="single" w:sz="12" w:space="0" w:color="000000"/>
            </w:tcBorders>
            <w:tcMar>
              <w:bottom w:w="28" w:type="dxa"/>
            </w:tcMar>
            <w:vAlign w:val="bottom"/>
          </w:tcPr>
          <w:p>
            <w:pPr>
              <w:pStyle w:val="TableContents"/>
              <w:bidi w:val="0"/>
              <w:spacing w:before="0" w:after="283"/>
              <w:jc w:val="left"/>
              <w:rPr/>
            </w:pPr>
            <w:r>
              <w:rPr/>
              <w:t> </w:t>
            </w:r>
          </w:p>
        </w:tc>
        <w:tc>
          <w:tcPr>
            <w:tcW w:w="79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0.63</w:t>
            </w:r>
          </w:p>
        </w:tc>
        <w:tc>
          <w:tcPr>
            <w:tcW w:w="3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8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4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16.26</w:t>
            </w:r>
          </w:p>
        </w:tc>
        <w:tc>
          <w:tcPr>
            <w:tcW w:w="42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 w:type="dxa"/>
            <w:tcBorders/>
            <w:shd w:fill="CCEEFF" w:val="clear"/>
            <w:vAlign w:val="bottom"/>
          </w:tcPr>
          <w:p>
            <w:pPr>
              <w:pStyle w:val="TableContents"/>
              <w:bidi w:val="0"/>
              <w:spacing w:before="0" w:after="283"/>
              <w:jc w:val="right"/>
              <w:rPr/>
            </w:pPr>
            <w:r>
              <w:rPr/>
              <w:t> </w:t>
            </w:r>
          </w:p>
        </w:tc>
        <w:tc>
          <w:tcPr>
            <w:tcW w:w="8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9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67.66</w:t>
            </w:r>
          </w:p>
        </w:tc>
        <w:tc>
          <w:tcPr>
            <w:tcW w:w="3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92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tbl>
      <w:tblPr>
        <w:tblW w:w="7977" w:type="dxa"/>
        <w:jc w:val="left"/>
        <w:tblInd w:w="0" w:type="dxa"/>
        <w:tblLayout w:type="fixed"/>
        <w:tblCellMar>
          <w:top w:w="0" w:type="dxa"/>
          <w:left w:w="0" w:type="dxa"/>
          <w:bottom w:w="0" w:type="dxa"/>
          <w:right w:w="0" w:type="dxa"/>
        </w:tblCellMar>
      </w:tblPr>
      <w:tblGrid>
        <w:gridCol w:w="5435"/>
        <w:gridCol w:w="60"/>
        <w:gridCol w:w="190"/>
        <w:gridCol w:w="990"/>
        <w:gridCol w:w="121"/>
        <w:gridCol w:w="91"/>
        <w:gridCol w:w="91"/>
        <w:gridCol w:w="739"/>
        <w:gridCol w:w="260"/>
      </w:tblGrid>
      <w:tr>
        <w:trPr/>
        <w:tc>
          <w:tcPr>
            <w:tcW w:w="54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2"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260" w:type="dxa"/>
            <w:tcBorders/>
            <w:vAlign w:val="bottom"/>
          </w:tcPr>
          <w:p>
            <w:pPr>
              <w:pStyle w:val="TableContents"/>
              <w:bidi w:val="0"/>
              <w:spacing w:before="0" w:after="283"/>
              <w:jc w:val="left"/>
              <w:rPr/>
            </w:pPr>
            <w:r>
              <w:rPr/>
              <w:t> </w:t>
            </w:r>
          </w:p>
        </w:tc>
      </w:tr>
      <w:tr>
        <w:trPr/>
        <w:tc>
          <w:tcPr>
            <w:tcW w:w="54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260" w:type="dxa"/>
            <w:tcBorders/>
            <w:vAlign w:val="bottom"/>
          </w:tcPr>
          <w:p>
            <w:pPr>
              <w:pStyle w:val="TableContents"/>
              <w:bidi w:val="0"/>
              <w:spacing w:before="0" w:after="283"/>
              <w:jc w:val="left"/>
              <w:rPr/>
            </w:pPr>
            <w:r>
              <w:rPr/>
              <w:t> </w:t>
            </w:r>
          </w:p>
        </w:tc>
      </w:tr>
      <w:tr>
        <w:trPr/>
        <w:tc>
          <w:tcPr>
            <w:tcW w:w="54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Amount</w:t>
            </w:r>
          </w:p>
        </w:tc>
        <w:tc>
          <w:tcPr>
            <w:tcW w:w="1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Percent</w:t>
            </w:r>
          </w:p>
        </w:tc>
        <w:tc>
          <w:tcPr>
            <w:tcW w:w="260" w:type="dxa"/>
            <w:tcBorders/>
            <w:vAlign w:val="bottom"/>
          </w:tcPr>
          <w:p>
            <w:pPr>
              <w:pStyle w:val="TableContents"/>
              <w:bidi w:val="0"/>
              <w:spacing w:before="0" w:after="283"/>
              <w:jc w:val="left"/>
              <w:rPr/>
            </w:pPr>
            <w:r>
              <w:rPr/>
              <w:t> </w:t>
            </w:r>
          </w:p>
        </w:tc>
      </w:tr>
      <w:tr>
        <w:trPr/>
        <w:tc>
          <w:tcPr>
            <w:tcW w:w="5435" w:type="dxa"/>
            <w:tcBorders/>
            <w:shd w:fill="CCEEFF" w:val="clear"/>
            <w:vAlign w:val="bottom"/>
          </w:tcPr>
          <w:p>
            <w:pPr>
              <w:pStyle w:val="TableContents"/>
              <w:bidi w:val="0"/>
              <w:spacing w:before="0" w:after="0"/>
              <w:ind w:left="324" w:right="0" w:hanging="324"/>
              <w:jc w:val="left"/>
              <w:rPr>
                <w:rFonts w:ascii="Times New Roman;Times;serif" w:hAnsi="Times New Roman;Times;serif"/>
                <w:sz w:val="20"/>
              </w:rPr>
            </w:pPr>
            <w:r>
              <w:rPr>
                <w:rFonts w:ascii="Times New Roman;Times;serif" w:hAnsi="Times New Roman;Times;serif"/>
                <w:sz w:val="20"/>
              </w:rPr>
              <w:t>Income taxes at U.S statutory rate</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41,201</w:t>
            </w:r>
          </w:p>
        </w:tc>
        <w:tc>
          <w:tcPr>
            <w:tcW w:w="1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right"/>
              <w:rPr/>
            </w:pPr>
            <w:r>
              <w:rPr/>
              <w:t> </w:t>
            </w:r>
          </w:p>
        </w:tc>
        <w:tc>
          <w:tcPr>
            <w:tcW w:w="91"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21.00</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5435" w:type="dxa"/>
            <w:tcBorders/>
            <w:vAlign w:val="bottom"/>
          </w:tcPr>
          <w:p>
            <w:pPr>
              <w:pStyle w:val="TableContents"/>
              <w:bidi w:val="0"/>
              <w:spacing w:before="0" w:after="0"/>
              <w:ind w:left="324" w:right="0" w:hanging="324"/>
              <w:jc w:val="left"/>
              <w:rPr>
                <w:rFonts w:ascii="Times New Roman;Times;serif" w:hAnsi="Times New Roman;Times;serif"/>
                <w:sz w:val="20"/>
              </w:rPr>
            </w:pPr>
            <w:r>
              <w:rPr>
                <w:rFonts w:ascii="Times New Roman;Times;serif" w:hAnsi="Times New Roman;Times;serif"/>
                <w:sz w:val="20"/>
              </w:rPr>
              <w:t>State and Local Income Taxes, Net of Federal Income Tax Effect</w:t>
            </w:r>
            <w:r>
              <w:rPr>
                <w:rFonts w:ascii="Times New Roman;Times;serif" w:hAnsi="Times New Roman;Times;serif"/>
                <w:position w:val="7"/>
                <w:sz w:val="16"/>
                <w:sz w:val="20"/>
              </w:rPr>
              <w:t>(1)</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3,057</w:t>
            </w:r>
          </w:p>
        </w:tc>
        <w:tc>
          <w:tcPr>
            <w:tcW w:w="1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right"/>
              <w:rPr/>
            </w:pPr>
            <w:r>
              <w:rPr/>
              <w:t> </w:t>
            </w:r>
          </w:p>
        </w:tc>
        <w:tc>
          <w:tcPr>
            <w:tcW w:w="9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1.56</w:t>
            </w:r>
          </w:p>
        </w:tc>
        <w:tc>
          <w:tcPr>
            <w:tcW w:w="2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5435" w:type="dxa"/>
            <w:tcBorders/>
            <w:shd w:fill="CCEEFF" w:val="clear"/>
            <w:vAlign w:val="bottom"/>
          </w:tcPr>
          <w:p>
            <w:pPr>
              <w:pStyle w:val="TableContents"/>
              <w:bidi w:val="0"/>
              <w:spacing w:before="0" w:after="0"/>
              <w:ind w:left="324" w:right="0" w:hanging="324"/>
              <w:jc w:val="left"/>
              <w:rPr>
                <w:rFonts w:ascii="Times New Roman;Times;serif" w:hAnsi="Times New Roman;Times;serif"/>
                <w:sz w:val="20"/>
              </w:rPr>
            </w:pPr>
            <w:r>
              <w:rPr>
                <w:rFonts w:ascii="Times New Roman;Times;serif" w:hAnsi="Times New Roman;Times;serif"/>
                <w:sz w:val="20"/>
              </w:rPr>
              <w:t>Foreign Tax Effects:</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 </w:t>
            </w:r>
          </w:p>
        </w:tc>
        <w:tc>
          <w:tcPr>
            <w:tcW w:w="1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right"/>
              <w:rPr/>
            </w:pPr>
            <w:r>
              <w:rPr/>
              <w:t> </w:t>
            </w:r>
          </w:p>
        </w:tc>
        <w:tc>
          <w:tcPr>
            <w:tcW w:w="91"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283"/>
              <w:jc w:val="right"/>
              <w:rPr/>
            </w:pPr>
            <w:r>
              <w:rPr/>
              <w:t> </w:t>
            </w:r>
          </w:p>
        </w:tc>
        <w:tc>
          <w:tcPr>
            <w:tcW w:w="260" w:type="dxa"/>
            <w:tcBorders/>
            <w:shd w:fill="CCEEFF" w:val="clear"/>
            <w:vAlign w:val="bottom"/>
          </w:tcPr>
          <w:p>
            <w:pPr>
              <w:pStyle w:val="TableContents"/>
              <w:bidi w:val="0"/>
              <w:spacing w:before="0" w:after="283"/>
              <w:jc w:val="left"/>
              <w:rPr/>
            </w:pPr>
            <w:r>
              <w:rPr/>
              <w:t> </w:t>
            </w:r>
          </w:p>
        </w:tc>
      </w:tr>
      <w:tr>
        <w:trPr/>
        <w:tc>
          <w:tcPr>
            <w:tcW w:w="5435" w:type="dxa"/>
            <w:tcBorders/>
            <w:vAlign w:val="bottom"/>
          </w:tcPr>
          <w:p>
            <w:pPr>
              <w:pStyle w:val="TableContents"/>
              <w:bidi w:val="0"/>
              <w:spacing w:before="0" w:after="0"/>
              <w:ind w:left="324" w:right="0" w:hanging="144"/>
              <w:jc w:val="left"/>
              <w:rPr>
                <w:rFonts w:ascii="Times New Roman;Times;serif" w:hAnsi="Times New Roman;Times;serif"/>
                <w:sz w:val="20"/>
              </w:rPr>
            </w:pPr>
            <w:r>
              <w:rPr>
                <w:rFonts w:ascii="Times New Roman;Times;serif" w:hAnsi="Times New Roman;Times;serif"/>
                <w:sz w:val="20"/>
              </w:rPr>
              <w:t>China</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 </w:t>
            </w:r>
          </w:p>
        </w:tc>
        <w:tc>
          <w:tcPr>
            <w:tcW w:w="1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right"/>
              <w:rPr/>
            </w:pPr>
            <w:r>
              <w:rPr/>
              <w:t> </w:t>
            </w:r>
          </w:p>
        </w:tc>
        <w:tc>
          <w:tcPr>
            <w:tcW w:w="9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r>
      <w:tr>
        <w:trPr/>
        <w:tc>
          <w:tcPr>
            <w:tcW w:w="5435" w:type="dxa"/>
            <w:tcBorders/>
            <w:vAlign w:val="bottom"/>
          </w:tcPr>
          <w:p>
            <w:pPr>
              <w:pStyle w:val="TableContents"/>
              <w:bidi w:val="0"/>
              <w:spacing w:before="0" w:after="0"/>
              <w:ind w:left="324" w:right="0" w:firstLine="36"/>
              <w:jc w:val="left"/>
              <w:rPr>
                <w:rFonts w:ascii="Times New Roman;Times;serif" w:hAnsi="Times New Roman;Times;serif"/>
                <w:sz w:val="20"/>
              </w:rPr>
            </w:pPr>
            <w:r>
              <w:rPr>
                <w:rFonts w:ascii="Times New Roman;Times;serif" w:hAnsi="Times New Roman;Times;serif"/>
                <w:sz w:val="20"/>
              </w:rPr>
              <w:t>Withholding Tax</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4,179</w:t>
            </w:r>
          </w:p>
        </w:tc>
        <w:tc>
          <w:tcPr>
            <w:tcW w:w="1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right"/>
              <w:rPr/>
            </w:pPr>
            <w:r>
              <w:rPr/>
              <w:t> </w:t>
            </w:r>
          </w:p>
        </w:tc>
        <w:tc>
          <w:tcPr>
            <w:tcW w:w="9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2.13</w:t>
            </w:r>
          </w:p>
        </w:tc>
        <w:tc>
          <w:tcPr>
            <w:tcW w:w="2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5435" w:type="dxa"/>
            <w:tcBorders/>
            <w:shd w:fill="CCEEFF" w:val="clear"/>
            <w:vAlign w:val="bottom"/>
          </w:tcPr>
          <w:p>
            <w:pPr>
              <w:pStyle w:val="TableContents"/>
              <w:bidi w:val="0"/>
              <w:spacing w:before="0" w:after="0"/>
              <w:ind w:left="324" w:right="0" w:firstLine="36"/>
              <w:jc w:val="left"/>
              <w:rPr>
                <w:rFonts w:ascii="Times New Roman;Times;serif" w:hAnsi="Times New Roman;Times;serif"/>
                <w:sz w:val="20"/>
              </w:rPr>
            </w:pPr>
            <w:r>
              <w:rPr>
                <w:rFonts w:ascii="Times New Roman;Times;serif" w:hAnsi="Times New Roman;Times;serif"/>
                <w:sz w:val="20"/>
              </w:rPr>
              <w:t>Other</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1,010</w:t>
            </w:r>
          </w:p>
        </w:tc>
        <w:tc>
          <w:tcPr>
            <w:tcW w:w="1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right"/>
              <w:rPr/>
            </w:pPr>
            <w:r>
              <w:rPr/>
              <w:t> </w:t>
            </w:r>
          </w:p>
        </w:tc>
        <w:tc>
          <w:tcPr>
            <w:tcW w:w="91"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0.51</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5435" w:type="dxa"/>
            <w:tcBorders/>
            <w:vAlign w:val="bottom"/>
          </w:tcPr>
          <w:p>
            <w:pPr>
              <w:pStyle w:val="TableContents"/>
              <w:bidi w:val="0"/>
              <w:spacing w:before="0" w:after="0"/>
              <w:ind w:left="324" w:right="0" w:hanging="144"/>
              <w:jc w:val="left"/>
              <w:rPr>
                <w:rFonts w:ascii="Times New Roman;Times;serif" w:hAnsi="Times New Roman;Times;serif"/>
                <w:sz w:val="20"/>
              </w:rPr>
            </w:pPr>
            <w:r>
              <w:rPr>
                <w:rFonts w:ascii="Times New Roman;Times;serif" w:hAnsi="Times New Roman;Times;serif"/>
                <w:sz w:val="20"/>
              </w:rPr>
              <w:t>Korea</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 </w:t>
            </w:r>
          </w:p>
        </w:tc>
        <w:tc>
          <w:tcPr>
            <w:tcW w:w="1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right"/>
              <w:rPr/>
            </w:pPr>
            <w:r>
              <w:rPr/>
              <w:t> </w:t>
            </w:r>
          </w:p>
        </w:tc>
        <w:tc>
          <w:tcPr>
            <w:tcW w:w="9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r>
      <w:tr>
        <w:trPr/>
        <w:tc>
          <w:tcPr>
            <w:tcW w:w="5435" w:type="dxa"/>
            <w:tcBorders/>
            <w:shd w:fill="CCEEFF" w:val="clear"/>
            <w:vAlign w:val="bottom"/>
          </w:tcPr>
          <w:p>
            <w:pPr>
              <w:pStyle w:val="TableContents"/>
              <w:bidi w:val="0"/>
              <w:spacing w:before="0" w:after="0"/>
              <w:ind w:left="324" w:right="0" w:firstLine="36"/>
              <w:jc w:val="left"/>
              <w:rPr>
                <w:rFonts w:ascii="Times New Roman;Times;serif" w:hAnsi="Times New Roman;Times;serif"/>
                <w:sz w:val="20"/>
              </w:rPr>
            </w:pPr>
            <w:r>
              <w:rPr>
                <w:rFonts w:ascii="Times New Roman;Times;serif" w:hAnsi="Times New Roman;Times;serif"/>
                <w:sz w:val="20"/>
              </w:rPr>
              <w:t>Withholding Tax</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2,855</w:t>
            </w:r>
          </w:p>
        </w:tc>
        <w:tc>
          <w:tcPr>
            <w:tcW w:w="1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right"/>
              <w:rPr/>
            </w:pPr>
            <w:r>
              <w:rPr/>
              <w:t> </w:t>
            </w:r>
          </w:p>
        </w:tc>
        <w:tc>
          <w:tcPr>
            <w:tcW w:w="91"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1.46</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5435" w:type="dxa"/>
            <w:tcBorders/>
            <w:vAlign w:val="bottom"/>
          </w:tcPr>
          <w:p>
            <w:pPr>
              <w:pStyle w:val="TableContents"/>
              <w:bidi w:val="0"/>
              <w:spacing w:before="0" w:after="0"/>
              <w:ind w:left="324" w:right="0" w:firstLine="36"/>
              <w:jc w:val="left"/>
              <w:rPr>
                <w:rFonts w:ascii="Times New Roman;Times;serif" w:hAnsi="Times New Roman;Times;serif"/>
                <w:sz w:val="20"/>
              </w:rPr>
            </w:pPr>
            <w:r>
              <w:rPr>
                <w:rFonts w:ascii="Times New Roman;Times;serif" w:hAnsi="Times New Roman;Times;serif"/>
                <w:sz w:val="20"/>
              </w:rPr>
              <w:t>Other</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152</w:t>
            </w:r>
          </w:p>
        </w:tc>
        <w:tc>
          <w:tcPr>
            <w:tcW w:w="1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right"/>
              <w:rPr/>
            </w:pPr>
            <w:r>
              <w:rPr/>
              <w:t> </w:t>
            </w:r>
          </w:p>
        </w:tc>
        <w:tc>
          <w:tcPr>
            <w:tcW w:w="9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0.08</w:t>
            </w:r>
          </w:p>
        </w:tc>
        <w:tc>
          <w:tcPr>
            <w:tcW w:w="2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5435" w:type="dxa"/>
            <w:tcBorders/>
            <w:vAlign w:val="bottom"/>
          </w:tcPr>
          <w:p>
            <w:pPr>
              <w:pStyle w:val="TableContents"/>
              <w:bidi w:val="0"/>
              <w:spacing w:before="0" w:after="0"/>
              <w:ind w:left="324" w:right="0" w:hanging="144"/>
              <w:jc w:val="left"/>
              <w:rPr>
                <w:rFonts w:ascii="Times New Roman;Times;serif" w:hAnsi="Times New Roman;Times;serif"/>
                <w:sz w:val="20"/>
              </w:rPr>
            </w:pPr>
            <w:r>
              <w:rPr>
                <w:rFonts w:ascii="Times New Roman;Times;serif" w:hAnsi="Times New Roman;Times;serif"/>
                <w:sz w:val="20"/>
              </w:rPr>
              <w:t>Argentina</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 </w:t>
            </w:r>
          </w:p>
        </w:tc>
        <w:tc>
          <w:tcPr>
            <w:tcW w:w="1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right"/>
              <w:rPr/>
            </w:pPr>
            <w:r>
              <w:rPr/>
              <w:t> </w:t>
            </w:r>
          </w:p>
        </w:tc>
        <w:tc>
          <w:tcPr>
            <w:tcW w:w="9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r>
      <w:tr>
        <w:trPr/>
        <w:tc>
          <w:tcPr>
            <w:tcW w:w="5435" w:type="dxa"/>
            <w:tcBorders/>
            <w:shd w:fill="CCEEFF" w:val="clear"/>
            <w:vAlign w:val="bottom"/>
          </w:tcPr>
          <w:p>
            <w:pPr>
              <w:pStyle w:val="TableContents"/>
              <w:bidi w:val="0"/>
              <w:spacing w:before="0" w:after="0"/>
              <w:ind w:left="324" w:right="0" w:firstLine="36"/>
              <w:jc w:val="left"/>
              <w:rPr>
                <w:rFonts w:ascii="Times New Roman;Times;serif" w:hAnsi="Times New Roman;Times;serif"/>
                <w:sz w:val="20"/>
              </w:rPr>
            </w:pPr>
            <w:r>
              <w:rPr>
                <w:rFonts w:ascii="Times New Roman;Times;serif" w:hAnsi="Times New Roman;Times;serif"/>
                <w:sz w:val="20"/>
              </w:rPr>
              <w:t>Other</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2,995</w:t>
            </w:r>
          </w:p>
        </w:tc>
        <w:tc>
          <w:tcPr>
            <w:tcW w:w="1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right"/>
              <w:rPr/>
            </w:pPr>
            <w:r>
              <w:rPr/>
              <w:t> </w:t>
            </w:r>
          </w:p>
        </w:tc>
        <w:tc>
          <w:tcPr>
            <w:tcW w:w="91"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1.53</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5435" w:type="dxa"/>
            <w:tcBorders/>
            <w:shd w:fill="CCEEFF" w:val="clear"/>
            <w:vAlign w:val="bottom"/>
          </w:tcPr>
          <w:p>
            <w:pPr>
              <w:pStyle w:val="TableContents"/>
              <w:bidi w:val="0"/>
              <w:spacing w:before="0" w:after="0"/>
              <w:ind w:left="324" w:right="0" w:hanging="144"/>
              <w:jc w:val="left"/>
              <w:rPr>
                <w:rFonts w:ascii="Times New Roman;Times;serif" w:hAnsi="Times New Roman;Times;serif"/>
                <w:sz w:val="20"/>
              </w:rPr>
            </w:pPr>
            <w:r>
              <w:rPr>
                <w:rFonts w:ascii="Times New Roman;Times;serif" w:hAnsi="Times New Roman;Times;serif"/>
                <w:sz w:val="20"/>
              </w:rPr>
              <w:t>Other Foreign Jurisdictions</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4,874</w:t>
            </w:r>
          </w:p>
        </w:tc>
        <w:tc>
          <w:tcPr>
            <w:tcW w:w="1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right"/>
              <w:rPr/>
            </w:pPr>
            <w:r>
              <w:rPr/>
              <w:t> </w:t>
            </w:r>
          </w:p>
        </w:tc>
        <w:tc>
          <w:tcPr>
            <w:tcW w:w="91"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2.48</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5435" w:type="dxa"/>
            <w:tcBorders/>
            <w:vAlign w:val="bottom"/>
          </w:tcPr>
          <w:p>
            <w:pPr>
              <w:pStyle w:val="TableContents"/>
              <w:bidi w:val="0"/>
              <w:spacing w:before="0" w:after="0"/>
              <w:ind w:left="324" w:right="0" w:hanging="324"/>
              <w:jc w:val="left"/>
              <w:rPr>
                <w:rFonts w:ascii="Times New Roman;Times;serif" w:hAnsi="Times New Roman;Times;serif"/>
                <w:sz w:val="20"/>
              </w:rPr>
            </w:pPr>
            <w:r>
              <w:rPr>
                <w:rFonts w:ascii="Times New Roman;Times;serif" w:hAnsi="Times New Roman;Times;serif"/>
                <w:sz w:val="20"/>
              </w:rPr>
              <w:t>Effect of Cross-Border Tax Laws:</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 </w:t>
            </w:r>
          </w:p>
        </w:tc>
        <w:tc>
          <w:tcPr>
            <w:tcW w:w="1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right"/>
              <w:rPr/>
            </w:pPr>
            <w:r>
              <w:rPr/>
              <w:t> </w:t>
            </w:r>
          </w:p>
        </w:tc>
        <w:tc>
          <w:tcPr>
            <w:tcW w:w="9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r>
      <w:tr>
        <w:trPr/>
        <w:tc>
          <w:tcPr>
            <w:tcW w:w="5435" w:type="dxa"/>
            <w:tcBorders/>
            <w:shd w:fill="CCEEFF" w:val="clear"/>
            <w:vAlign w:val="bottom"/>
          </w:tcPr>
          <w:p>
            <w:pPr>
              <w:pStyle w:val="TableContents"/>
              <w:bidi w:val="0"/>
              <w:spacing w:before="0" w:after="0"/>
              <w:ind w:left="324" w:right="0" w:hanging="144"/>
              <w:jc w:val="left"/>
              <w:rPr>
                <w:rFonts w:ascii="Times New Roman;Times;serif" w:hAnsi="Times New Roman;Times;serif"/>
                <w:sz w:val="20"/>
              </w:rPr>
            </w:pPr>
            <w:r>
              <w:rPr>
                <w:rFonts w:ascii="Times New Roman;Times;serif" w:hAnsi="Times New Roman;Times;serif"/>
                <w:sz w:val="20"/>
              </w:rPr>
              <w:t>Foreign-Derived Intangible Income</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(6,649</w:t>
            </w:r>
          </w:p>
        </w:tc>
        <w:tc>
          <w:tcPr>
            <w:tcW w:w="121"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1" w:type="dxa"/>
            <w:tcBorders/>
            <w:shd w:fill="CCEEFF" w:val="clear"/>
            <w:vAlign w:val="bottom"/>
          </w:tcPr>
          <w:p>
            <w:pPr>
              <w:pStyle w:val="TableContents"/>
              <w:bidi w:val="0"/>
              <w:spacing w:before="0" w:after="283"/>
              <w:jc w:val="right"/>
              <w:rPr/>
            </w:pPr>
            <w:r>
              <w:rPr/>
              <w:t> </w:t>
            </w:r>
          </w:p>
        </w:tc>
        <w:tc>
          <w:tcPr>
            <w:tcW w:w="91"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(3.39</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5435" w:type="dxa"/>
            <w:tcBorders/>
            <w:vAlign w:val="bottom"/>
          </w:tcPr>
          <w:p>
            <w:pPr>
              <w:pStyle w:val="TableContents"/>
              <w:bidi w:val="0"/>
              <w:spacing w:before="0" w:after="0"/>
              <w:ind w:left="324" w:right="0" w:hanging="324"/>
              <w:jc w:val="left"/>
              <w:rPr>
                <w:rFonts w:ascii="Times New Roman;Times;serif" w:hAnsi="Times New Roman;Times;serif"/>
                <w:sz w:val="20"/>
              </w:rPr>
            </w:pPr>
            <w:r>
              <w:rPr>
                <w:rFonts w:ascii="Times New Roman;Times;serif" w:hAnsi="Times New Roman;Times;serif"/>
                <w:sz w:val="20"/>
              </w:rPr>
              <w:t>Tax Credits:</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 </w:t>
            </w:r>
          </w:p>
        </w:tc>
        <w:tc>
          <w:tcPr>
            <w:tcW w:w="1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right"/>
              <w:rPr/>
            </w:pPr>
            <w:r>
              <w:rPr/>
              <w:t> </w:t>
            </w:r>
          </w:p>
        </w:tc>
        <w:tc>
          <w:tcPr>
            <w:tcW w:w="9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r>
      <w:tr>
        <w:trPr/>
        <w:tc>
          <w:tcPr>
            <w:tcW w:w="5435" w:type="dxa"/>
            <w:tcBorders/>
            <w:shd w:fill="CCEEFF" w:val="clear"/>
            <w:vAlign w:val="bottom"/>
          </w:tcPr>
          <w:p>
            <w:pPr>
              <w:pStyle w:val="TableContents"/>
              <w:bidi w:val="0"/>
              <w:spacing w:before="0" w:after="0"/>
              <w:ind w:left="324" w:right="0" w:hanging="144"/>
              <w:jc w:val="left"/>
              <w:rPr>
                <w:rFonts w:ascii="Times New Roman;Times;serif" w:hAnsi="Times New Roman;Times;serif"/>
                <w:sz w:val="20"/>
              </w:rPr>
            </w:pPr>
            <w:r>
              <w:rPr>
                <w:rFonts w:ascii="Times New Roman;Times;serif" w:hAnsi="Times New Roman;Times;serif"/>
                <w:sz w:val="20"/>
              </w:rPr>
              <w:t>R&amp;D Credits</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(12,134</w:t>
            </w:r>
          </w:p>
        </w:tc>
        <w:tc>
          <w:tcPr>
            <w:tcW w:w="121"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1" w:type="dxa"/>
            <w:tcBorders/>
            <w:shd w:fill="CCEEFF" w:val="clear"/>
            <w:vAlign w:val="bottom"/>
          </w:tcPr>
          <w:p>
            <w:pPr>
              <w:pStyle w:val="TableContents"/>
              <w:bidi w:val="0"/>
              <w:spacing w:before="0" w:after="283"/>
              <w:jc w:val="right"/>
              <w:rPr/>
            </w:pPr>
            <w:r>
              <w:rPr/>
              <w:t> </w:t>
            </w:r>
          </w:p>
        </w:tc>
        <w:tc>
          <w:tcPr>
            <w:tcW w:w="91"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(6.18</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5435" w:type="dxa"/>
            <w:tcBorders/>
            <w:vAlign w:val="bottom"/>
          </w:tcPr>
          <w:p>
            <w:pPr>
              <w:pStyle w:val="TableContents"/>
              <w:bidi w:val="0"/>
              <w:spacing w:before="0" w:after="0"/>
              <w:ind w:left="324" w:right="0" w:hanging="144"/>
              <w:jc w:val="left"/>
              <w:rPr>
                <w:rFonts w:ascii="Times New Roman;Times;serif" w:hAnsi="Times New Roman;Times;serif"/>
                <w:sz w:val="20"/>
              </w:rPr>
            </w:pPr>
            <w:r>
              <w:rPr>
                <w:rFonts w:ascii="Times New Roman;Times;serif" w:hAnsi="Times New Roman;Times;serif"/>
                <w:sz w:val="20"/>
              </w:rPr>
              <w:t>Foreign Tax Credits</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(8,058</w:t>
            </w:r>
          </w:p>
        </w:tc>
        <w:tc>
          <w:tcPr>
            <w:tcW w:w="121"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1" w:type="dxa"/>
            <w:tcBorders/>
            <w:vAlign w:val="bottom"/>
          </w:tcPr>
          <w:p>
            <w:pPr>
              <w:pStyle w:val="TableContents"/>
              <w:bidi w:val="0"/>
              <w:spacing w:before="0" w:after="283"/>
              <w:jc w:val="right"/>
              <w:rPr/>
            </w:pPr>
            <w:r>
              <w:rPr/>
              <w:t> </w:t>
            </w:r>
          </w:p>
        </w:tc>
        <w:tc>
          <w:tcPr>
            <w:tcW w:w="9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(4.11</w:t>
            </w:r>
          </w:p>
        </w:tc>
        <w:tc>
          <w:tcPr>
            <w:tcW w:w="2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5435" w:type="dxa"/>
            <w:tcBorders/>
            <w:shd w:fill="CCEEFF" w:val="clear"/>
            <w:vAlign w:val="bottom"/>
          </w:tcPr>
          <w:p>
            <w:pPr>
              <w:pStyle w:val="TableContents"/>
              <w:bidi w:val="0"/>
              <w:spacing w:before="0" w:after="0"/>
              <w:ind w:left="324" w:right="0" w:hanging="324"/>
              <w:jc w:val="left"/>
              <w:rPr>
                <w:rFonts w:ascii="Times New Roman;Times;serif" w:hAnsi="Times New Roman;Times;serif"/>
                <w:sz w:val="20"/>
              </w:rPr>
            </w:pPr>
            <w:r>
              <w:rPr>
                <w:rFonts w:ascii="Times New Roman;Times;serif" w:hAnsi="Times New Roman;Times;serif"/>
                <w:sz w:val="20"/>
              </w:rPr>
              <w:t>Changes in Valuation Allowances</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6,376</w:t>
            </w:r>
          </w:p>
        </w:tc>
        <w:tc>
          <w:tcPr>
            <w:tcW w:w="1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right"/>
              <w:rPr/>
            </w:pPr>
            <w:r>
              <w:rPr/>
              <w:t> </w:t>
            </w:r>
          </w:p>
        </w:tc>
        <w:tc>
          <w:tcPr>
            <w:tcW w:w="91"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3.25</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5435" w:type="dxa"/>
            <w:tcBorders/>
            <w:vAlign w:val="bottom"/>
          </w:tcPr>
          <w:p>
            <w:pPr>
              <w:pStyle w:val="TableContents"/>
              <w:bidi w:val="0"/>
              <w:spacing w:before="0" w:after="0"/>
              <w:ind w:left="324" w:right="0" w:hanging="324"/>
              <w:jc w:val="left"/>
              <w:rPr>
                <w:rFonts w:ascii="Times New Roman;Times;serif" w:hAnsi="Times New Roman;Times;serif"/>
                <w:sz w:val="20"/>
              </w:rPr>
            </w:pPr>
            <w:r>
              <w:rPr>
                <w:rFonts w:ascii="Times New Roman;Times;serif" w:hAnsi="Times New Roman;Times;serif"/>
                <w:sz w:val="20"/>
              </w:rPr>
              <w:t>Non-Taxable or Nondeductible Items:</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 </w:t>
            </w:r>
          </w:p>
        </w:tc>
        <w:tc>
          <w:tcPr>
            <w:tcW w:w="1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right"/>
              <w:rPr/>
            </w:pPr>
            <w:r>
              <w:rPr/>
              <w:t> </w:t>
            </w:r>
          </w:p>
        </w:tc>
        <w:tc>
          <w:tcPr>
            <w:tcW w:w="9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r>
      <w:tr>
        <w:trPr/>
        <w:tc>
          <w:tcPr>
            <w:tcW w:w="5435" w:type="dxa"/>
            <w:tcBorders/>
            <w:shd w:fill="CCEEFF" w:val="clear"/>
            <w:vAlign w:val="bottom"/>
          </w:tcPr>
          <w:p>
            <w:pPr>
              <w:pStyle w:val="TableContents"/>
              <w:bidi w:val="0"/>
              <w:spacing w:before="0" w:after="0"/>
              <w:ind w:left="324" w:right="0" w:hanging="144"/>
              <w:jc w:val="left"/>
              <w:rPr>
                <w:rFonts w:ascii="Times New Roman;Times;serif" w:hAnsi="Times New Roman;Times;serif"/>
                <w:sz w:val="20"/>
              </w:rPr>
            </w:pPr>
            <w:r>
              <w:rPr>
                <w:rFonts w:ascii="Times New Roman;Times;serif" w:hAnsi="Times New Roman;Times;serif"/>
                <w:sz w:val="20"/>
              </w:rPr>
              <w:t>Employee Stock Options</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2,076</w:t>
            </w:r>
          </w:p>
        </w:tc>
        <w:tc>
          <w:tcPr>
            <w:tcW w:w="1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right"/>
              <w:rPr/>
            </w:pPr>
            <w:r>
              <w:rPr/>
              <w:t> </w:t>
            </w:r>
          </w:p>
        </w:tc>
        <w:tc>
          <w:tcPr>
            <w:tcW w:w="91"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1.06</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5435" w:type="dxa"/>
            <w:tcBorders/>
            <w:shd w:fill="CCEEFF" w:val="clear"/>
            <w:vAlign w:val="bottom"/>
          </w:tcPr>
          <w:p>
            <w:pPr>
              <w:pStyle w:val="TableContents"/>
              <w:bidi w:val="0"/>
              <w:spacing w:before="0" w:after="0"/>
              <w:ind w:left="324" w:right="0" w:hanging="144"/>
              <w:jc w:val="left"/>
              <w:rPr>
                <w:rFonts w:ascii="Times New Roman;Times;serif" w:hAnsi="Times New Roman;Times;serif"/>
                <w:sz w:val="20"/>
              </w:rPr>
            </w:pPr>
            <w:r>
              <w:rPr>
                <w:rFonts w:ascii="Times New Roman;Times;serif" w:hAnsi="Times New Roman;Times;serif"/>
                <w:sz w:val="20"/>
              </w:rPr>
              <w:t>Other</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(1,249</w:t>
            </w:r>
          </w:p>
        </w:tc>
        <w:tc>
          <w:tcPr>
            <w:tcW w:w="121"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1" w:type="dxa"/>
            <w:tcBorders/>
            <w:shd w:fill="CCEEFF" w:val="clear"/>
            <w:vAlign w:val="bottom"/>
          </w:tcPr>
          <w:p>
            <w:pPr>
              <w:pStyle w:val="TableContents"/>
              <w:bidi w:val="0"/>
              <w:spacing w:before="0" w:after="283"/>
              <w:jc w:val="right"/>
              <w:rPr/>
            </w:pPr>
            <w:r>
              <w:rPr/>
              <w:t> </w:t>
            </w:r>
          </w:p>
        </w:tc>
        <w:tc>
          <w:tcPr>
            <w:tcW w:w="91"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(0.64</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5435" w:type="dxa"/>
            <w:tcBorders/>
            <w:vAlign w:val="bottom"/>
          </w:tcPr>
          <w:p>
            <w:pPr>
              <w:pStyle w:val="TableContents"/>
              <w:bidi w:val="0"/>
              <w:spacing w:before="0" w:after="0"/>
              <w:ind w:left="324" w:right="0" w:hanging="324"/>
              <w:jc w:val="left"/>
              <w:rPr>
                <w:rFonts w:ascii="Times New Roman;Times;serif" w:hAnsi="Times New Roman;Times;serif"/>
                <w:sz w:val="20"/>
              </w:rPr>
            </w:pPr>
            <w:r>
              <w:rPr>
                <w:rFonts w:ascii="Times New Roman;Times;serif" w:hAnsi="Times New Roman;Times;serif"/>
                <w:sz w:val="20"/>
              </w:rPr>
              <w:t>Changes in Unrecognized Tax Benefits</w:t>
            </w:r>
          </w:p>
        </w:tc>
        <w:tc>
          <w:tcPr>
            <w:tcW w:w="60" w:type="dxa"/>
            <w:tcBorders/>
            <w:vAlign w:val="bottom"/>
          </w:tcPr>
          <w:p>
            <w:pPr>
              <w:pStyle w:val="TableContents"/>
              <w:bidi w:val="0"/>
              <w:spacing w:before="0" w:after="283"/>
              <w:jc w:val="right"/>
              <w:rPr/>
            </w:pPr>
            <w:r>
              <w:rPr/>
              <w:t> </w:t>
            </w:r>
          </w:p>
        </w:tc>
        <w:tc>
          <w:tcPr>
            <w:tcW w:w="1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9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(4,692</w:t>
            </w:r>
          </w:p>
        </w:tc>
        <w:tc>
          <w:tcPr>
            <w:tcW w:w="121"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1" w:type="dxa"/>
            <w:tcBorders/>
            <w:vAlign w:val="bottom"/>
          </w:tcPr>
          <w:p>
            <w:pPr>
              <w:pStyle w:val="TableContents"/>
              <w:bidi w:val="0"/>
              <w:spacing w:before="0" w:after="283"/>
              <w:jc w:val="right"/>
              <w:rPr/>
            </w:pPr>
            <w:r>
              <w:rPr/>
              <w:t> </w:t>
            </w:r>
          </w:p>
        </w:tc>
        <w:tc>
          <w:tcPr>
            <w:tcW w:w="91" w:type="dxa"/>
            <w:tcBorders>
              <w:bottom w:val="single" w:sz="12" w:space="0" w:color="000000"/>
            </w:tcBorders>
            <w:tcMar>
              <w:bottom w:w="28" w:type="dxa"/>
            </w:tcMar>
            <w:vAlign w:val="bottom"/>
          </w:tcPr>
          <w:p>
            <w:pPr>
              <w:pStyle w:val="TableContents"/>
              <w:bidi w:val="0"/>
              <w:spacing w:before="0" w:after="283"/>
              <w:jc w:val="left"/>
              <w:rPr/>
            </w:pPr>
            <w:r>
              <w:rPr/>
              <w:t> </w:t>
            </w:r>
          </w:p>
        </w:tc>
        <w:tc>
          <w:tcPr>
            <w:tcW w:w="739"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(2.39</w:t>
            </w:r>
          </w:p>
        </w:tc>
        <w:tc>
          <w:tcPr>
            <w:tcW w:w="2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5435" w:type="dxa"/>
            <w:tcBorders/>
            <w:shd w:fill="CCEEFF" w:val="clear"/>
            <w:vAlign w:val="bottom"/>
          </w:tcPr>
          <w:p>
            <w:pPr>
              <w:pStyle w:val="TableContents"/>
              <w:bidi w:val="0"/>
              <w:spacing w:before="0" w:after="0"/>
              <w:ind w:left="324" w:right="0" w:hanging="324"/>
              <w:jc w:val="left"/>
              <w:rPr>
                <w:rFonts w:ascii="Times New Roman;Times;serif" w:hAnsi="Times New Roman;Times;serif"/>
                <w:sz w:val="20"/>
              </w:rPr>
            </w:pPr>
            <w:r>
              <w:rPr>
                <w:rFonts w:ascii="Times New Roman;Times;serif" w:hAnsi="Times New Roman;Times;serif"/>
                <w:sz w:val="20"/>
              </w:rPr>
              <w:t>Effective Tax Rate</w:t>
            </w:r>
          </w:p>
        </w:tc>
        <w:tc>
          <w:tcPr>
            <w:tcW w:w="60" w:type="dxa"/>
            <w:tcBorders/>
            <w:shd w:fill="CCEEFF" w:val="clear"/>
            <w:vAlign w:val="bottom"/>
          </w:tcPr>
          <w:p>
            <w:pPr>
              <w:pStyle w:val="TableContents"/>
              <w:bidi w:val="0"/>
              <w:spacing w:before="0" w:after="283"/>
              <w:jc w:val="right"/>
              <w:rPr/>
            </w:pPr>
            <w:r>
              <w:rPr/>
              <w:t> </w:t>
            </w:r>
          </w:p>
        </w:tc>
        <w:tc>
          <w:tcPr>
            <w:tcW w:w="19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35,993</w:t>
            </w:r>
          </w:p>
        </w:tc>
        <w:tc>
          <w:tcPr>
            <w:tcW w:w="1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right"/>
              <w:rPr/>
            </w:pPr>
            <w:r>
              <w:rPr/>
              <w:t> </w:t>
            </w:r>
          </w:p>
        </w:tc>
        <w:tc>
          <w:tcPr>
            <w:tcW w:w="91"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3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18.35</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4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State and Local taxes in California and New Jersey made up the majority (greater than 50 percent) of the tax effect in this category.</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pacing w:val="0"/>
          <w:sz w:val="20"/>
          <w:shd w:fill="FFFFFF" w:val="clear"/>
        </w:rPr>
        <w:t xml:space="preserve">The 2025 rate reconciliation is disaggregated in accordance with ASU 2023-09, which was adopted prospectively in 2025. The increase in the effective tax rate for 2025 is primarily due to the $8.1 million of additional research and development credits determined creditable during the year, the sale of Mavely, the impairment of the BeautyBio asset group and the impairment of an equity investment. The decrease in the effective tax rate for </w:t>
      </w:r>
      <w:r>
        <w:rPr>
          <w:rFonts w:ascii="Times New Roman" w:hAnsi="Times New Roman"/>
          <w:b w:val="false"/>
          <w:i w:val="false"/>
          <w:caps w:val="false"/>
          <w:smallCaps w:val="false"/>
          <w:color w:val="000000"/>
          <w:sz w:val="20"/>
          <w:shd w:fill="FFFFFF" w:val="clear"/>
        </w:rPr>
        <w:t>2024 is primarily due to the company having an overall book loss but still paying taxes primarily in foreign jurisdictions.</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93</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actual taxes paid for the year ended December 31, 2025 was as follows:</w:t>
      </w:r>
    </w:p>
    <w:p>
      <w:pPr>
        <w:pStyle w:val="TextBody"/>
        <w:bidi w:val="0"/>
        <w:spacing w:before="0" w:after="0"/>
        <w:jc w:val="both"/>
        <w:rPr>
          <w:rFonts w:ascii="Times New Roman" w:hAnsi="Times New Roman"/>
          <w:sz w:val="20"/>
        </w:rPr>
      </w:pPr>
      <w:r>
        <w:rPr>
          <w:rFonts w:ascii="Times New Roman" w:hAnsi="Times New Roman"/>
          <w:sz w:val="20"/>
        </w:rPr>
      </w:r>
    </w:p>
    <w:tbl>
      <w:tblPr>
        <w:tblW w:w="2250" w:type="dxa"/>
        <w:jc w:val="left"/>
        <w:tblInd w:w="0" w:type="dxa"/>
        <w:tblLayout w:type="fixed"/>
        <w:tblCellMar>
          <w:top w:w="0" w:type="dxa"/>
          <w:left w:w="0" w:type="dxa"/>
          <w:bottom w:w="0" w:type="dxa"/>
          <w:right w:w="0" w:type="dxa"/>
        </w:tblCellMar>
      </w:tblPr>
      <w:tblGrid>
        <w:gridCol w:w="1400"/>
        <w:gridCol w:w="60"/>
        <w:gridCol w:w="125"/>
        <w:gridCol w:w="590"/>
        <w:gridCol w:w="75"/>
      </w:tblGrid>
      <w:tr>
        <w:trPr/>
        <w:tc>
          <w:tcPr>
            <w:tcW w:w="14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75" w:type="dxa"/>
            <w:tcBorders/>
            <w:vAlign w:val="bottom"/>
          </w:tcPr>
          <w:p>
            <w:pPr>
              <w:pStyle w:val="TableContents"/>
              <w:bidi w:val="0"/>
              <w:spacing w:before="0" w:after="283"/>
              <w:jc w:val="left"/>
              <w:rPr/>
            </w:pPr>
            <w:r>
              <w:rPr/>
              <w:t> </w:t>
            </w:r>
          </w:p>
        </w:tc>
      </w:tr>
      <w:tr>
        <w:trPr/>
        <w:tc>
          <w:tcPr>
            <w:tcW w:w="1400" w:type="dxa"/>
            <w:tcBorders/>
            <w:shd w:fill="CCEEFF" w:val="clear"/>
            <w:vAlign w:val="bottom"/>
          </w:tcPr>
          <w:p>
            <w:pPr>
              <w:pStyle w:val="TableContents"/>
              <w:bidi w:val="0"/>
              <w:spacing w:before="0" w:after="0"/>
              <w:ind w:left="324" w:right="0" w:hanging="324"/>
              <w:jc w:val="left"/>
              <w:rPr>
                <w:rFonts w:ascii="Times New Roman;Times;serif" w:hAnsi="Times New Roman;Times;serif"/>
                <w:sz w:val="20"/>
              </w:rPr>
            </w:pPr>
            <w:r>
              <w:rPr>
                <w:rFonts w:ascii="Times New Roman;Times;serif" w:hAnsi="Times New Roman;Times;serif"/>
                <w:sz w:val="20"/>
              </w:rPr>
              <w:t>U.S. Federal</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4,000</w:t>
            </w:r>
          </w:p>
        </w:tc>
        <w:tc>
          <w:tcPr>
            <w:tcW w:w="75"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0"/>
              <w:ind w:left="324" w:right="0" w:hanging="324"/>
              <w:jc w:val="left"/>
              <w:rPr>
                <w:rFonts w:ascii="Times New Roman;Times;serif" w:hAnsi="Times New Roman;Times;serif"/>
                <w:sz w:val="20"/>
              </w:rPr>
            </w:pPr>
            <w:r>
              <w:rPr>
                <w:rFonts w:ascii="Times New Roman;Times;serif" w:hAnsi="Times New Roman;Times;serif"/>
                <w:sz w:val="20"/>
              </w:rPr>
              <w:t>State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5,312</w:t>
            </w:r>
          </w:p>
        </w:tc>
        <w:tc>
          <w:tcPr>
            <w:tcW w:w="75" w:type="dxa"/>
            <w:tcBorders/>
            <w:vAlign w:val="bottom"/>
          </w:tcPr>
          <w:p>
            <w:pPr>
              <w:pStyle w:val="TableContents"/>
              <w:bidi w:val="0"/>
              <w:spacing w:before="0" w:after="283"/>
              <w:jc w:val="left"/>
              <w:rPr/>
            </w:pPr>
            <w:r>
              <w:rPr/>
              <w:t> </w:t>
            </w:r>
          </w:p>
        </w:tc>
      </w:tr>
      <w:tr>
        <w:trPr/>
        <w:tc>
          <w:tcPr>
            <w:tcW w:w="1400" w:type="dxa"/>
            <w:tcBorders/>
            <w:shd w:fill="CCEEFF" w:val="clear"/>
            <w:vAlign w:val="bottom"/>
          </w:tcPr>
          <w:p>
            <w:pPr>
              <w:pStyle w:val="TableContents"/>
              <w:bidi w:val="0"/>
              <w:spacing w:before="0" w:after="0"/>
              <w:ind w:left="324" w:right="0" w:hanging="324"/>
              <w:jc w:val="left"/>
              <w:rPr>
                <w:rFonts w:ascii="Times New Roman;Times;serif" w:hAnsi="Times New Roman;Times;serif"/>
                <w:sz w:val="20"/>
              </w:rPr>
            </w:pPr>
            <w:r>
              <w:rPr>
                <w:rFonts w:ascii="Times New Roman;Times;serif" w:hAnsi="Times New Roman;Times;serif"/>
                <w:sz w:val="20"/>
              </w:rPr>
              <w:t>Foreign:</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0"/>
              <w:ind w:left="540" w:right="0" w:hanging="360"/>
              <w:jc w:val="left"/>
              <w:rPr>
                <w:rFonts w:ascii="Times New Roman;Times;serif" w:hAnsi="Times New Roman;Times;serif"/>
                <w:sz w:val="20"/>
              </w:rPr>
            </w:pPr>
            <w:r>
              <w:rPr>
                <w:rFonts w:ascii="Times New Roman;Times;serif" w:hAnsi="Times New Roman;Times;serif"/>
                <w:sz w:val="20"/>
              </w:rPr>
              <w:t>Argentina</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3,010</w:t>
            </w:r>
          </w:p>
        </w:tc>
        <w:tc>
          <w:tcPr>
            <w:tcW w:w="75" w:type="dxa"/>
            <w:tcBorders/>
            <w:vAlign w:val="bottom"/>
          </w:tcPr>
          <w:p>
            <w:pPr>
              <w:pStyle w:val="TableContents"/>
              <w:bidi w:val="0"/>
              <w:spacing w:before="0" w:after="283"/>
              <w:jc w:val="left"/>
              <w:rPr/>
            </w:pPr>
            <w:r>
              <w:rPr/>
              <w:t> </w:t>
            </w:r>
          </w:p>
        </w:tc>
      </w:tr>
      <w:tr>
        <w:trPr/>
        <w:tc>
          <w:tcPr>
            <w:tcW w:w="1400" w:type="dxa"/>
            <w:tcBorders/>
            <w:shd w:fill="CCEEFF" w:val="clear"/>
            <w:vAlign w:val="bottom"/>
          </w:tcPr>
          <w:p>
            <w:pPr>
              <w:pStyle w:val="TableContents"/>
              <w:bidi w:val="0"/>
              <w:spacing w:before="0" w:after="0"/>
              <w:ind w:left="324" w:right="0" w:hanging="144"/>
              <w:jc w:val="left"/>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9,544</w:t>
            </w:r>
          </w:p>
        </w:tc>
        <w:tc>
          <w:tcPr>
            <w:tcW w:w="75"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0"/>
              <w:ind w:left="324" w:right="0" w:hanging="144"/>
              <w:jc w:val="left"/>
              <w:rPr>
                <w:rFonts w:ascii="Times New Roman;Times;serif" w:hAnsi="Times New Roman;Times;serif"/>
                <w:sz w:val="20"/>
              </w:rPr>
            </w:pPr>
            <w:r>
              <w:rPr>
                <w:rFonts w:ascii="Times New Roman;Times;serif" w:hAnsi="Times New Roman;Times;serif"/>
                <w:sz w:val="20"/>
              </w:rPr>
              <w:t>Indonesia</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4,984</w:t>
            </w:r>
          </w:p>
        </w:tc>
        <w:tc>
          <w:tcPr>
            <w:tcW w:w="75" w:type="dxa"/>
            <w:tcBorders/>
            <w:vAlign w:val="bottom"/>
          </w:tcPr>
          <w:p>
            <w:pPr>
              <w:pStyle w:val="TableContents"/>
              <w:bidi w:val="0"/>
              <w:spacing w:before="0" w:after="283"/>
              <w:jc w:val="left"/>
              <w:rPr/>
            </w:pPr>
            <w:r>
              <w:rPr/>
              <w:t> </w:t>
            </w:r>
          </w:p>
        </w:tc>
      </w:tr>
      <w:tr>
        <w:trPr/>
        <w:tc>
          <w:tcPr>
            <w:tcW w:w="1400" w:type="dxa"/>
            <w:tcBorders/>
            <w:shd w:fill="CCEEFF" w:val="clear"/>
            <w:vAlign w:val="bottom"/>
          </w:tcPr>
          <w:p>
            <w:pPr>
              <w:pStyle w:val="TableContents"/>
              <w:bidi w:val="0"/>
              <w:spacing w:before="0" w:after="0"/>
              <w:ind w:left="324" w:right="0" w:hanging="144"/>
              <w:jc w:val="left"/>
              <w:rPr>
                <w:rFonts w:ascii="Times New Roman;Times;serif" w:hAnsi="Times New Roman;Times;serif"/>
                <w:sz w:val="20"/>
              </w:rPr>
            </w:pPr>
            <w:r>
              <w:rPr>
                <w:rFonts w:ascii="Times New Roman;Times;serif" w:hAnsi="Times New Roman;Times;serif"/>
                <w:sz w:val="20"/>
              </w:rPr>
              <w:t>Japan</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3,100</w:t>
            </w:r>
          </w:p>
        </w:tc>
        <w:tc>
          <w:tcPr>
            <w:tcW w:w="75"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0"/>
              <w:ind w:left="324" w:right="0" w:hanging="144"/>
              <w:jc w:val="left"/>
              <w:rPr>
                <w:rFonts w:ascii="Times New Roman;Times;serif" w:hAnsi="Times New Roman;Times;serif"/>
                <w:sz w:val="20"/>
              </w:rPr>
            </w:pPr>
            <w:r>
              <w:rPr>
                <w:rFonts w:ascii="Times New Roman;Times;serif" w:hAnsi="Times New Roman;Times;serif"/>
                <w:sz w:val="20"/>
              </w:rPr>
              <w:t>Korea</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3,390</w:t>
            </w:r>
          </w:p>
        </w:tc>
        <w:tc>
          <w:tcPr>
            <w:tcW w:w="75" w:type="dxa"/>
            <w:tcBorders/>
            <w:vAlign w:val="bottom"/>
          </w:tcPr>
          <w:p>
            <w:pPr>
              <w:pStyle w:val="TableContents"/>
              <w:bidi w:val="0"/>
              <w:spacing w:before="0" w:after="283"/>
              <w:jc w:val="left"/>
              <w:rPr/>
            </w:pPr>
            <w:r>
              <w:rPr/>
              <w:t> </w:t>
            </w:r>
          </w:p>
        </w:tc>
      </w:tr>
      <w:tr>
        <w:trPr/>
        <w:tc>
          <w:tcPr>
            <w:tcW w:w="1400" w:type="dxa"/>
            <w:tcBorders/>
            <w:shd w:fill="CCEEFF" w:val="clear"/>
            <w:vAlign w:val="bottom"/>
          </w:tcPr>
          <w:p>
            <w:pPr>
              <w:pStyle w:val="TableContents"/>
              <w:bidi w:val="0"/>
              <w:spacing w:before="0" w:after="0"/>
              <w:ind w:left="504" w:right="0" w:hanging="324"/>
              <w:jc w:val="left"/>
              <w:rPr>
                <w:rFonts w:ascii="Times New Roman;Times;serif" w:hAnsi="Times New Roman;Times;serif"/>
                <w:sz w:val="20"/>
              </w:rPr>
            </w:pPr>
            <w:r>
              <w:rPr>
                <w:rFonts w:ascii="Times New Roman;Times;serif" w:hAnsi="Times New Roman;Times;serif"/>
                <w:sz w:val="20"/>
              </w:rPr>
              <w:t>Other</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7,477</w:t>
            </w:r>
          </w:p>
        </w:tc>
        <w:tc>
          <w:tcPr>
            <w:tcW w:w="75"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0"/>
              <w:ind w:left="468" w:right="0" w:hanging="324"/>
              <w:jc w:val="left"/>
              <w:rPr>
                <w:rFonts w:ascii="Times New Roman;Times;serif" w:hAnsi="Times New Roman;Times;serif"/>
                <w:sz w:val="20"/>
              </w:rPr>
            </w:pPr>
            <w:r>
              <w:rPr>
                <w:rFonts w:ascii="Times New Roman;Times;serif" w:hAnsi="Times New Roman;Times;serif"/>
                <w:sz w:val="20"/>
              </w:rPr>
              <w:t>Total Taxes Paid</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40,817</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Cash paid for income taxes totaled $30.4 million and $32.4 million for the years ended December 31, 2024 and 2023, respectively.</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cash paid for income taxes is disaggregated in accordance with ASU 2023-09. The cumulative amount of undistributed earnings of the Company’s non-U.S. Subsidiaries held for indefinite reinvestment is approximately $60.0 million, at December 31, 2025.  If this amount were repatriated to the United States, the amount of incremental taxes would be approximately $6.0 million.</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July 4, 2025, U.S. legislation formally titled “An Act to Provide for Reconciliation Pursuant to Title II of H. Con. Res. 14” (“the Act”) and commonly referred to as the One Big Beautiful Bill Act was signed into law. The Act, among other things, extended key provisions of the 2017 Tax Cuts and Jobs Act and introduced targeted changes to the U.S. federal income tax regime. The Act has not materially impacted the Company’s effective tax rate.</w:t>
      </w:r>
    </w:p>
    <w:p>
      <w:pPr>
        <w:pStyle w:val="TextBody"/>
        <w:bidi w:val="0"/>
        <w:spacing w:before="0" w:after="0"/>
        <w:jc w:val="left"/>
        <w:rPr/>
      </w:pPr>
      <w:r>
        <w:rPr/>
      </w:r>
    </w:p>
    <w:tbl>
      <w:tblPr>
        <w:tblW w:w="2260" w:type="dxa"/>
        <w:jc w:val="left"/>
        <w:tblInd w:w="0" w:type="dxa"/>
        <w:tblLayout w:type="fixed"/>
        <w:tblCellMar>
          <w:top w:w="0" w:type="dxa"/>
          <w:left w:w="0" w:type="dxa"/>
          <w:bottom w:w="0" w:type="dxa"/>
          <w:right w:w="0" w:type="dxa"/>
        </w:tblCellMar>
      </w:tblPr>
      <w:tblGrid>
        <w:gridCol w:w="290"/>
        <w:gridCol w:w="1970"/>
      </w:tblGrid>
      <w:tr>
        <w:trPr/>
        <w:tc>
          <w:tcPr>
            <w:tcW w:w="29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13.</w:t>
            </w:r>
          </w:p>
        </w:tc>
        <w:tc>
          <w:tcPr>
            <w:tcW w:w="197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Employee Benefit Plan</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has a 401(k) defined-contribution plan which permits participating employees to defer up to a maximum of 100% of their compensation, subject to limitations established by the IRS. Employees age 18 and older are eligible to contribute to the plan starting the first day of employment. After completing at least one day of service, employees are eligible to receive matching contributions from the Company. In 2025, 2024, and 2023 the Company provided matching contributions of up to 4% of employees’ compensation each year. The Company’s matching contributions cliff vest after two years of service. The Company recorded compensation expense of $2.9 million, $4.0 million and $3.6 million for the years ended December 31, 2025, 2024 and 2023, respectively, related to its contributions to the plan. The Company may make additional discretionary contributions to the plan of up to 10% of employees’ base pay. The Company’s discretionary contributions vest 20% per year for an employee’s first five years of service. For the years ended December 31, 2025, 2024 and 2023, the Company did not make any additional discretionary contributions.</w:t>
      </w:r>
    </w:p>
    <w:p>
      <w:pPr>
        <w:pStyle w:val="TextBody"/>
        <w:bidi w:val="0"/>
        <w:spacing w:before="0" w:after="0"/>
        <w:jc w:val="left"/>
        <w:rPr/>
      </w:pPr>
      <w:r>
        <w:rPr/>
      </w:r>
    </w:p>
    <w:tbl>
      <w:tblPr>
        <w:tblW w:w="2770" w:type="dxa"/>
        <w:jc w:val="left"/>
        <w:tblInd w:w="0" w:type="dxa"/>
        <w:tblLayout w:type="fixed"/>
        <w:tblCellMar>
          <w:top w:w="0" w:type="dxa"/>
          <w:left w:w="0" w:type="dxa"/>
          <w:bottom w:w="0" w:type="dxa"/>
          <w:right w:w="0" w:type="dxa"/>
        </w:tblCellMar>
      </w:tblPr>
      <w:tblGrid>
        <w:gridCol w:w="290"/>
        <w:gridCol w:w="2480"/>
      </w:tblGrid>
      <w:tr>
        <w:trPr/>
        <w:tc>
          <w:tcPr>
            <w:tcW w:w="29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14.</w:t>
            </w:r>
          </w:p>
        </w:tc>
        <w:tc>
          <w:tcPr>
            <w:tcW w:w="248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Deferred Compensation Plan</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has a deferred compensation plan for select management personnel, highly compensated employees, and members of the Company’s board of directors. Under this plan, the Company may make discretionary contributions to participants’ deferred compensation accounts; prior to 2021, the Company historically contributed 10% of base salary for participants above a specified job level. In addition, each participant has the option to defer a portion of their compensation up to a maximum of 80% of their base salary and 100% of their bonuses or director fees. Participant contributions are immediately vested. Company contributions made on or prior to December 31, 2020 will vest 50% after ten years of service and 5% each year of service thereafter. In addition, any unvested company contributions will fully vest on the earlier of: (a) the participant attaining 60 years of age; and (b) death or disability.</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94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Effective January 1, 2021, the Company amended its deferred compensation plan. Under the revision, the Company shall make matching contributions up to 5% of base salary for participants above a specified job level. The revision continues to authorize the Company to make discretionary contributions to participants’ deferred compensation accounts. In view of the opportunity to receive a 5% match, the Company reduced its discretionary contributions to 5% of base salary each year, though the Company is not obligated to make these contributions.  Under the revision, the amounts contributed by the Company, adjusted for earnings and losses thereon, will vest 20% per year over five years, subject to acceleration upon the occurrence of certain events, including the completion of at least ten years of employment above a specified job level. All amounts a participant elects to defer, adjusted for earnings and losses thereon, are 100% vested at all times.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recorded compensation expense of $1.1 million, $(5.0) million and $2.8 million for the years ended December 31, 2025, 2024 and 2023, respectively, related to its contributions to the plan. The total long-term deferred compensation liability under the deferred compensation plan was $44.9 million and $43.0 million for the years ended December 31, 2025 and 2024, respectively, related to its contributions to the plan and is included in accrued expenses for anticipated payments within the next 12 months and the remainder in other long-term liabilities.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All benefits under the deferred compensation plan are unsecured obligations of the Company. The Company has contributed assets to a “rabbi trust” for the payment of benefits under the deferred compensation plan. As the assets of the trust are available to satisfy the claims of general creditors if the Company becomes insolvent, the amounts held in the trust are accounted for as an investment on the Company’s consolidated balance sheets of $48.4 million and $44.1 million for the years ended December 31, 2025 and 2024, respectively.</w:t>
      </w:r>
    </w:p>
    <w:p>
      <w:pPr>
        <w:pStyle w:val="TextBody"/>
        <w:bidi w:val="0"/>
        <w:spacing w:before="0" w:after="0"/>
        <w:jc w:val="left"/>
        <w:rPr/>
      </w:pPr>
      <w:r>
        <w:rPr/>
      </w:r>
    </w:p>
    <w:tbl>
      <w:tblPr>
        <w:tblW w:w="3130" w:type="dxa"/>
        <w:jc w:val="left"/>
        <w:tblInd w:w="0" w:type="dxa"/>
        <w:tblLayout w:type="fixed"/>
        <w:tblCellMar>
          <w:top w:w="0" w:type="dxa"/>
          <w:left w:w="0" w:type="dxa"/>
          <w:bottom w:w="0" w:type="dxa"/>
          <w:right w:w="0" w:type="dxa"/>
        </w:tblCellMar>
      </w:tblPr>
      <w:tblGrid>
        <w:gridCol w:w="290"/>
        <w:gridCol w:w="2840"/>
      </w:tblGrid>
      <w:tr>
        <w:trPr/>
        <w:tc>
          <w:tcPr>
            <w:tcW w:w="29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15.</w:t>
            </w:r>
          </w:p>
        </w:tc>
        <w:tc>
          <w:tcPr>
            <w:tcW w:w="284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Derivative Financial Instruments</w:t>
            </w:r>
          </w:p>
        </w:tc>
      </w:tr>
    </w:tbl>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Risk Management Objective of Using Derivatives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borrowings.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Cash Flow Hedges of Interest Rate Risk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Interest rate swaps designated as cash flow hedges involve the receipt of variable-rate amounts from a counterparty in exchange for the Company making fixed-rate payments over the life of the agreements without exchange of the underlying notional amount.  During 2025, such derivatives were used to hedge the variable cash flows associated with existing variable-rate debt.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derivatives designated and that qualify as cash flow hedges of interest rate risk, the gain or loss on the derivative is recorded in Accumulated Other Comprehensive Income and subsequently reclassified into interest expense/income in the same period(s) during which the hedged transaction affects earnings. Amounts reported in accumulated other comprehensive income related to derivatives will be reclassified to interest expense/income as interest payments are made/received on the Company’s variable-rate debt. During the next twelve months, the Company estimates that an additional $0 will be reclassified as a reduction to interest expense.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December 31, 2024, the Company had four outstanding interest rate derivatives that were designated as cash flow hedges of interest rate risk with a total notional amount of $200 million. During July of 2025, the Company’s four interest rate derivatives with a total notional amount of $200 million matured, leaving no outstanding derivatives as of December 31, 2025.</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95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Fair Values of Derivative Instruments on the Balance Sheet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table below presents the fair value of the Company’s derivative financial instruments as well as their classification on the Balance Sheet:</w:t>
      </w:r>
    </w:p>
    <w:p>
      <w:pPr>
        <w:pStyle w:val="TextBody"/>
        <w:bidi w:val="0"/>
        <w:spacing w:before="0" w:after="0"/>
        <w:jc w:val="left"/>
        <w:rPr/>
      </w:pPr>
      <w:r>
        <w:rPr/>
      </w:r>
    </w:p>
    <w:tbl>
      <w:tblPr>
        <w:tblW w:w="9027" w:type="dxa"/>
        <w:jc w:val="left"/>
        <w:tblInd w:w="0" w:type="dxa"/>
        <w:tblLayout w:type="fixed"/>
        <w:tblCellMar>
          <w:top w:w="0" w:type="dxa"/>
          <w:left w:w="0" w:type="dxa"/>
          <w:bottom w:w="0" w:type="dxa"/>
          <w:right w:w="0" w:type="dxa"/>
        </w:tblCellMar>
      </w:tblPr>
      <w:tblGrid>
        <w:gridCol w:w="4205"/>
        <w:gridCol w:w="60"/>
        <w:gridCol w:w="2660"/>
        <w:gridCol w:w="60"/>
        <w:gridCol w:w="226"/>
        <w:gridCol w:w="419"/>
        <w:gridCol w:w="96"/>
        <w:gridCol w:w="96"/>
        <w:gridCol w:w="226"/>
        <w:gridCol w:w="904"/>
        <w:gridCol w:w="75"/>
      </w:tblGrid>
      <w:tr>
        <w:trPr/>
        <w:tc>
          <w:tcPr>
            <w:tcW w:w="42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7"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Fair Values of </w:t>
            </w:r>
          </w:p>
          <w:p>
            <w:pPr>
              <w:pStyle w:val="TableContents"/>
              <w:bidi w:val="0"/>
              <w:spacing w:before="0" w:after="0"/>
              <w:jc w:val="center"/>
              <w:rPr>
                <w:rFonts w:ascii="Times New Roman" w:hAnsi="Times New Roman"/>
                <w:b/>
                <w:sz w:val="20"/>
              </w:rPr>
            </w:pPr>
            <w:r>
              <w:rPr>
                <w:rFonts w:ascii="Times New Roman" w:hAnsi="Times New Roman"/>
                <w:b/>
                <w:sz w:val="20"/>
              </w:rPr>
              <w:t>Derivative Instruments</w:t>
            </w:r>
          </w:p>
        </w:tc>
        <w:tc>
          <w:tcPr>
            <w:tcW w:w="75" w:type="dxa"/>
            <w:tcBorders/>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7" w:type="dxa"/>
            <w:gridSpan w:val="6"/>
            <w:tcBorders>
              <w:bottom w:val="single" w:sz="12" w:space="0" w:color="000000"/>
            </w:tcBorders>
            <w:tcMar>
              <w:bottom w:w="28" w:type="dxa"/>
            </w:tcMar>
            <w:vAlign w:val="bottom"/>
          </w:tcPr>
          <w:p>
            <w:pPr>
              <w:pStyle w:val="TableContents"/>
              <w:bidi w:val="0"/>
              <w:spacing w:before="0" w:after="283"/>
              <w:jc w:val="center"/>
              <w:rPr>
                <w:b/>
              </w:rPr>
            </w:pPr>
            <w:r>
              <w:rPr>
                <w:b/>
              </w:rPr>
              <w:t>December 31,</w:t>
            </w:r>
          </w:p>
        </w:tc>
        <w:tc>
          <w:tcPr>
            <w:tcW w:w="75" w:type="dxa"/>
            <w:tcBorders/>
            <w:vAlign w:val="bottom"/>
          </w:tcPr>
          <w:p>
            <w:pPr>
              <w:pStyle w:val="TableContents"/>
              <w:bidi w:val="0"/>
              <w:spacing w:before="0" w:after="283"/>
              <w:jc w:val="left"/>
              <w:rPr/>
            </w:pPr>
            <w:r>
              <w:rPr/>
              <w:t> </w:t>
            </w:r>
          </w:p>
        </w:tc>
      </w:tr>
      <w:tr>
        <w:trPr/>
        <w:tc>
          <w:tcPr>
            <w:tcW w:w="420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 xml:space="preserve">Derivatives in Cash Flow Hedging Relationships: </w:t>
            </w:r>
          </w:p>
        </w:tc>
        <w:tc>
          <w:tcPr>
            <w:tcW w:w="60" w:type="dxa"/>
            <w:tcBorders/>
            <w:vAlign w:val="bottom"/>
          </w:tcPr>
          <w:p>
            <w:pPr>
              <w:pStyle w:val="TableContents"/>
              <w:bidi w:val="0"/>
              <w:spacing w:before="0" w:after="283"/>
              <w:jc w:val="left"/>
              <w:rPr/>
            </w:pPr>
            <w:r>
              <w:rPr/>
            </w:r>
          </w:p>
        </w:tc>
        <w:tc>
          <w:tcPr>
            <w:tcW w:w="2660"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Balance Sheet Location</w:t>
            </w:r>
          </w:p>
        </w:tc>
        <w:tc>
          <w:tcPr>
            <w:tcW w:w="60" w:type="dxa"/>
            <w:tcBorders/>
            <w:vAlign w:val="bottom"/>
          </w:tcPr>
          <w:p>
            <w:pPr>
              <w:pStyle w:val="TableContents"/>
              <w:bidi w:val="0"/>
              <w:spacing w:before="0" w:after="283"/>
              <w:jc w:val="left"/>
              <w:rPr/>
            </w:pPr>
            <w:r>
              <w:rPr/>
            </w:r>
          </w:p>
        </w:tc>
        <w:tc>
          <w:tcPr>
            <w:tcW w:w="64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75" w:type="dxa"/>
            <w:tcBorders/>
            <w:vAlign w:val="bottom"/>
          </w:tcPr>
          <w:p>
            <w:pPr>
              <w:pStyle w:val="TableContents"/>
              <w:bidi w:val="0"/>
              <w:spacing w:before="0" w:after="283"/>
              <w:jc w:val="left"/>
              <w:rPr/>
            </w:pPr>
            <w:r>
              <w:rPr/>
              <w:t> </w:t>
            </w:r>
          </w:p>
        </w:tc>
      </w:tr>
      <w:tr>
        <w:trPr/>
        <w:tc>
          <w:tcPr>
            <w:tcW w:w="4205"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Rate Swap - Asset</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660" w:type="dxa"/>
            <w:tcBorders/>
            <w:shd w:fill="CCEEFF" w:val="clear"/>
            <w:vAlign w:val="bottom"/>
          </w:tcPr>
          <w:p>
            <w:pPr>
              <w:pStyle w:val="TableContents"/>
              <w:bidi w:val="0"/>
              <w:spacing w:before="0" w:after="0"/>
              <w:jc w:val="center"/>
              <w:rPr/>
            </w:pPr>
            <w:r>
              <w:rPr/>
              <w:t> </w:t>
            </w:r>
            <w:r>
              <w:rPr/>
              <w:t>Prepaid expenses and other</w:t>
            </w:r>
          </w:p>
        </w:tc>
        <w:tc>
          <w:tcPr>
            <w:tcW w:w="60" w:type="dxa"/>
            <w:tcBorders/>
            <w:shd w:fill="CCEEFF" w:val="clear"/>
            <w:vAlign w:val="bottom"/>
          </w:tcPr>
          <w:p>
            <w:pPr>
              <w:pStyle w:val="TableContents"/>
              <w:bidi w:val="0"/>
              <w:spacing w:before="0" w:after="283"/>
              <w:jc w:val="right"/>
              <w:rPr/>
            </w:pPr>
            <w:r>
              <w:rPr/>
              <w:t> </w:t>
            </w:r>
          </w:p>
        </w:tc>
        <w:tc>
          <w:tcPr>
            <w:tcW w:w="226" w:type="dxa"/>
            <w:tcBorders/>
            <w:shd w:fill="CCEEFF" w:val="clear"/>
            <w:vAlign w:val="bottom"/>
          </w:tcPr>
          <w:p>
            <w:pPr>
              <w:pStyle w:val="TableContents"/>
              <w:bidi w:val="0"/>
              <w:spacing w:before="0" w:after="283"/>
              <w:jc w:val="left"/>
              <w:rPr/>
            </w:pPr>
            <w:r>
              <w:rPr/>
              <w:t>$</w:t>
            </w:r>
          </w:p>
        </w:tc>
        <w:tc>
          <w:tcPr>
            <w:tcW w:w="419" w:type="dxa"/>
            <w:tcBorders/>
            <w:shd w:fill="CCEEFF" w:val="clear"/>
            <w:vAlign w:val="bottom"/>
          </w:tcPr>
          <w:p>
            <w:pPr>
              <w:pStyle w:val="TableContents"/>
              <w:bidi w:val="0"/>
              <w:spacing w:before="0" w:after="283"/>
              <w:jc w:val="right"/>
              <w:rPr/>
            </w:pPr>
            <w:r>
              <w:rPr/>
              <w:t>—</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right"/>
              <w:rPr/>
            </w:pPr>
            <w:r>
              <w:rPr/>
              <w:t> </w:t>
            </w:r>
          </w:p>
        </w:tc>
        <w:tc>
          <w:tcPr>
            <w:tcW w:w="226" w:type="dxa"/>
            <w:tcBorders/>
            <w:shd w:fill="CCEEFF" w:val="clear"/>
            <w:vAlign w:val="bottom"/>
          </w:tcPr>
          <w:p>
            <w:pPr>
              <w:pStyle w:val="TableContents"/>
              <w:bidi w:val="0"/>
              <w:spacing w:before="0" w:after="283"/>
              <w:jc w:val="left"/>
              <w:rPr/>
            </w:pPr>
            <w:r>
              <w:rPr/>
              <w:t>$</w:t>
            </w:r>
          </w:p>
        </w:tc>
        <w:tc>
          <w:tcPr>
            <w:tcW w:w="904" w:type="dxa"/>
            <w:tcBorders/>
            <w:shd w:fill="CCEEFF" w:val="clear"/>
            <w:vAlign w:val="bottom"/>
          </w:tcPr>
          <w:p>
            <w:pPr>
              <w:pStyle w:val="TableContents"/>
              <w:bidi w:val="0"/>
              <w:spacing w:before="0" w:after="283"/>
              <w:jc w:val="right"/>
              <w:rPr/>
            </w:pPr>
            <w:r>
              <w:rPr/>
              <w:t>4,708</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Effect of Cash Flow Hedge Accounting on Accumulated Other Comprehensive Income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tables below present the effect of cash flow hedge accounting on Accumulated Other Comprehensive Income.</w:t>
      </w:r>
    </w:p>
    <w:p>
      <w:pPr>
        <w:pStyle w:val="TextBody"/>
        <w:bidi w:val="0"/>
        <w:spacing w:before="0" w:after="0"/>
        <w:jc w:val="left"/>
        <w:rPr/>
      </w:pPr>
      <w:r>
        <w:rPr/>
      </w:r>
    </w:p>
    <w:tbl>
      <w:tblPr>
        <w:tblW w:w="7145" w:type="dxa"/>
        <w:jc w:val="left"/>
        <w:tblInd w:w="0" w:type="dxa"/>
        <w:tblLayout w:type="fixed"/>
        <w:tblCellMar>
          <w:top w:w="0" w:type="dxa"/>
          <w:left w:w="0" w:type="dxa"/>
          <w:bottom w:w="0" w:type="dxa"/>
          <w:right w:w="0" w:type="dxa"/>
        </w:tblCellMar>
      </w:tblPr>
      <w:tblGrid>
        <w:gridCol w:w="4145"/>
        <w:gridCol w:w="60"/>
        <w:gridCol w:w="187"/>
        <w:gridCol w:w="503"/>
        <w:gridCol w:w="90"/>
        <w:gridCol w:w="90"/>
        <w:gridCol w:w="187"/>
        <w:gridCol w:w="728"/>
        <w:gridCol w:w="90"/>
        <w:gridCol w:w="90"/>
        <w:gridCol w:w="187"/>
        <w:gridCol w:w="728"/>
        <w:gridCol w:w="60"/>
      </w:tblGrid>
      <w:tr>
        <w:trPr/>
        <w:tc>
          <w:tcPr>
            <w:tcW w:w="4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0"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Amount of Gain</w:t>
            </w:r>
          </w:p>
          <w:p>
            <w:pPr>
              <w:pStyle w:val="TableContents"/>
              <w:bidi w:val="0"/>
              <w:spacing w:before="0" w:after="0"/>
              <w:jc w:val="center"/>
              <w:rPr>
                <w:rFonts w:ascii="Times New Roman" w:hAnsi="Times New Roman"/>
                <w:b/>
                <w:sz w:val="20"/>
              </w:rPr>
            </w:pPr>
            <w:r>
              <w:rPr>
                <w:rFonts w:ascii="Times New Roman" w:hAnsi="Times New Roman"/>
                <w:b/>
                <w:sz w:val="20"/>
              </w:rPr>
              <w:t>Recognized in OCI on Derivatives</w:t>
            </w:r>
          </w:p>
        </w:tc>
        <w:tc>
          <w:tcPr>
            <w:tcW w:w="60" w:type="dxa"/>
            <w:tcBorders/>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r>
          </w:p>
        </w:tc>
        <w:tc>
          <w:tcPr>
            <w:tcW w:w="60" w:type="dxa"/>
            <w:tcBorders/>
            <w:vAlign w:val="bottom"/>
          </w:tcPr>
          <w:p>
            <w:pPr>
              <w:pStyle w:val="TableContents"/>
              <w:bidi w:val="0"/>
              <w:spacing w:before="0" w:after="283"/>
              <w:jc w:val="left"/>
              <w:rPr/>
            </w:pPr>
            <w:r>
              <w:rPr/>
              <w:t> </w:t>
            </w:r>
          </w:p>
        </w:tc>
        <w:tc>
          <w:tcPr>
            <w:tcW w:w="2880"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Year Ended December 31,</w:t>
            </w:r>
          </w:p>
        </w:tc>
        <w:tc>
          <w:tcPr>
            <w:tcW w:w="60" w:type="dxa"/>
            <w:tcBorders/>
            <w:vAlign w:val="bottom"/>
          </w:tcPr>
          <w:p>
            <w:pPr>
              <w:pStyle w:val="TableContents"/>
              <w:bidi w:val="0"/>
              <w:spacing w:before="0" w:after="283"/>
              <w:jc w:val="left"/>
              <w:rPr/>
            </w:pPr>
            <w:r>
              <w:rPr/>
              <w:t> </w:t>
            </w:r>
          </w:p>
        </w:tc>
      </w:tr>
      <w:tr>
        <w:trPr/>
        <w:tc>
          <w:tcPr>
            <w:tcW w:w="414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Derivatives in Cash Flow Hedging Relationships:</w:t>
            </w:r>
          </w:p>
        </w:tc>
        <w:tc>
          <w:tcPr>
            <w:tcW w:w="60" w:type="dxa"/>
            <w:tcBorders/>
            <w:vAlign w:val="bottom"/>
          </w:tcPr>
          <w:p>
            <w:pPr>
              <w:pStyle w:val="TableContents"/>
              <w:bidi w:val="0"/>
              <w:spacing w:before="0" w:after="283"/>
              <w:jc w:val="left"/>
              <w:rPr/>
            </w:pPr>
            <w:r>
              <w:rPr/>
              <w:t> </w:t>
            </w:r>
          </w:p>
        </w:tc>
        <w:tc>
          <w:tcPr>
            <w:tcW w:w="6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60" w:type="dxa"/>
            <w:tcBorders/>
            <w:vAlign w:val="bottom"/>
          </w:tcPr>
          <w:p>
            <w:pPr>
              <w:pStyle w:val="TableContents"/>
              <w:bidi w:val="0"/>
              <w:spacing w:before="0" w:after="283"/>
              <w:jc w:val="left"/>
              <w:rPr/>
            </w:pPr>
            <w:r>
              <w:rPr/>
              <w:t> </w:t>
            </w:r>
          </w:p>
        </w:tc>
      </w:tr>
      <w:tr>
        <w:trPr/>
        <w:tc>
          <w:tcPr>
            <w:tcW w:w="4145" w:type="dxa"/>
            <w:tcBorders/>
            <w:shd w:fill="CCEEFF" w:val="clear"/>
            <w:vAlign w:val="bottom"/>
          </w:tcPr>
          <w:p>
            <w:pPr>
              <w:pStyle w:val="TableContents"/>
              <w:bidi w:val="0"/>
              <w:spacing w:before="0" w:after="0"/>
              <w:ind w:left="108" w:right="0" w:hanging="144"/>
              <w:jc w:val="left"/>
              <w:rPr/>
            </w:pPr>
            <w:r>
              <w:rPr/>
              <w:t> </w:t>
            </w:r>
            <w:r>
              <w:rPr>
                <w:rFonts w:ascii="Times New Roman" w:hAnsi="Times New Roman"/>
                <w:sz w:val="20"/>
              </w:rPr>
              <w:t>Interest Rate Swaps</w:t>
            </w:r>
          </w:p>
        </w:tc>
        <w:tc>
          <w:tcPr>
            <w:tcW w:w="6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2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2,297</w:t>
            </w:r>
          </w:p>
        </w:tc>
        <w:tc>
          <w:tcPr>
            <w:tcW w:w="90" w:type="dxa"/>
            <w:tcBorders/>
            <w:shd w:fill="CCEEFF" w:val="clear"/>
            <w:vAlign w:val="bottom"/>
          </w:tcPr>
          <w:p>
            <w:pPr>
              <w:pStyle w:val="TableContents"/>
              <w:bidi w:val="0"/>
              <w:spacing w:before="0" w:after="283"/>
              <w:jc w:val="left"/>
              <w:rPr>
                <w:sz w:val="4"/>
                <w:szCs w:val="4"/>
              </w:rPr>
            </w:pPr>
            <w:r>
              <w:rPr>
                <w:sz w:val="4"/>
                <w:szCs w:val="4"/>
              </w:rPr>
            </w:r>
          </w:p>
        </w:tc>
        <w:tc>
          <w:tcPr>
            <w:tcW w:w="9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2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2,910</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089" w:type="dxa"/>
        <w:jc w:val="left"/>
        <w:tblInd w:w="0" w:type="dxa"/>
        <w:tblLayout w:type="fixed"/>
        <w:tblCellMar>
          <w:top w:w="0" w:type="dxa"/>
          <w:left w:w="0" w:type="dxa"/>
          <w:bottom w:w="0" w:type="dxa"/>
          <w:right w:w="0" w:type="dxa"/>
        </w:tblCellMar>
      </w:tblPr>
      <w:tblGrid>
        <w:gridCol w:w="4145"/>
        <w:gridCol w:w="60"/>
        <w:gridCol w:w="2405"/>
        <w:gridCol w:w="60"/>
        <w:gridCol w:w="193"/>
        <w:gridCol w:w="750"/>
        <w:gridCol w:w="92"/>
        <w:gridCol w:w="92"/>
        <w:gridCol w:w="193"/>
        <w:gridCol w:w="912"/>
        <w:gridCol w:w="92"/>
        <w:gridCol w:w="92"/>
        <w:gridCol w:w="193"/>
        <w:gridCol w:w="750"/>
        <w:gridCol w:w="60"/>
      </w:tblGrid>
      <w:tr>
        <w:trPr/>
        <w:tc>
          <w:tcPr>
            <w:tcW w:w="4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59"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Amount of Gain </w:t>
            </w:r>
          </w:p>
          <w:p>
            <w:pPr>
              <w:pStyle w:val="TableContents"/>
              <w:bidi w:val="0"/>
              <w:spacing w:before="0" w:after="0"/>
              <w:jc w:val="center"/>
              <w:rPr>
                <w:rFonts w:ascii="Times New Roman" w:hAnsi="Times New Roman"/>
                <w:b/>
                <w:sz w:val="20"/>
              </w:rPr>
            </w:pPr>
            <w:r>
              <w:rPr>
                <w:rFonts w:ascii="Times New Roman" w:hAnsi="Times New Roman"/>
                <w:b/>
                <w:sz w:val="20"/>
              </w:rPr>
              <w:t>Reclassified from Accumulated</w:t>
            </w:r>
          </w:p>
          <w:p>
            <w:pPr>
              <w:pStyle w:val="TableContents"/>
              <w:bidi w:val="0"/>
              <w:spacing w:before="0" w:after="0"/>
              <w:jc w:val="center"/>
              <w:rPr>
                <w:rFonts w:ascii="Times New Roman" w:hAnsi="Times New Roman"/>
                <w:b/>
                <w:sz w:val="20"/>
              </w:rPr>
            </w:pPr>
            <w:r>
              <w:rPr>
                <w:rFonts w:ascii="Times New Roman" w:hAnsi="Times New Roman"/>
                <w:b/>
                <w:sz w:val="20"/>
              </w:rPr>
              <w:t>Other Comprehensive Loss into Income</w:t>
            </w:r>
          </w:p>
        </w:tc>
        <w:tc>
          <w:tcPr>
            <w:tcW w:w="60" w:type="dxa"/>
            <w:tcBorders/>
            <w:vAlign w:val="bottom"/>
          </w:tcPr>
          <w:p>
            <w:pPr>
              <w:pStyle w:val="TableContents"/>
              <w:bidi w:val="0"/>
              <w:spacing w:before="0" w:after="283"/>
              <w:jc w:val="left"/>
              <w:rPr/>
            </w:pPr>
            <w:r>
              <w:rPr/>
              <w:t> </w:t>
            </w:r>
          </w:p>
        </w:tc>
      </w:tr>
      <w:tr>
        <w:trPr/>
        <w:tc>
          <w:tcPr>
            <w:tcW w:w="4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center"/>
              <w:rPr/>
            </w:pPr>
            <w:r>
              <w:rPr/>
              <w:t> </w:t>
            </w:r>
          </w:p>
        </w:tc>
        <w:tc>
          <w:tcPr>
            <w:tcW w:w="3359"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Year Ended December 31,</w:t>
            </w:r>
          </w:p>
        </w:tc>
        <w:tc>
          <w:tcPr>
            <w:tcW w:w="60" w:type="dxa"/>
            <w:tcBorders/>
            <w:vAlign w:val="bottom"/>
          </w:tcPr>
          <w:p>
            <w:pPr>
              <w:pStyle w:val="TableContents"/>
              <w:bidi w:val="0"/>
              <w:spacing w:before="0" w:after="283"/>
              <w:jc w:val="left"/>
              <w:rPr/>
            </w:pPr>
            <w:r>
              <w:rPr/>
              <w:t> </w:t>
            </w:r>
          </w:p>
        </w:tc>
      </w:tr>
      <w:tr>
        <w:trPr/>
        <w:tc>
          <w:tcPr>
            <w:tcW w:w="414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Derivatives in Cash Flow Hedging Relationships:</w:t>
            </w:r>
          </w:p>
        </w:tc>
        <w:tc>
          <w:tcPr>
            <w:tcW w:w="60" w:type="dxa"/>
            <w:tcBorders/>
            <w:vAlign w:val="bottom"/>
          </w:tcPr>
          <w:p>
            <w:pPr>
              <w:pStyle w:val="TableContents"/>
              <w:bidi w:val="0"/>
              <w:spacing w:before="0" w:after="283"/>
              <w:jc w:val="left"/>
              <w:rPr/>
            </w:pPr>
            <w:r>
              <w:rPr/>
              <w:t> </w:t>
            </w:r>
          </w:p>
        </w:tc>
        <w:tc>
          <w:tcPr>
            <w:tcW w:w="2405" w:type="dxa"/>
            <w:tcBorders>
              <w:bottom w:val="single" w:sz="12" w:space="0" w:color="000000"/>
            </w:tcBorders>
            <w:tcMar>
              <w:bottom w:w="28" w:type="dxa"/>
            </w:tcMar>
            <w:vAlign w:val="bottom"/>
          </w:tcPr>
          <w:p>
            <w:pPr>
              <w:pStyle w:val="TableContents"/>
              <w:bidi w:val="0"/>
              <w:spacing w:before="0" w:after="0"/>
              <w:jc w:val="center"/>
              <w:rPr/>
            </w:pPr>
            <w:r>
              <w:rPr/>
              <w:t> </w:t>
            </w:r>
            <w:r>
              <w:rPr>
                <w:rFonts w:ascii="Times New Roman" w:hAnsi="Times New Roman"/>
                <w:b/>
                <w:sz w:val="20"/>
              </w:rPr>
              <w:t>Income Statement Location</w:t>
            </w:r>
          </w:p>
        </w:tc>
        <w:tc>
          <w:tcPr>
            <w:tcW w:w="60" w:type="dxa"/>
            <w:tcBorders/>
            <w:vAlign w:val="bottom"/>
          </w:tcPr>
          <w:p>
            <w:pPr>
              <w:pStyle w:val="TableContents"/>
              <w:bidi w:val="0"/>
              <w:spacing w:before="0" w:after="283"/>
              <w:jc w:val="left"/>
              <w:rPr/>
            </w:pPr>
            <w:r>
              <w:rPr/>
              <w:t> </w:t>
            </w:r>
          </w:p>
        </w:tc>
        <w:tc>
          <w:tcPr>
            <w:tcW w:w="94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10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94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60" w:type="dxa"/>
            <w:tcBorders/>
            <w:vAlign w:val="bottom"/>
          </w:tcPr>
          <w:p>
            <w:pPr>
              <w:pStyle w:val="TableContents"/>
              <w:bidi w:val="0"/>
              <w:spacing w:before="0" w:after="283"/>
              <w:jc w:val="left"/>
              <w:rPr/>
            </w:pPr>
            <w:r>
              <w:rPr/>
              <w:t> </w:t>
            </w:r>
          </w:p>
        </w:tc>
      </w:tr>
      <w:tr>
        <w:trPr/>
        <w:tc>
          <w:tcPr>
            <w:tcW w:w="4145" w:type="dxa"/>
            <w:tcBorders/>
            <w:shd w:fill="CCEEFF" w:val="clear"/>
            <w:vAlign w:val="bottom"/>
          </w:tcPr>
          <w:p>
            <w:pPr>
              <w:pStyle w:val="TableContents"/>
              <w:bidi w:val="0"/>
              <w:spacing w:before="0" w:after="0"/>
              <w:ind w:left="108" w:right="0" w:hanging="144"/>
              <w:jc w:val="left"/>
              <w:rPr/>
            </w:pPr>
            <w:r>
              <w:rPr/>
              <w:t> </w:t>
            </w:r>
            <w:r>
              <w:rPr>
                <w:rFonts w:ascii="Times New Roman" w:hAnsi="Times New Roman"/>
                <w:sz w:val="20"/>
              </w:rPr>
              <w:t>Interest Rate Swaps</w:t>
            </w:r>
          </w:p>
        </w:tc>
        <w:tc>
          <w:tcPr>
            <w:tcW w:w="60" w:type="dxa"/>
            <w:tcBorders/>
            <w:shd w:fill="CCEEFF" w:val="clear"/>
            <w:vAlign w:val="bottom"/>
          </w:tcPr>
          <w:p>
            <w:pPr>
              <w:pStyle w:val="TableContents"/>
              <w:bidi w:val="0"/>
              <w:spacing w:before="0" w:after="283"/>
              <w:jc w:val="left"/>
              <w:rPr/>
            </w:pPr>
            <w:r>
              <w:rPr/>
              <w:t> </w:t>
            </w:r>
          </w:p>
        </w:tc>
        <w:tc>
          <w:tcPr>
            <w:tcW w:w="2405" w:type="dxa"/>
            <w:tcBorders/>
            <w:shd w:fill="CCEEFF" w:val="clear"/>
            <w:vAlign w:val="bottom"/>
          </w:tcPr>
          <w:p>
            <w:pPr>
              <w:pStyle w:val="TableContents"/>
              <w:bidi w:val="0"/>
              <w:spacing w:before="0" w:after="0"/>
              <w:ind w:left="0" w:right="88"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60"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4,944</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1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10,278</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9,959</w:t>
            </w:r>
          </w:p>
        </w:tc>
        <w:tc>
          <w:tcPr>
            <w:tcW w:w="60"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2125" w:type="dxa"/>
        <w:jc w:val="left"/>
        <w:tblInd w:w="0" w:type="dxa"/>
        <w:tblLayout w:type="fixed"/>
        <w:tblCellMar>
          <w:top w:w="0" w:type="dxa"/>
          <w:left w:w="0" w:type="dxa"/>
          <w:bottom w:w="0" w:type="dxa"/>
          <w:right w:w="0" w:type="dxa"/>
        </w:tblCellMar>
      </w:tblPr>
      <w:tblGrid>
        <w:gridCol w:w="290"/>
        <w:gridCol w:w="1835"/>
      </w:tblGrid>
      <w:tr>
        <w:trPr/>
        <w:tc>
          <w:tcPr>
            <w:tcW w:w="29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16.</w:t>
            </w:r>
          </w:p>
        </w:tc>
        <w:tc>
          <w:tcPr>
            <w:tcW w:w="183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Segment Information</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 xml:space="preserve">The Company reports revenue from nine segments, consisting of its seven geographic Nu Skin segments—Americas, Southeast Asia/Pacific, Mainland China, Japan, Europe &amp; Africa, South Korea, and Hong Kong/Taiwan—and two Rhyz segments—Manufacturing and Rhyz Other. The Nu Skin other category includes miscellaneous corporate revenue and related adjustments. The Rhyz Other segment includes other investments by our Rhyz strategic investment arm. The Chief Executive Officer is the chief operating decision maker (“CODM”). These segments reflect the way the CODM evaluates the Company’s business performance and allocates resources. Reported revenue includes only the revenue generated by sales to external customers. </w:t>
      </w:r>
    </w:p>
    <w:p>
      <w:pPr>
        <w:pStyle w:val="TextBody"/>
        <w:bidi w:val="0"/>
        <w:spacing w:before="0" w:after="0"/>
        <w:jc w:val="both"/>
        <w:rPr/>
      </w:pPr>
      <w:r>
        <w:rPr/>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Profitability by segment as determined under US GAAP is driven primarily by the Company’s transfer pricing policies. Segment contribution, which is the Company’s segment profitability metric presented in the table below, excludes certain intercompany charges, specifically royalties, license fees, transfer pricing, discrete charges and other miscellaneous items. These charges have been included in Nu Skin other expenses. Nu Skin other expenses also include costs related to the Company’s executive and administrative offices, information technology, research and development, and marketing and supply chain functions not recorded at the segment level.</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Effective June 2023, the Company closed its Israel market. As a result the Europe, Middle East and Africa (“EMEA”) segment has been renamed Europe &amp; Africa.</w:t>
      </w:r>
    </w:p>
    <w:p>
      <w:pPr>
        <w:pStyle w:val="TextBody"/>
        <w:bidi w:val="0"/>
        <w:spacing w:before="0" w:after="0"/>
        <w:jc w:val="both"/>
        <w:rPr/>
      </w:pPr>
      <w:r>
        <w:rPr/>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accounting policies of the segments are the same as those described in Note 2, “Summary of Significant Accounting Policies.” The Company evaluates the performance of its segments based on revenue and segment contribution. Each segment records direct expenses related to its employees and its operations.</w:t>
      </w:r>
    </w:p>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96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Summarized financial information for the Company’s reportable segments is shown in the following tables. Asset information is not reviewed or included with the Company’s internal management reporting. Therefore, the Company has not disclosed asset information for each reportable segment. </w:t>
      </w:r>
    </w:p>
    <w:p>
      <w:pPr>
        <w:pStyle w:val="TextBody"/>
        <w:bidi w:val="0"/>
        <w:spacing w:before="0" w:after="0"/>
        <w:jc w:val="left"/>
        <w:rPr/>
      </w:pPr>
      <w:r>
        <w:rPr/>
      </w:r>
    </w:p>
    <w:tbl>
      <w:tblPr>
        <w:tblW w:w="10995" w:type="dxa"/>
        <w:jc w:val="left"/>
        <w:tblInd w:w="0" w:type="dxa"/>
        <w:tblLayout w:type="fixed"/>
        <w:tblCellMar>
          <w:top w:w="0" w:type="dxa"/>
          <w:left w:w="0" w:type="dxa"/>
          <w:bottom w:w="0" w:type="dxa"/>
          <w:right w:w="0" w:type="dxa"/>
        </w:tblCellMar>
      </w:tblPr>
      <w:tblGrid>
        <w:gridCol w:w="875"/>
        <w:gridCol w:w="60"/>
        <w:gridCol w:w="126"/>
        <w:gridCol w:w="704"/>
        <w:gridCol w:w="60"/>
        <w:gridCol w:w="60"/>
        <w:gridCol w:w="126"/>
        <w:gridCol w:w="704"/>
        <w:gridCol w:w="60"/>
        <w:gridCol w:w="60"/>
        <w:gridCol w:w="128"/>
        <w:gridCol w:w="717"/>
        <w:gridCol w:w="60"/>
        <w:gridCol w:w="60"/>
        <w:gridCol w:w="125"/>
        <w:gridCol w:w="695"/>
        <w:gridCol w:w="60"/>
        <w:gridCol w:w="60"/>
        <w:gridCol w:w="125"/>
        <w:gridCol w:w="695"/>
        <w:gridCol w:w="60"/>
        <w:gridCol w:w="60"/>
        <w:gridCol w:w="125"/>
        <w:gridCol w:w="695"/>
        <w:gridCol w:w="60"/>
        <w:gridCol w:w="60"/>
        <w:gridCol w:w="125"/>
        <w:gridCol w:w="695"/>
        <w:gridCol w:w="60"/>
        <w:gridCol w:w="60"/>
        <w:gridCol w:w="206"/>
        <w:gridCol w:w="1149"/>
        <w:gridCol w:w="60"/>
        <w:gridCol w:w="60"/>
        <w:gridCol w:w="125"/>
        <w:gridCol w:w="650"/>
        <w:gridCol w:w="80"/>
        <w:gridCol w:w="60"/>
        <w:gridCol w:w="125"/>
        <w:gridCol w:w="845"/>
        <w:gridCol w:w="75"/>
      </w:tblGrid>
      <w:tr>
        <w:trPr/>
        <w:tc>
          <w:tcPr>
            <w:tcW w:w="8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9985" w:type="dxa"/>
            <w:gridSpan w:val="38"/>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 2025</w:t>
            </w:r>
          </w:p>
        </w:tc>
        <w:tc>
          <w:tcPr>
            <w:tcW w:w="75" w:type="dxa"/>
            <w:tcBorders/>
            <w:vAlign w:val="bottom"/>
          </w:tcPr>
          <w:p>
            <w:pPr>
              <w:pStyle w:val="TableContents"/>
              <w:bidi w:val="0"/>
              <w:spacing w:before="0" w:after="283"/>
              <w:jc w:val="left"/>
              <w:rPr/>
            </w:pPr>
            <w:r>
              <w:rPr/>
              <w:t> </w:t>
            </w:r>
          </w:p>
        </w:tc>
      </w:tr>
      <w:tr>
        <w:trPr/>
        <w:tc>
          <w:tcPr>
            <w:tcW w:w="8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6505" w:type="dxa"/>
            <w:gridSpan w:val="2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Nu Skin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2250"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Rhyz</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8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3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Americas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3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xml:space="preserve">Southeast </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Asia/Pacific</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4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Mainland</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China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Japan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Europe &amp;</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Africa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South</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Korea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Hong Kong/</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Taiwan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35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Manufacturing</w:t>
            </w:r>
            <w:r>
              <w:rPr>
                <w:rFonts w:ascii="Times New Roman;Times;serif" w:hAnsi="Times New Roman;Times;serif"/>
                <w:b/>
                <w:position w:val="7"/>
                <w:sz w:val="16"/>
                <w:sz w:val="20"/>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Rhyz </w:t>
            </w:r>
          </w:p>
          <w:p>
            <w:pPr>
              <w:pStyle w:val="TableContents"/>
              <w:bidi w:val="0"/>
              <w:spacing w:before="0" w:after="0"/>
              <w:jc w:val="center"/>
              <w:rPr>
                <w:b/>
              </w:rPr>
            </w:pPr>
            <w:r>
              <w:rPr>
                <w:b/>
              </w:rPr>
              <w:t>Other</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Total</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Segments</w:t>
            </w:r>
          </w:p>
        </w:tc>
        <w:tc>
          <w:tcPr>
            <w:tcW w:w="75" w:type="dxa"/>
            <w:tcBorders/>
            <w:vAlign w:val="bottom"/>
          </w:tcPr>
          <w:p>
            <w:pPr>
              <w:pStyle w:val="TableContents"/>
              <w:bidi w:val="0"/>
              <w:spacing w:before="0" w:after="283"/>
              <w:jc w:val="left"/>
              <w:rPr/>
            </w:pPr>
            <w:r>
              <w:rPr/>
              <w:t> </w:t>
            </w:r>
          </w:p>
        </w:tc>
      </w:tr>
      <w:tr>
        <w:trPr/>
        <w:tc>
          <w:tcPr>
            <w:tcW w:w="87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Revenue</w:t>
            </w:r>
          </w:p>
        </w:tc>
        <w:tc>
          <w:tcPr>
            <w:tcW w:w="60" w:type="dxa"/>
            <w:tcBorders/>
            <w:shd w:fill="CCEEFF" w:val="clear"/>
            <w:vAlign w:val="bottom"/>
          </w:tcPr>
          <w:p>
            <w:pPr>
              <w:pStyle w:val="TableContents"/>
              <w:bidi w:val="0"/>
              <w:spacing w:before="0" w:after="283"/>
              <w:jc w:val="right"/>
              <w:rPr/>
            </w:pPr>
            <w:r>
              <w:rPr/>
              <w:t> </w:t>
            </w:r>
          </w:p>
        </w:tc>
        <w:tc>
          <w:tcPr>
            <w:tcW w:w="12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0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282,975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0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209,802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1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195,553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174,364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150,151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130,216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117,378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14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205,788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17,794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1,484,021</w:t>
            </w:r>
          </w:p>
        </w:tc>
        <w:tc>
          <w:tcPr>
            <w:tcW w:w="75" w:type="dxa"/>
            <w:tcBorders/>
            <w:shd w:fill="CCEEFF" w:val="clear"/>
            <w:vAlign w:val="bottom"/>
          </w:tcPr>
          <w:p>
            <w:pPr>
              <w:pStyle w:val="TableContents"/>
              <w:bidi w:val="0"/>
              <w:spacing w:before="0" w:after="283"/>
              <w:jc w:val="left"/>
              <w:rPr/>
            </w:pPr>
            <w:r>
              <w:rPr/>
              <w:t> </w:t>
            </w:r>
          </w:p>
        </w:tc>
      </w:tr>
      <w:tr>
        <w:trPr/>
        <w:tc>
          <w:tcPr>
            <w:tcW w:w="87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Cost of sales</w:t>
            </w:r>
          </w:p>
        </w:tc>
        <w:tc>
          <w:tcPr>
            <w:tcW w:w="60" w:type="dxa"/>
            <w:tcBorders/>
            <w:vAlign w:val="bottom"/>
          </w:tcPr>
          <w:p>
            <w:pPr>
              <w:pStyle w:val="TableContents"/>
              <w:bidi w:val="0"/>
              <w:spacing w:before="0" w:after="283"/>
              <w:jc w:val="right"/>
              <w:rPr/>
            </w:pPr>
            <w:r>
              <w:rPr/>
              <w:t> </w:t>
            </w:r>
          </w:p>
        </w:tc>
        <w:tc>
          <w:tcPr>
            <w:tcW w:w="126"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73,198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6"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51,044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34,631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36,067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38,947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26,402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19,892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6" w:type="dxa"/>
            <w:tcBorders/>
            <w:vAlign w:val="bottom"/>
          </w:tcPr>
          <w:p>
            <w:pPr>
              <w:pStyle w:val="TableContents"/>
              <w:bidi w:val="0"/>
              <w:spacing w:before="0" w:after="283"/>
              <w:jc w:val="left"/>
              <w:rPr/>
            </w:pPr>
            <w:r>
              <w:rPr/>
              <w:t> </w:t>
            </w:r>
          </w:p>
        </w:tc>
        <w:tc>
          <w:tcPr>
            <w:tcW w:w="114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163,707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4,697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448,585</w:t>
            </w:r>
          </w:p>
        </w:tc>
        <w:tc>
          <w:tcPr>
            <w:tcW w:w="75" w:type="dxa"/>
            <w:tcBorders/>
            <w:vAlign w:val="bottom"/>
          </w:tcPr>
          <w:p>
            <w:pPr>
              <w:pStyle w:val="TableContents"/>
              <w:bidi w:val="0"/>
              <w:spacing w:before="0" w:after="283"/>
              <w:jc w:val="left"/>
              <w:rPr/>
            </w:pPr>
            <w:r>
              <w:rPr/>
              <w:t> </w:t>
            </w:r>
          </w:p>
        </w:tc>
      </w:tr>
      <w:tr>
        <w:trPr/>
        <w:tc>
          <w:tcPr>
            <w:tcW w:w="87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Other segment items (2)</w:t>
            </w:r>
          </w:p>
        </w:tc>
        <w:tc>
          <w:tcPr>
            <w:tcW w:w="60" w:type="dxa"/>
            <w:tcBorders/>
            <w:shd w:fill="CCEEFF" w:val="clear"/>
            <w:vAlign w:val="bottom"/>
          </w:tcPr>
          <w:p>
            <w:pPr>
              <w:pStyle w:val="TableContents"/>
              <w:bidi w:val="0"/>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0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149,289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0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111,983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115,367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89,325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88,571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66,355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60,314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4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34,268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43,690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759,162</w:t>
            </w:r>
          </w:p>
        </w:tc>
        <w:tc>
          <w:tcPr>
            <w:tcW w:w="75" w:type="dxa"/>
            <w:tcBorders/>
            <w:shd w:fill="CCEEFF" w:val="clear"/>
            <w:vAlign w:val="bottom"/>
          </w:tcPr>
          <w:p>
            <w:pPr>
              <w:pStyle w:val="TableContents"/>
              <w:bidi w:val="0"/>
              <w:spacing w:before="0" w:after="283"/>
              <w:jc w:val="left"/>
              <w:rPr/>
            </w:pPr>
            <w:r>
              <w:rPr/>
              <w:t> </w:t>
            </w:r>
          </w:p>
        </w:tc>
      </w:tr>
      <w:tr>
        <w:trPr/>
        <w:tc>
          <w:tcPr>
            <w:tcW w:w="87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Segment contribution</w:t>
            </w:r>
          </w:p>
        </w:tc>
        <w:tc>
          <w:tcPr>
            <w:tcW w:w="60" w:type="dxa"/>
            <w:tcBorders/>
            <w:vAlign w:val="bottom"/>
          </w:tcPr>
          <w:p>
            <w:pPr>
              <w:pStyle w:val="TableContents"/>
              <w:bidi w:val="0"/>
              <w:spacing w:before="0" w:after="283"/>
              <w:jc w:val="right"/>
              <w:rPr/>
            </w:pPr>
            <w:r>
              <w:rPr/>
              <w:t> </w:t>
            </w:r>
          </w:p>
        </w:tc>
        <w:tc>
          <w:tcPr>
            <w:tcW w:w="126"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04"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60,488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6"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04"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46,775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17"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45,555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48,972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22,633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37,459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37,172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6"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149"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7,813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(30,593</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276,274</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1050" w:type="dxa"/>
        <w:jc w:val="left"/>
        <w:tblInd w:w="0" w:type="dxa"/>
        <w:tblLayout w:type="fixed"/>
        <w:tblCellMar>
          <w:top w:w="0" w:type="dxa"/>
          <w:left w:w="0" w:type="dxa"/>
          <w:bottom w:w="0" w:type="dxa"/>
          <w:right w:w="0" w:type="dxa"/>
        </w:tblCellMar>
      </w:tblPr>
      <w:tblGrid>
        <w:gridCol w:w="875"/>
        <w:gridCol w:w="60"/>
        <w:gridCol w:w="126"/>
        <w:gridCol w:w="704"/>
        <w:gridCol w:w="60"/>
        <w:gridCol w:w="60"/>
        <w:gridCol w:w="126"/>
        <w:gridCol w:w="704"/>
        <w:gridCol w:w="60"/>
        <w:gridCol w:w="60"/>
        <w:gridCol w:w="128"/>
        <w:gridCol w:w="717"/>
        <w:gridCol w:w="60"/>
        <w:gridCol w:w="60"/>
        <w:gridCol w:w="125"/>
        <w:gridCol w:w="695"/>
        <w:gridCol w:w="60"/>
        <w:gridCol w:w="60"/>
        <w:gridCol w:w="125"/>
        <w:gridCol w:w="695"/>
        <w:gridCol w:w="60"/>
        <w:gridCol w:w="60"/>
        <w:gridCol w:w="125"/>
        <w:gridCol w:w="695"/>
        <w:gridCol w:w="60"/>
        <w:gridCol w:w="60"/>
        <w:gridCol w:w="125"/>
        <w:gridCol w:w="695"/>
        <w:gridCol w:w="60"/>
        <w:gridCol w:w="60"/>
        <w:gridCol w:w="206"/>
        <w:gridCol w:w="1149"/>
        <w:gridCol w:w="60"/>
        <w:gridCol w:w="60"/>
        <w:gridCol w:w="125"/>
        <w:gridCol w:w="695"/>
        <w:gridCol w:w="80"/>
        <w:gridCol w:w="60"/>
        <w:gridCol w:w="126"/>
        <w:gridCol w:w="854"/>
        <w:gridCol w:w="75"/>
      </w:tblGrid>
      <w:tr>
        <w:trPr/>
        <w:tc>
          <w:tcPr>
            <w:tcW w:w="8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40" w:type="dxa"/>
            <w:gridSpan w:val="38"/>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 2024</w:t>
            </w:r>
          </w:p>
        </w:tc>
        <w:tc>
          <w:tcPr>
            <w:tcW w:w="75" w:type="dxa"/>
            <w:tcBorders/>
            <w:vAlign w:val="bottom"/>
          </w:tcPr>
          <w:p>
            <w:pPr>
              <w:pStyle w:val="TableContents"/>
              <w:bidi w:val="0"/>
              <w:spacing w:before="0" w:after="283"/>
              <w:jc w:val="left"/>
              <w:rPr/>
            </w:pPr>
            <w:r>
              <w:rPr/>
              <w:t> </w:t>
            </w:r>
          </w:p>
        </w:tc>
      </w:tr>
      <w:tr>
        <w:trPr/>
        <w:tc>
          <w:tcPr>
            <w:tcW w:w="8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6505" w:type="dxa"/>
            <w:gridSpan w:val="2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Nu Skin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2295"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Rhyz</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980" w:type="dxa"/>
            <w:gridSpan w:val="2"/>
            <w:tcBorders/>
            <w:vAlign w:val="bottom"/>
          </w:tcPr>
          <w:p>
            <w:pPr>
              <w:pStyle w:val="TableContents"/>
              <w:bidi w:val="0"/>
              <w:spacing w:before="0" w:after="283"/>
              <w:jc w:val="left"/>
              <w:rPr/>
            </w:pPr>
            <w:r>
              <w:rPr/>
            </w:r>
          </w:p>
        </w:tc>
        <w:tc>
          <w:tcPr>
            <w:tcW w:w="75" w:type="dxa"/>
            <w:tcBorders/>
            <w:vAlign w:val="bottom"/>
          </w:tcPr>
          <w:p>
            <w:pPr>
              <w:pStyle w:val="TableContents"/>
              <w:bidi w:val="0"/>
              <w:spacing w:before="0" w:after="283"/>
              <w:jc w:val="left"/>
              <w:rPr/>
            </w:pPr>
            <w:r>
              <w:rPr/>
              <w:t> </w:t>
            </w:r>
          </w:p>
        </w:tc>
      </w:tr>
      <w:tr>
        <w:trPr/>
        <w:tc>
          <w:tcPr>
            <w:tcW w:w="8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3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Americas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3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xml:space="preserve">Southeast </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Asia/Pacific</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4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Mainland</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China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Japan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Europe &amp;</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Africa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South</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Korea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Hong Kong/</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Taiwan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35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Manufacturing</w:t>
            </w:r>
            <w:r>
              <w:rPr>
                <w:rFonts w:ascii="Times New Roman;Times;serif" w:hAnsi="Times New Roman;Times;serif"/>
                <w:b/>
                <w:position w:val="7"/>
                <w:sz w:val="16"/>
                <w:sz w:val="20"/>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xml:space="preserve">Rhyz </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Other</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9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Total</w:t>
            </w:r>
          </w:p>
          <w:p>
            <w:pPr>
              <w:pStyle w:val="TableContents"/>
              <w:bidi w:val="0"/>
              <w:spacing w:before="0" w:after="0"/>
              <w:jc w:val="center"/>
              <w:rPr>
                <w:b/>
              </w:rPr>
            </w:pPr>
            <w:r>
              <w:rPr>
                <w:b/>
              </w:rPr>
              <w:t>Segments</w:t>
            </w:r>
          </w:p>
        </w:tc>
        <w:tc>
          <w:tcPr>
            <w:tcW w:w="75" w:type="dxa"/>
            <w:tcBorders/>
            <w:vAlign w:val="bottom"/>
          </w:tcPr>
          <w:p>
            <w:pPr>
              <w:pStyle w:val="TableContents"/>
              <w:bidi w:val="0"/>
              <w:spacing w:before="0" w:after="283"/>
              <w:jc w:val="left"/>
              <w:rPr/>
            </w:pPr>
            <w:r>
              <w:rPr/>
              <w:t> </w:t>
            </w:r>
          </w:p>
        </w:tc>
      </w:tr>
      <w:tr>
        <w:trPr/>
        <w:tc>
          <w:tcPr>
            <w:tcW w:w="87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Revenue</w:t>
            </w:r>
          </w:p>
        </w:tc>
        <w:tc>
          <w:tcPr>
            <w:tcW w:w="60" w:type="dxa"/>
            <w:tcBorders/>
            <w:shd w:fill="CCEEFF" w:val="clear"/>
            <w:vAlign w:val="bottom"/>
          </w:tcPr>
          <w:p>
            <w:pPr>
              <w:pStyle w:val="TableContents"/>
              <w:bidi w:val="0"/>
              <w:spacing w:before="0" w:after="283"/>
              <w:jc w:val="right"/>
              <w:rPr/>
            </w:pPr>
            <w:r>
              <w:rPr/>
              <w:t> </w:t>
            </w:r>
          </w:p>
        </w:tc>
        <w:tc>
          <w:tcPr>
            <w:tcW w:w="12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0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322,516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0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244,846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1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235,235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181,557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164,164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163,706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130,610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14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201,430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85,188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5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1,729,252</w:t>
            </w:r>
          </w:p>
        </w:tc>
        <w:tc>
          <w:tcPr>
            <w:tcW w:w="75" w:type="dxa"/>
            <w:tcBorders/>
            <w:shd w:fill="CCEEFF" w:val="clear"/>
            <w:vAlign w:val="bottom"/>
          </w:tcPr>
          <w:p>
            <w:pPr>
              <w:pStyle w:val="TableContents"/>
              <w:bidi w:val="0"/>
              <w:spacing w:before="0" w:after="283"/>
              <w:jc w:val="left"/>
              <w:rPr/>
            </w:pPr>
            <w:r>
              <w:rPr/>
              <w:t> </w:t>
            </w:r>
          </w:p>
        </w:tc>
      </w:tr>
      <w:tr>
        <w:trPr/>
        <w:tc>
          <w:tcPr>
            <w:tcW w:w="87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Cost of sales</w:t>
            </w:r>
          </w:p>
        </w:tc>
        <w:tc>
          <w:tcPr>
            <w:tcW w:w="60" w:type="dxa"/>
            <w:tcBorders/>
            <w:vAlign w:val="bottom"/>
          </w:tcPr>
          <w:p>
            <w:pPr>
              <w:pStyle w:val="TableContents"/>
              <w:bidi w:val="0"/>
              <w:spacing w:before="0" w:after="283"/>
              <w:jc w:val="right"/>
              <w:rPr/>
            </w:pPr>
            <w:r>
              <w:rPr/>
              <w:t> </w:t>
            </w:r>
          </w:p>
        </w:tc>
        <w:tc>
          <w:tcPr>
            <w:tcW w:w="126"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83,461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6"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64,950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44,059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36,852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42,766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33,600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24,932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6" w:type="dxa"/>
            <w:tcBorders/>
            <w:vAlign w:val="bottom"/>
          </w:tcPr>
          <w:p>
            <w:pPr>
              <w:pStyle w:val="TableContents"/>
              <w:bidi w:val="0"/>
              <w:spacing w:before="0" w:after="283"/>
              <w:jc w:val="left"/>
              <w:rPr/>
            </w:pPr>
            <w:r>
              <w:rPr/>
              <w:t> </w:t>
            </w:r>
          </w:p>
        </w:tc>
        <w:tc>
          <w:tcPr>
            <w:tcW w:w="114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164,145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14,532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6"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509,297</w:t>
            </w:r>
          </w:p>
        </w:tc>
        <w:tc>
          <w:tcPr>
            <w:tcW w:w="75" w:type="dxa"/>
            <w:tcBorders/>
            <w:vAlign w:val="bottom"/>
          </w:tcPr>
          <w:p>
            <w:pPr>
              <w:pStyle w:val="TableContents"/>
              <w:bidi w:val="0"/>
              <w:spacing w:before="0" w:after="283"/>
              <w:jc w:val="left"/>
              <w:rPr/>
            </w:pPr>
            <w:r>
              <w:rPr/>
              <w:t> </w:t>
            </w:r>
          </w:p>
        </w:tc>
      </w:tr>
      <w:tr>
        <w:trPr/>
        <w:tc>
          <w:tcPr>
            <w:tcW w:w="87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Other segment items (2)</w:t>
            </w:r>
          </w:p>
        </w:tc>
        <w:tc>
          <w:tcPr>
            <w:tcW w:w="60" w:type="dxa"/>
            <w:tcBorders/>
            <w:shd w:fill="CCEEFF" w:val="clear"/>
            <w:vAlign w:val="bottom"/>
          </w:tcPr>
          <w:p>
            <w:pPr>
              <w:pStyle w:val="TableContents"/>
              <w:bidi w:val="0"/>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0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171,338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0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134,666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145,086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93,907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100,389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79,360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70,989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4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35,825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116,465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948,025</w:t>
            </w:r>
          </w:p>
        </w:tc>
        <w:tc>
          <w:tcPr>
            <w:tcW w:w="75" w:type="dxa"/>
            <w:tcBorders/>
            <w:shd w:fill="CCEEFF" w:val="clear"/>
            <w:vAlign w:val="bottom"/>
          </w:tcPr>
          <w:p>
            <w:pPr>
              <w:pStyle w:val="TableContents"/>
              <w:bidi w:val="0"/>
              <w:spacing w:before="0" w:after="283"/>
              <w:jc w:val="left"/>
              <w:rPr/>
            </w:pPr>
            <w:r>
              <w:rPr/>
              <w:t> </w:t>
            </w:r>
          </w:p>
        </w:tc>
      </w:tr>
      <w:tr>
        <w:trPr/>
        <w:tc>
          <w:tcPr>
            <w:tcW w:w="87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Segment contribution</w:t>
            </w:r>
          </w:p>
        </w:tc>
        <w:tc>
          <w:tcPr>
            <w:tcW w:w="60" w:type="dxa"/>
            <w:tcBorders/>
            <w:vAlign w:val="bottom"/>
          </w:tcPr>
          <w:p>
            <w:pPr>
              <w:pStyle w:val="TableContents"/>
              <w:bidi w:val="0"/>
              <w:spacing w:before="0" w:after="283"/>
              <w:jc w:val="right"/>
              <w:rPr/>
            </w:pPr>
            <w:r>
              <w:rPr/>
              <w:t> </w:t>
            </w:r>
          </w:p>
        </w:tc>
        <w:tc>
          <w:tcPr>
            <w:tcW w:w="126"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04"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67,717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6"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04"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45,230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17"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46,090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50,798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21,009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50,746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34,689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6"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149"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(45,809</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right"/>
              <w:rPr/>
            </w:pPr>
            <w:r>
              <w:rPr/>
              <w:t> </w:t>
            </w:r>
          </w:p>
        </w:tc>
        <w:tc>
          <w:tcPr>
            <w:tcW w:w="126"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54"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271,930</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1005" w:type="dxa"/>
        <w:jc w:val="left"/>
        <w:tblInd w:w="0" w:type="dxa"/>
        <w:tblLayout w:type="fixed"/>
        <w:tblCellMar>
          <w:top w:w="0" w:type="dxa"/>
          <w:left w:w="0" w:type="dxa"/>
          <w:bottom w:w="0" w:type="dxa"/>
          <w:right w:w="0" w:type="dxa"/>
        </w:tblCellMar>
      </w:tblPr>
      <w:tblGrid>
        <w:gridCol w:w="875"/>
        <w:gridCol w:w="60"/>
        <w:gridCol w:w="126"/>
        <w:gridCol w:w="704"/>
        <w:gridCol w:w="60"/>
        <w:gridCol w:w="60"/>
        <w:gridCol w:w="126"/>
        <w:gridCol w:w="704"/>
        <w:gridCol w:w="60"/>
        <w:gridCol w:w="60"/>
        <w:gridCol w:w="128"/>
        <w:gridCol w:w="717"/>
        <w:gridCol w:w="60"/>
        <w:gridCol w:w="60"/>
        <w:gridCol w:w="125"/>
        <w:gridCol w:w="695"/>
        <w:gridCol w:w="60"/>
        <w:gridCol w:w="60"/>
        <w:gridCol w:w="125"/>
        <w:gridCol w:w="695"/>
        <w:gridCol w:w="60"/>
        <w:gridCol w:w="60"/>
        <w:gridCol w:w="125"/>
        <w:gridCol w:w="695"/>
        <w:gridCol w:w="60"/>
        <w:gridCol w:w="60"/>
        <w:gridCol w:w="125"/>
        <w:gridCol w:w="695"/>
        <w:gridCol w:w="60"/>
        <w:gridCol w:w="60"/>
        <w:gridCol w:w="206"/>
        <w:gridCol w:w="1149"/>
        <w:gridCol w:w="60"/>
        <w:gridCol w:w="60"/>
        <w:gridCol w:w="125"/>
        <w:gridCol w:w="650"/>
        <w:gridCol w:w="80"/>
        <w:gridCol w:w="60"/>
        <w:gridCol w:w="126"/>
        <w:gridCol w:w="854"/>
        <w:gridCol w:w="75"/>
      </w:tblGrid>
      <w:tr>
        <w:trPr/>
        <w:tc>
          <w:tcPr>
            <w:tcW w:w="8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95" w:type="dxa"/>
            <w:gridSpan w:val="38"/>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 2023</w:t>
            </w:r>
          </w:p>
        </w:tc>
        <w:tc>
          <w:tcPr>
            <w:tcW w:w="75" w:type="dxa"/>
            <w:tcBorders/>
            <w:vAlign w:val="bottom"/>
          </w:tcPr>
          <w:p>
            <w:pPr>
              <w:pStyle w:val="TableContents"/>
              <w:bidi w:val="0"/>
              <w:spacing w:before="0" w:after="283"/>
              <w:jc w:val="left"/>
              <w:rPr/>
            </w:pPr>
            <w:r>
              <w:rPr/>
              <w:t> </w:t>
            </w:r>
          </w:p>
        </w:tc>
      </w:tr>
      <w:tr>
        <w:trPr/>
        <w:tc>
          <w:tcPr>
            <w:tcW w:w="8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6505" w:type="dxa"/>
            <w:gridSpan w:val="2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Nu Skin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2250"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Rhyz</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980" w:type="dxa"/>
            <w:gridSpan w:val="2"/>
            <w:tcBorders/>
            <w:vAlign w:val="bottom"/>
          </w:tcPr>
          <w:p>
            <w:pPr>
              <w:pStyle w:val="TableContents"/>
              <w:bidi w:val="0"/>
              <w:spacing w:before="0" w:after="283"/>
              <w:jc w:val="left"/>
              <w:rPr/>
            </w:pPr>
            <w:r>
              <w:rPr/>
            </w:r>
          </w:p>
        </w:tc>
        <w:tc>
          <w:tcPr>
            <w:tcW w:w="75" w:type="dxa"/>
            <w:tcBorders/>
            <w:vAlign w:val="bottom"/>
          </w:tcPr>
          <w:p>
            <w:pPr>
              <w:pStyle w:val="TableContents"/>
              <w:bidi w:val="0"/>
              <w:spacing w:before="0" w:after="283"/>
              <w:jc w:val="left"/>
              <w:rPr/>
            </w:pPr>
            <w:r>
              <w:rPr/>
              <w:t> </w:t>
            </w:r>
          </w:p>
        </w:tc>
      </w:tr>
      <w:tr>
        <w:trPr/>
        <w:tc>
          <w:tcPr>
            <w:tcW w:w="8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3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Americas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3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xml:space="preserve">Southeast </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Asia/Pacific</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4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Mainland</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China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Japan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Europe &amp;</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Africa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South</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Korea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Hong Kong/</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Taiwan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35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Manufacturing</w:t>
            </w:r>
            <w:r>
              <w:rPr>
                <w:rFonts w:ascii="Times New Roman;Times;serif" w:hAnsi="Times New Roman;Times;serif"/>
                <w:b/>
                <w:position w:val="7"/>
                <w:sz w:val="16"/>
                <w:sz w:val="20"/>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xml:space="preserve">Rhyz </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Other</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9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Total</w:t>
            </w:r>
          </w:p>
          <w:p>
            <w:pPr>
              <w:pStyle w:val="TableContents"/>
              <w:bidi w:val="0"/>
              <w:spacing w:before="0" w:after="0"/>
              <w:jc w:val="center"/>
              <w:rPr>
                <w:b/>
              </w:rPr>
            </w:pPr>
            <w:r>
              <w:rPr>
                <w:b/>
              </w:rPr>
              <w:t>Segments</w:t>
            </w:r>
          </w:p>
        </w:tc>
        <w:tc>
          <w:tcPr>
            <w:tcW w:w="75" w:type="dxa"/>
            <w:tcBorders/>
            <w:vAlign w:val="bottom"/>
          </w:tcPr>
          <w:p>
            <w:pPr>
              <w:pStyle w:val="TableContents"/>
              <w:bidi w:val="0"/>
              <w:spacing w:before="0" w:after="283"/>
              <w:jc w:val="left"/>
              <w:rPr/>
            </w:pPr>
            <w:r>
              <w:rPr/>
              <w:t> </w:t>
            </w:r>
          </w:p>
        </w:tc>
      </w:tr>
      <w:tr>
        <w:trPr/>
        <w:tc>
          <w:tcPr>
            <w:tcW w:w="87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Revenue</w:t>
            </w:r>
          </w:p>
        </w:tc>
        <w:tc>
          <w:tcPr>
            <w:tcW w:w="60" w:type="dxa"/>
            <w:tcBorders/>
            <w:shd w:fill="CCEEFF" w:val="clear"/>
            <w:vAlign w:val="bottom"/>
          </w:tcPr>
          <w:p>
            <w:pPr>
              <w:pStyle w:val="TableContents"/>
              <w:bidi w:val="0"/>
              <w:spacing w:before="0" w:after="283"/>
              <w:jc w:val="right"/>
              <w:rPr/>
            </w:pPr>
            <w:r>
              <w:rPr/>
              <w:t> </w:t>
            </w:r>
          </w:p>
        </w:tc>
        <w:tc>
          <w:tcPr>
            <w:tcW w:w="12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0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398,222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0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267,206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1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298,079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207,833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192,352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236,099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153,589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14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181,395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35,214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5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1,969,989</w:t>
            </w:r>
          </w:p>
        </w:tc>
        <w:tc>
          <w:tcPr>
            <w:tcW w:w="75" w:type="dxa"/>
            <w:tcBorders/>
            <w:shd w:fill="CCEEFF" w:val="clear"/>
            <w:vAlign w:val="bottom"/>
          </w:tcPr>
          <w:p>
            <w:pPr>
              <w:pStyle w:val="TableContents"/>
              <w:bidi w:val="0"/>
              <w:spacing w:before="0" w:after="283"/>
              <w:jc w:val="left"/>
              <w:rPr/>
            </w:pPr>
            <w:r>
              <w:rPr/>
              <w:t> </w:t>
            </w:r>
          </w:p>
        </w:tc>
      </w:tr>
      <w:tr>
        <w:trPr/>
        <w:tc>
          <w:tcPr>
            <w:tcW w:w="87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Cost of sales</w:t>
            </w:r>
          </w:p>
        </w:tc>
        <w:tc>
          <w:tcPr>
            <w:tcW w:w="60" w:type="dxa"/>
            <w:tcBorders/>
            <w:vAlign w:val="bottom"/>
          </w:tcPr>
          <w:p>
            <w:pPr>
              <w:pStyle w:val="TableContents"/>
              <w:bidi w:val="0"/>
              <w:spacing w:before="0" w:after="283"/>
              <w:jc w:val="right"/>
              <w:rPr/>
            </w:pPr>
            <w:r>
              <w:rPr/>
              <w:t> </w:t>
            </w:r>
          </w:p>
        </w:tc>
        <w:tc>
          <w:tcPr>
            <w:tcW w:w="126"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104,162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6"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71,364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46,915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41,191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54,095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46,326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27,488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6" w:type="dxa"/>
            <w:tcBorders/>
            <w:vAlign w:val="bottom"/>
          </w:tcPr>
          <w:p>
            <w:pPr>
              <w:pStyle w:val="TableContents"/>
              <w:bidi w:val="0"/>
              <w:spacing w:before="0" w:after="283"/>
              <w:jc w:val="left"/>
              <w:rPr/>
            </w:pPr>
            <w:r>
              <w:rPr/>
              <w:t> </w:t>
            </w:r>
          </w:p>
        </w:tc>
        <w:tc>
          <w:tcPr>
            <w:tcW w:w="114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136,875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5,274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6"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533,690</w:t>
            </w:r>
          </w:p>
        </w:tc>
        <w:tc>
          <w:tcPr>
            <w:tcW w:w="75" w:type="dxa"/>
            <w:tcBorders/>
            <w:vAlign w:val="bottom"/>
          </w:tcPr>
          <w:p>
            <w:pPr>
              <w:pStyle w:val="TableContents"/>
              <w:bidi w:val="0"/>
              <w:spacing w:before="0" w:after="283"/>
              <w:jc w:val="left"/>
              <w:rPr/>
            </w:pPr>
            <w:r>
              <w:rPr/>
              <w:t> </w:t>
            </w:r>
          </w:p>
        </w:tc>
      </w:tr>
      <w:tr>
        <w:trPr/>
        <w:tc>
          <w:tcPr>
            <w:tcW w:w="87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Other segment items (2)</w:t>
            </w:r>
          </w:p>
        </w:tc>
        <w:tc>
          <w:tcPr>
            <w:tcW w:w="60" w:type="dxa"/>
            <w:tcBorders/>
            <w:shd w:fill="CCEEFF" w:val="clear"/>
            <w:vAlign w:val="bottom"/>
          </w:tcPr>
          <w:p>
            <w:pPr>
              <w:pStyle w:val="TableContents"/>
              <w:bidi w:val="0"/>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0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215,117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0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148,099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188,905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112,566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119,665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115,682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85,519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4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32,199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50,504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1,068,256</w:t>
            </w:r>
          </w:p>
        </w:tc>
        <w:tc>
          <w:tcPr>
            <w:tcW w:w="75" w:type="dxa"/>
            <w:tcBorders/>
            <w:shd w:fill="CCEEFF" w:val="clear"/>
            <w:vAlign w:val="bottom"/>
          </w:tcPr>
          <w:p>
            <w:pPr>
              <w:pStyle w:val="TableContents"/>
              <w:bidi w:val="0"/>
              <w:spacing w:before="0" w:after="283"/>
              <w:jc w:val="left"/>
              <w:rPr/>
            </w:pPr>
            <w:r>
              <w:rPr/>
              <w:t> </w:t>
            </w:r>
          </w:p>
        </w:tc>
      </w:tr>
      <w:tr>
        <w:trPr/>
        <w:tc>
          <w:tcPr>
            <w:tcW w:w="87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Segment contribution</w:t>
            </w:r>
          </w:p>
        </w:tc>
        <w:tc>
          <w:tcPr>
            <w:tcW w:w="60" w:type="dxa"/>
            <w:tcBorders/>
            <w:vAlign w:val="bottom"/>
          </w:tcPr>
          <w:p>
            <w:pPr>
              <w:pStyle w:val="TableContents"/>
              <w:bidi w:val="0"/>
              <w:spacing w:before="0" w:after="283"/>
              <w:jc w:val="right"/>
              <w:rPr/>
            </w:pPr>
            <w:r>
              <w:rPr/>
              <w:t> </w:t>
            </w:r>
          </w:p>
        </w:tc>
        <w:tc>
          <w:tcPr>
            <w:tcW w:w="126"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04"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78,943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6"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04"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47,743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17"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62,259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54,076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18,592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74,091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40,582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6"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149"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12,321</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(20,564</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right"/>
              <w:rPr/>
            </w:pPr>
            <w:r>
              <w:rPr/>
              <w:t> </w:t>
            </w:r>
          </w:p>
        </w:tc>
        <w:tc>
          <w:tcPr>
            <w:tcW w:w="126"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54"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368,043</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color w:val="000000"/>
              </w:rPr>
            </w:pPr>
            <w:r>
              <w:rPr>
                <w:color w:val="000000"/>
              </w:rPr>
              <w:t>(1)</w:t>
            </w:r>
          </w:p>
        </w:tc>
        <w:tc>
          <w:tcPr>
            <w:tcW w:w="9944" w:type="dxa"/>
            <w:tcBorders/>
            <w:vAlign w:val="center"/>
          </w:tcPr>
          <w:p>
            <w:pPr>
              <w:pStyle w:val="TableContents"/>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Manufacturing segment had $38.0 million, $40.8 million and $56.5 million of intersegment revenue for the years ended December 31, 2025, 2024 and 2023, respectively.  Intersegment revenue is eliminated in the consolidated financial statements and in the table above.</w:t>
            </w:r>
          </w:p>
        </w:tc>
      </w:tr>
    </w:tbl>
    <w:tbl>
      <w:tblPr>
        <w:tblW w:w="9445" w:type="dxa"/>
        <w:jc w:val="left"/>
        <w:tblInd w:w="0" w:type="dxa"/>
        <w:tblLayout w:type="fixed"/>
        <w:tblCellMar>
          <w:top w:w="0" w:type="dxa"/>
          <w:left w:w="0" w:type="dxa"/>
          <w:bottom w:w="0" w:type="dxa"/>
          <w:right w:w="0" w:type="dxa"/>
        </w:tblCellMar>
      </w:tblPr>
      <w:tblGrid>
        <w:gridCol w:w="305"/>
        <w:gridCol w:w="9140"/>
      </w:tblGrid>
      <w:tr>
        <w:trPr/>
        <w:tc>
          <w:tcPr>
            <w:tcW w:w="305" w:type="dxa"/>
            <w:tcBorders/>
            <w:vAlign w:val="center"/>
          </w:tcPr>
          <w:p>
            <w:pPr>
              <w:pStyle w:val="TableContents"/>
              <w:bidi w:val="0"/>
              <w:spacing w:before="0" w:after="283"/>
              <w:jc w:val="left"/>
              <w:rPr>
                <w:color w:val="000000"/>
              </w:rPr>
            </w:pPr>
            <w:r>
              <w:rPr>
                <w:color w:val="000000"/>
              </w:rPr>
              <w:t>(2)</w:t>
            </w:r>
          </w:p>
        </w:tc>
        <w:tc>
          <w:tcPr>
            <w:tcW w:w="9140" w:type="dxa"/>
            <w:tcBorders/>
            <w:vAlign w:val="center"/>
          </w:tcPr>
          <w:p>
            <w:pPr>
              <w:pStyle w:val="TableContents"/>
              <w:bidi w:val="0"/>
              <w:spacing w:before="0" w:after="283"/>
              <w:jc w:val="both"/>
              <w:rPr/>
            </w:pPr>
            <w:r>
              <w:rPr/>
              <w:t>Other segment items primarily include selling expenses and general and administrative expenses.</w:t>
            </w:r>
          </w:p>
        </w:tc>
      </w:tr>
    </w:tbl>
    <w:p>
      <w:pPr>
        <w:pStyle w:val="TextBody"/>
        <w:bidi w:val="0"/>
        <w:spacing w:before="0" w:after="0"/>
        <w:jc w:val="left"/>
        <w:rPr/>
      </w:pPr>
      <w:r>
        <w:rPr/>
      </w:r>
    </w:p>
    <w:tbl>
      <w:tblPr>
        <w:tblW w:w="5470" w:type="dxa"/>
        <w:jc w:val="left"/>
        <w:tblInd w:w="0" w:type="dxa"/>
        <w:tblLayout w:type="fixed"/>
        <w:tblCellMar>
          <w:top w:w="0" w:type="dxa"/>
          <w:left w:w="0" w:type="dxa"/>
          <w:bottom w:w="0" w:type="dxa"/>
          <w:right w:w="0" w:type="dxa"/>
        </w:tblCellMar>
      </w:tblPr>
      <w:tblGrid>
        <w:gridCol w:w="2165"/>
        <w:gridCol w:w="60"/>
        <w:gridCol w:w="125"/>
        <w:gridCol w:w="845"/>
        <w:gridCol w:w="60"/>
        <w:gridCol w:w="60"/>
        <w:gridCol w:w="125"/>
        <w:gridCol w:w="845"/>
        <w:gridCol w:w="60"/>
        <w:gridCol w:w="60"/>
        <w:gridCol w:w="125"/>
        <w:gridCol w:w="845"/>
        <w:gridCol w:w="95"/>
      </w:tblGrid>
      <w:tr>
        <w:trPr/>
        <w:tc>
          <w:tcPr>
            <w:tcW w:w="2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50" w:type="dxa"/>
            <w:gridSpan w:val="10"/>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xml:space="preserve">Year Ended December 31, </w:t>
            </w:r>
          </w:p>
        </w:tc>
        <w:tc>
          <w:tcPr>
            <w:tcW w:w="95" w:type="dxa"/>
            <w:tcBorders/>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9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Total Segment Revenue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1,484,021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1,729,252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1,969,989</w:t>
            </w:r>
          </w:p>
        </w:tc>
        <w:tc>
          <w:tcPr>
            <w:tcW w:w="9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Core Nu Skin Adjustment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(858</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16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Total Revenue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1,485,159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1,732,084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1,969,131</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2473" w:type="dxa"/>
        <w:jc w:val="left"/>
        <w:tblInd w:w="0" w:type="dxa"/>
        <w:tblLayout w:type="fixed"/>
        <w:tblCellMar>
          <w:top w:w="0" w:type="dxa"/>
          <w:left w:w="0" w:type="dxa"/>
          <w:bottom w:w="0" w:type="dxa"/>
          <w:right w:w="0" w:type="dxa"/>
        </w:tblCellMar>
      </w:tblPr>
      <w:tblGrid>
        <w:gridCol w:w="75"/>
        <w:gridCol w:w="60"/>
        <w:gridCol w:w="64"/>
        <w:gridCol w:w="605"/>
        <w:gridCol w:w="64"/>
        <w:gridCol w:w="64"/>
        <w:gridCol w:w="64"/>
        <w:gridCol w:w="605"/>
        <w:gridCol w:w="64"/>
        <w:gridCol w:w="64"/>
        <w:gridCol w:w="64"/>
        <w:gridCol w:w="605"/>
        <w:gridCol w:w="75"/>
      </w:tblGrid>
      <w:tr>
        <w:trPr/>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63" w:type="dxa"/>
            <w:gridSpan w:val="10"/>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xml:space="preserve">Year Ended December 31, </w:t>
            </w:r>
          </w:p>
        </w:tc>
        <w:tc>
          <w:tcPr>
            <w:tcW w:w="75" w:type="dxa"/>
            <w:tcBorders/>
            <w:vAlign w:val="bottom"/>
          </w:tcPr>
          <w:p>
            <w:pPr>
              <w:pStyle w:val="TableContents"/>
              <w:bidi w:val="0"/>
              <w:spacing w:before="0" w:after="283"/>
              <w:jc w:val="left"/>
              <w:rPr/>
            </w:pPr>
            <w:r>
              <w:rPr/>
              <w:t> </w:t>
            </w:r>
          </w:p>
        </w:tc>
      </w:tr>
      <w:tr>
        <w:trPr/>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4" w:type="dxa"/>
            <w:tcBorders>
              <w:bottom w:val="single" w:sz="12" w:space="0" w:color="000000"/>
            </w:tcBorders>
            <w:tcMar>
              <w:bottom w:w="28" w:type="dxa"/>
            </w:tcMar>
            <w:vAlign w:val="bottom"/>
          </w:tcPr>
          <w:p>
            <w:pPr>
              <w:pStyle w:val="TableContents"/>
              <w:bidi w:val="0"/>
              <w:spacing w:before="0" w:after="283"/>
              <w:jc w:val="left"/>
              <w:rPr/>
            </w:pPr>
            <w:r>
              <w:rPr/>
              <w:t> </w:t>
            </w:r>
          </w:p>
        </w:tc>
        <w:tc>
          <w:tcPr>
            <w:tcW w:w="605" w:type="dxa"/>
            <w:tcBorders>
              <w:bottom w:val="single" w:sz="12" w:space="0" w:color="000000"/>
            </w:tcBorders>
            <w:tcMar>
              <w:bottom w:w="28" w:type="dxa"/>
            </w:tcMar>
            <w:vAlign w:val="center"/>
          </w:tcPr>
          <w:p>
            <w:pPr>
              <w:pStyle w:val="TableContents"/>
              <w:bidi w:val="0"/>
              <w:spacing w:before="0" w:after="283"/>
              <w:jc w:val="center"/>
              <w:rPr/>
            </w:pPr>
            <w:r>
              <w:rPr/>
              <w:t> </w:t>
            </w:r>
            <w:r>
              <w:rPr>
                <w:b/>
              </w:rPr>
              <w:t>2025</w:t>
            </w:r>
          </w:p>
        </w:tc>
        <w:tc>
          <w:tcPr>
            <w:tcW w:w="64" w:type="dxa"/>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center"/>
              <w:rPr/>
            </w:pPr>
            <w:r>
              <w:rPr/>
              <w:t> </w:t>
            </w:r>
          </w:p>
        </w:tc>
        <w:tc>
          <w:tcPr>
            <w:tcW w:w="64" w:type="dxa"/>
            <w:tcBorders>
              <w:bottom w:val="single" w:sz="12" w:space="0" w:color="000000"/>
            </w:tcBorders>
            <w:tcMar>
              <w:bottom w:w="28" w:type="dxa"/>
            </w:tcMar>
            <w:vAlign w:val="center"/>
          </w:tcPr>
          <w:p>
            <w:pPr>
              <w:pStyle w:val="TableContents"/>
              <w:bidi w:val="0"/>
              <w:spacing w:before="0" w:after="283"/>
              <w:jc w:val="center"/>
              <w:rPr/>
            </w:pPr>
            <w:r>
              <w:rPr/>
              <w:t> </w:t>
            </w:r>
          </w:p>
        </w:tc>
        <w:tc>
          <w:tcPr>
            <w:tcW w:w="605"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2024 </w:t>
            </w:r>
          </w:p>
        </w:tc>
        <w:tc>
          <w:tcPr>
            <w:tcW w:w="64" w:type="dxa"/>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center"/>
              <w:rPr/>
            </w:pPr>
            <w:r>
              <w:rPr/>
              <w:t> </w:t>
            </w:r>
          </w:p>
        </w:tc>
        <w:tc>
          <w:tcPr>
            <w:tcW w:w="64" w:type="dxa"/>
            <w:tcBorders>
              <w:bottom w:val="single" w:sz="12" w:space="0" w:color="000000"/>
            </w:tcBorders>
            <w:tcMar>
              <w:bottom w:w="28" w:type="dxa"/>
            </w:tcMar>
            <w:vAlign w:val="center"/>
          </w:tcPr>
          <w:p>
            <w:pPr>
              <w:pStyle w:val="TableContents"/>
              <w:bidi w:val="0"/>
              <w:spacing w:before="0" w:after="283"/>
              <w:jc w:val="center"/>
              <w:rPr/>
            </w:pPr>
            <w:r>
              <w:rPr/>
              <w:t> </w:t>
            </w:r>
          </w:p>
        </w:tc>
        <w:tc>
          <w:tcPr>
            <w:tcW w:w="605"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2023 </w:t>
            </w:r>
          </w:p>
        </w:tc>
        <w:tc>
          <w:tcPr>
            <w:tcW w:w="75" w:type="dxa"/>
            <w:tcBorders/>
            <w:vAlign w:val="bottom"/>
          </w:tcPr>
          <w:p>
            <w:pPr>
              <w:pStyle w:val="TableContents"/>
              <w:bidi w:val="0"/>
              <w:spacing w:before="0" w:after="283"/>
              <w:jc w:val="left"/>
              <w:rPr/>
            </w:pPr>
            <w:r>
              <w:rPr/>
              <w:t> </w:t>
            </w:r>
          </w:p>
        </w:tc>
      </w:tr>
    </w:tbl>
    <w:tbl>
      <w:tblPr>
        <w:tblW w:w="7040" w:type="dxa"/>
        <w:jc w:val="left"/>
        <w:tblInd w:w="0" w:type="dxa"/>
        <w:tblLayout w:type="fixed"/>
        <w:tblCellMar>
          <w:top w:w="0" w:type="dxa"/>
          <w:left w:w="0" w:type="dxa"/>
          <w:bottom w:w="0" w:type="dxa"/>
          <w:right w:w="0" w:type="dxa"/>
        </w:tblCellMar>
      </w:tblPr>
      <w:tblGrid>
        <w:gridCol w:w="3920"/>
        <w:gridCol w:w="60"/>
        <w:gridCol w:w="125"/>
        <w:gridCol w:w="800"/>
        <w:gridCol w:w="80"/>
        <w:gridCol w:w="60"/>
        <w:gridCol w:w="125"/>
        <w:gridCol w:w="755"/>
        <w:gridCol w:w="80"/>
        <w:gridCol w:w="60"/>
        <w:gridCol w:w="125"/>
        <w:gridCol w:w="755"/>
        <w:gridCol w:w="95"/>
      </w:tblGrid>
      <w:tr>
        <w:trPr/>
        <w:tc>
          <w:tcPr>
            <w:tcW w:w="392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Total Segment Contribution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0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276,274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271,930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368,043</w:t>
            </w:r>
          </w:p>
        </w:tc>
        <w:tc>
          <w:tcPr>
            <w:tcW w:w="95" w:type="dxa"/>
            <w:tcBorders/>
            <w:shd w:fill="CCEEFF" w:val="clear"/>
            <w:vAlign w:val="bottom"/>
          </w:tcPr>
          <w:p>
            <w:pPr>
              <w:pStyle w:val="TableContents"/>
              <w:bidi w:val="0"/>
              <w:spacing w:before="0" w:after="283"/>
              <w:jc w:val="left"/>
              <w:rPr/>
            </w:pPr>
            <w:r>
              <w:rPr/>
              <w:t> </w:t>
            </w:r>
          </w:p>
        </w:tc>
      </w:tr>
      <w:tr>
        <w:trPr/>
        <w:tc>
          <w:tcPr>
            <w:tcW w:w="392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Corporate and Other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(210,511</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(423,515</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(319,775</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92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Operating income (loss)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65,763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(151,585</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48,268</w:t>
            </w:r>
          </w:p>
        </w:tc>
        <w:tc>
          <w:tcPr>
            <w:tcW w:w="95" w:type="dxa"/>
            <w:tcBorders/>
            <w:shd w:fill="CCEEFF" w:val="clear"/>
            <w:vAlign w:val="bottom"/>
          </w:tcPr>
          <w:p>
            <w:pPr>
              <w:pStyle w:val="TableContents"/>
              <w:bidi w:val="0"/>
              <w:spacing w:before="0" w:after="283"/>
              <w:jc w:val="left"/>
              <w:rPr/>
            </w:pPr>
            <w:r>
              <w:rPr/>
              <w:t> </w:t>
            </w:r>
          </w:p>
        </w:tc>
      </w:tr>
      <w:tr>
        <w:trPr/>
        <w:tc>
          <w:tcPr>
            <w:tcW w:w="392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Interest expense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13,948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26,409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25,560</w:t>
            </w:r>
          </w:p>
        </w:tc>
        <w:tc>
          <w:tcPr>
            <w:tcW w:w="95" w:type="dxa"/>
            <w:tcBorders/>
            <w:vAlign w:val="bottom"/>
          </w:tcPr>
          <w:p>
            <w:pPr>
              <w:pStyle w:val="TableContents"/>
              <w:bidi w:val="0"/>
              <w:spacing w:before="0" w:after="283"/>
              <w:jc w:val="left"/>
              <w:rPr/>
            </w:pPr>
            <w:r>
              <w:rPr/>
              <w:t> </w:t>
            </w:r>
          </w:p>
        </w:tc>
      </w:tr>
      <w:tr>
        <w:trPr/>
        <w:tc>
          <w:tcPr>
            <w:tcW w:w="3920" w:type="dxa"/>
            <w:tcBorders/>
            <w:shd w:fill="CCEEFF" w:val="clear"/>
            <w:vAlign w:val="bottom"/>
          </w:tcPr>
          <w:p>
            <w:pPr>
              <w:pStyle w:val="TableContents"/>
              <w:bidi w:val="0"/>
              <w:spacing w:before="0" w:after="283"/>
              <w:jc w:val="left"/>
              <w:rPr/>
            </w:pPr>
            <w:r>
              <w:rPr/>
              <w:t>Gain on sale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176,162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392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Other income (expense), net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(31,780</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2,943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3,870</w:t>
            </w:r>
          </w:p>
        </w:tc>
        <w:tc>
          <w:tcPr>
            <w:tcW w:w="95" w:type="dxa"/>
            <w:tcBorders/>
            <w:vAlign w:val="bottom"/>
          </w:tcPr>
          <w:p>
            <w:pPr>
              <w:pStyle w:val="TableContents"/>
              <w:bidi w:val="0"/>
              <w:spacing w:before="0" w:after="283"/>
              <w:jc w:val="left"/>
              <w:rPr/>
            </w:pPr>
            <w:r>
              <w:rPr/>
              <w:t> </w:t>
            </w:r>
          </w:p>
        </w:tc>
      </w:tr>
      <w:tr>
        <w:trPr/>
        <w:tc>
          <w:tcPr>
            <w:tcW w:w="392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Income (loss) before provision for income taxes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196,197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(175,051</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26,578</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97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b w:val="false"/>
          <w:i/>
          <w:caps w:val="false"/>
          <w:smallCaps w:val="false"/>
          <w:color w:val="000000"/>
          <w:sz w:val="20"/>
          <w:shd w:fill="FFFFFF" w:val="clear"/>
        </w:rPr>
      </w:pPr>
      <w:r>
        <w:rPr>
          <w:rFonts w:ascii="Times New Roman" w:hAnsi="Times New Roman"/>
          <w:b w:val="false"/>
          <w:i/>
          <w:caps w:val="false"/>
          <w:smallCaps w:val="false"/>
          <w:color w:val="000000"/>
          <w:sz w:val="20"/>
          <w:shd w:fill="FFFFFF" w:val="clear"/>
        </w:rPr>
        <w:t>Depreciation and Amortization</w:t>
      </w:r>
    </w:p>
    <w:p>
      <w:pPr>
        <w:pStyle w:val="TextBody"/>
        <w:bidi w:val="0"/>
        <w:spacing w:before="0" w:after="0"/>
        <w:jc w:val="left"/>
        <w:rPr/>
      </w:pPr>
      <w:r>
        <w:rPr/>
      </w:r>
    </w:p>
    <w:tbl>
      <w:tblPr>
        <w:tblW w:w="5408" w:type="dxa"/>
        <w:jc w:val="left"/>
        <w:tblInd w:w="0" w:type="dxa"/>
        <w:tblLayout w:type="fixed"/>
        <w:tblCellMar>
          <w:top w:w="0" w:type="dxa"/>
          <w:left w:w="0" w:type="dxa"/>
          <w:bottom w:w="0" w:type="dxa"/>
          <w:right w:w="0" w:type="dxa"/>
        </w:tblCellMar>
      </w:tblPr>
      <w:tblGrid>
        <w:gridCol w:w="2555"/>
        <w:gridCol w:w="60"/>
        <w:gridCol w:w="141"/>
        <w:gridCol w:w="685"/>
        <w:gridCol w:w="60"/>
        <w:gridCol w:w="60"/>
        <w:gridCol w:w="141"/>
        <w:gridCol w:w="685"/>
        <w:gridCol w:w="60"/>
        <w:gridCol w:w="60"/>
        <w:gridCol w:w="141"/>
        <w:gridCol w:w="685"/>
        <w:gridCol w:w="75"/>
      </w:tblGrid>
      <w:tr>
        <w:trPr/>
        <w:tc>
          <w:tcPr>
            <w:tcW w:w="25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18"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w:t>
            </w:r>
          </w:p>
        </w:tc>
        <w:tc>
          <w:tcPr>
            <w:tcW w:w="75" w:type="dxa"/>
            <w:tcBorders/>
            <w:vAlign w:val="bottom"/>
          </w:tcPr>
          <w:p>
            <w:pPr>
              <w:pStyle w:val="TableContents"/>
              <w:bidi w:val="0"/>
              <w:spacing w:before="0" w:after="283"/>
              <w:jc w:val="left"/>
              <w:rPr/>
            </w:pPr>
            <w:r>
              <w:rPr/>
              <w:t> </w:t>
            </w:r>
          </w:p>
        </w:tc>
      </w:tr>
      <w:tr>
        <w:trPr/>
        <w:tc>
          <w:tcPr>
            <w:tcW w:w="2555" w:type="dxa"/>
            <w:tcBorders/>
            <w:vAlign w:val="bottom"/>
          </w:tcPr>
          <w:p>
            <w:pPr>
              <w:pStyle w:val="TableContents"/>
              <w:bidi w:val="0"/>
              <w:spacing w:before="0" w:after="0"/>
              <w:ind w:left="144" w:right="0" w:hanging="144"/>
              <w:jc w:val="left"/>
              <w:rPr>
                <w:color w:val="000000"/>
              </w:rPr>
            </w:pPr>
            <w:r>
              <w:rPr>
                <w:color w:val="000000"/>
              </w:rPr>
              <w:t>(U.S. dollars in thousands)</w:t>
            </w:r>
          </w:p>
        </w:tc>
        <w:tc>
          <w:tcPr>
            <w:tcW w:w="60" w:type="dxa"/>
            <w:tcBorders/>
            <w:vAlign w:val="bottom"/>
          </w:tcPr>
          <w:p>
            <w:pPr>
              <w:pStyle w:val="TableContents"/>
              <w:bidi w:val="0"/>
              <w:spacing w:before="0" w:after="283"/>
              <w:jc w:val="left"/>
              <w:rPr/>
            </w:pPr>
            <w:r>
              <w:rPr/>
              <w:t> </w:t>
            </w:r>
          </w:p>
        </w:tc>
        <w:tc>
          <w:tcPr>
            <w:tcW w:w="82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75" w:type="dxa"/>
            <w:tcBorders/>
            <w:vAlign w:val="bottom"/>
          </w:tcPr>
          <w:p>
            <w:pPr>
              <w:pStyle w:val="TableContents"/>
              <w:bidi w:val="0"/>
              <w:spacing w:before="0" w:after="283"/>
              <w:jc w:val="left"/>
              <w:rPr/>
            </w:pPr>
            <w:r>
              <w:rPr/>
              <w:t> </w:t>
            </w:r>
          </w:p>
        </w:tc>
      </w:tr>
      <w:tr>
        <w:trPr/>
        <w:tc>
          <w:tcPr>
            <w:tcW w:w="2555" w:type="dxa"/>
            <w:tcBorders/>
            <w:vAlign w:val="bottom"/>
          </w:tcPr>
          <w:p>
            <w:pPr>
              <w:pStyle w:val="TableContents"/>
              <w:bidi w:val="0"/>
              <w:spacing w:before="0" w:after="0"/>
              <w:ind w:left="144" w:right="0" w:hanging="144"/>
              <w:jc w:val="left"/>
              <w:rPr>
                <w:i/>
                <w:color w:val="000000"/>
              </w:rPr>
            </w:pPr>
            <w:r>
              <w:rPr>
                <w:i/>
                <w:color w:val="000000"/>
              </w:rPr>
              <w:t>Nu Skin</w:t>
            </w:r>
          </w:p>
        </w:tc>
        <w:tc>
          <w:tcPr>
            <w:tcW w:w="60" w:type="dxa"/>
            <w:tcBorders/>
            <w:vAlign w:val="bottom"/>
          </w:tcPr>
          <w:p>
            <w:pPr>
              <w:pStyle w:val="TableContents"/>
              <w:bidi w:val="0"/>
              <w:spacing w:before="0" w:after="283"/>
              <w:jc w:val="left"/>
              <w:rPr/>
            </w:pPr>
            <w:r>
              <w:rPr/>
              <w:t> </w:t>
            </w:r>
          </w:p>
        </w:tc>
        <w:tc>
          <w:tcPr>
            <w:tcW w:w="82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6"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555" w:type="dxa"/>
            <w:tcBorders/>
            <w:shd w:fill="CCEEFF" w:val="clear"/>
            <w:vAlign w:val="bottom"/>
          </w:tcPr>
          <w:p>
            <w:pPr>
              <w:pStyle w:val="TableContents"/>
              <w:bidi w:val="0"/>
              <w:spacing w:before="0" w:after="0"/>
              <w:ind w:left="720" w:right="0" w:hanging="540"/>
              <w:jc w:val="left"/>
              <w:rPr>
                <w:color w:val="000000"/>
              </w:rPr>
            </w:pPr>
            <w:r>
              <w:rPr>
                <w:color w:val="000000"/>
              </w:rPr>
              <w:t>Americas</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0"/>
              <w:jc w:val="left"/>
              <w:rPr>
                <w:color w:val="000000"/>
              </w:rPr>
            </w:pPr>
            <w:r>
              <w:rPr>
                <w:color w:val="000000"/>
              </w:rPr>
              <w:t>$</w:t>
            </w:r>
          </w:p>
        </w:tc>
        <w:tc>
          <w:tcPr>
            <w:tcW w:w="685" w:type="dxa"/>
            <w:tcBorders/>
            <w:shd w:fill="CCEEFF" w:val="clear"/>
            <w:vAlign w:val="bottom"/>
          </w:tcPr>
          <w:p>
            <w:pPr>
              <w:pStyle w:val="TableContents"/>
              <w:bidi w:val="0"/>
              <w:spacing w:before="0" w:after="0"/>
              <w:jc w:val="right"/>
              <w:rPr>
                <w:color w:val="000000"/>
              </w:rPr>
            </w:pPr>
            <w:r>
              <w:rPr>
                <w:color w:val="000000"/>
              </w:rPr>
              <w:t>177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0"/>
              <w:jc w:val="left"/>
              <w:rPr>
                <w:color w:val="000000"/>
              </w:rPr>
            </w:pPr>
            <w:r>
              <w:rPr>
                <w:color w:val="000000"/>
              </w:rPr>
              <w:t>$</w:t>
            </w:r>
          </w:p>
        </w:tc>
        <w:tc>
          <w:tcPr>
            <w:tcW w:w="685" w:type="dxa"/>
            <w:tcBorders/>
            <w:shd w:fill="CCEEFF" w:val="clear"/>
            <w:vAlign w:val="bottom"/>
          </w:tcPr>
          <w:p>
            <w:pPr>
              <w:pStyle w:val="TableContents"/>
              <w:bidi w:val="0"/>
              <w:spacing w:before="0" w:after="0"/>
              <w:jc w:val="right"/>
              <w:rPr>
                <w:color w:val="000000"/>
              </w:rPr>
            </w:pPr>
            <w:r>
              <w:rPr>
                <w:color w:val="000000"/>
              </w:rPr>
              <w:t>369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0"/>
              <w:jc w:val="left"/>
              <w:rPr>
                <w:color w:val="000000"/>
              </w:rPr>
            </w:pPr>
            <w:r>
              <w:rPr>
                <w:color w:val="000000"/>
              </w:rPr>
              <w:t>$</w:t>
            </w:r>
          </w:p>
        </w:tc>
        <w:tc>
          <w:tcPr>
            <w:tcW w:w="685" w:type="dxa"/>
            <w:tcBorders/>
            <w:shd w:fill="CCEEFF" w:val="clear"/>
            <w:vAlign w:val="bottom"/>
          </w:tcPr>
          <w:p>
            <w:pPr>
              <w:pStyle w:val="TableContents"/>
              <w:bidi w:val="0"/>
              <w:spacing w:before="0" w:after="0"/>
              <w:jc w:val="right"/>
              <w:rPr>
                <w:color w:val="000000"/>
              </w:rPr>
            </w:pPr>
            <w:r>
              <w:rPr>
                <w:color w:val="000000"/>
              </w:rPr>
              <w:t>449</w:t>
            </w:r>
          </w:p>
        </w:tc>
        <w:tc>
          <w:tcPr>
            <w:tcW w:w="75" w:type="dxa"/>
            <w:tcBorders/>
            <w:shd w:fill="CCEEFF" w:val="clear"/>
            <w:vAlign w:val="bottom"/>
          </w:tcPr>
          <w:p>
            <w:pPr>
              <w:pStyle w:val="TableContents"/>
              <w:bidi w:val="0"/>
              <w:spacing w:before="0" w:after="283"/>
              <w:jc w:val="left"/>
              <w:rPr/>
            </w:pPr>
            <w:r>
              <w:rPr/>
              <w:t> </w:t>
            </w:r>
          </w:p>
        </w:tc>
      </w:tr>
      <w:tr>
        <w:trPr/>
        <w:tc>
          <w:tcPr>
            <w:tcW w:w="2555" w:type="dxa"/>
            <w:tcBorders/>
            <w:vAlign w:val="bottom"/>
          </w:tcPr>
          <w:p>
            <w:pPr>
              <w:pStyle w:val="TableContents"/>
              <w:bidi w:val="0"/>
              <w:spacing w:before="0" w:after="0"/>
              <w:ind w:left="720" w:right="0" w:hanging="540"/>
              <w:jc w:val="left"/>
              <w:rPr>
                <w:color w:val="000000"/>
              </w:rPr>
            </w:pPr>
            <w:r>
              <w:rPr>
                <w:color w:val="000000"/>
              </w:rPr>
              <w:t>Southeast Asia/Pacific</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0"/>
              <w:jc w:val="right"/>
              <w:rPr>
                <w:color w:val="000000"/>
              </w:rPr>
            </w:pPr>
            <w:r>
              <w:rPr>
                <w:color w:val="000000"/>
              </w:rPr>
              <w:t>758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0"/>
              <w:jc w:val="right"/>
              <w:rPr>
                <w:color w:val="000000"/>
              </w:rPr>
            </w:pPr>
            <w:r>
              <w:rPr>
                <w:color w:val="000000"/>
              </w:rPr>
              <w:t>838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0"/>
              <w:jc w:val="right"/>
              <w:rPr>
                <w:color w:val="000000"/>
              </w:rPr>
            </w:pPr>
            <w:r>
              <w:rPr>
                <w:color w:val="000000"/>
              </w:rPr>
              <w:t>1,062</w:t>
            </w:r>
          </w:p>
        </w:tc>
        <w:tc>
          <w:tcPr>
            <w:tcW w:w="75" w:type="dxa"/>
            <w:tcBorders/>
            <w:vAlign w:val="bottom"/>
          </w:tcPr>
          <w:p>
            <w:pPr>
              <w:pStyle w:val="TableContents"/>
              <w:bidi w:val="0"/>
              <w:spacing w:before="0" w:after="283"/>
              <w:jc w:val="left"/>
              <w:rPr/>
            </w:pPr>
            <w:r>
              <w:rPr/>
              <w:t> </w:t>
            </w:r>
          </w:p>
        </w:tc>
      </w:tr>
      <w:tr>
        <w:trPr/>
        <w:tc>
          <w:tcPr>
            <w:tcW w:w="2555" w:type="dxa"/>
            <w:tcBorders/>
            <w:shd w:fill="CCEEFF" w:val="clear"/>
            <w:vAlign w:val="bottom"/>
          </w:tcPr>
          <w:p>
            <w:pPr>
              <w:pStyle w:val="TableContents"/>
              <w:bidi w:val="0"/>
              <w:spacing w:before="0" w:after="0"/>
              <w:ind w:left="720" w:right="0" w:hanging="540"/>
              <w:jc w:val="left"/>
              <w:rPr>
                <w:color w:val="000000"/>
              </w:rPr>
            </w:pPr>
            <w:r>
              <w:rPr>
                <w:color w:val="000000"/>
              </w:rPr>
              <w:t>Mainland China</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0"/>
              <w:jc w:val="right"/>
              <w:rPr>
                <w:color w:val="000000"/>
              </w:rPr>
            </w:pPr>
            <w:r>
              <w:rPr>
                <w:color w:val="000000"/>
              </w:rPr>
              <w:t>7,956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0"/>
              <w:jc w:val="right"/>
              <w:rPr>
                <w:color w:val="000000"/>
              </w:rPr>
            </w:pPr>
            <w:r>
              <w:rPr>
                <w:color w:val="000000"/>
              </w:rPr>
              <w:t>10,644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0"/>
              <w:jc w:val="right"/>
              <w:rPr>
                <w:color w:val="000000"/>
              </w:rPr>
            </w:pPr>
            <w:r>
              <w:rPr>
                <w:color w:val="000000"/>
              </w:rPr>
              <w:t>11,048</w:t>
            </w:r>
          </w:p>
        </w:tc>
        <w:tc>
          <w:tcPr>
            <w:tcW w:w="75" w:type="dxa"/>
            <w:tcBorders/>
            <w:shd w:fill="CCEEFF" w:val="clear"/>
            <w:vAlign w:val="bottom"/>
          </w:tcPr>
          <w:p>
            <w:pPr>
              <w:pStyle w:val="TableContents"/>
              <w:bidi w:val="0"/>
              <w:spacing w:before="0" w:after="283"/>
              <w:jc w:val="left"/>
              <w:rPr/>
            </w:pPr>
            <w:r>
              <w:rPr/>
              <w:t> </w:t>
            </w:r>
          </w:p>
        </w:tc>
      </w:tr>
      <w:tr>
        <w:trPr/>
        <w:tc>
          <w:tcPr>
            <w:tcW w:w="2555" w:type="dxa"/>
            <w:tcBorders/>
            <w:vAlign w:val="bottom"/>
          </w:tcPr>
          <w:p>
            <w:pPr>
              <w:pStyle w:val="TableContents"/>
              <w:bidi w:val="0"/>
              <w:spacing w:before="0" w:after="0"/>
              <w:ind w:left="720" w:right="0" w:hanging="540"/>
              <w:jc w:val="left"/>
              <w:rPr>
                <w:color w:val="000000"/>
              </w:rPr>
            </w:pPr>
            <w:r>
              <w:rPr>
                <w:color w:val="000000"/>
              </w:rPr>
              <w:t>Japan</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0"/>
              <w:jc w:val="right"/>
              <w:rPr>
                <w:color w:val="000000"/>
              </w:rPr>
            </w:pPr>
            <w:r>
              <w:rPr>
                <w:color w:val="000000"/>
              </w:rPr>
              <w:t>220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0"/>
              <w:jc w:val="right"/>
              <w:rPr>
                <w:color w:val="000000"/>
              </w:rPr>
            </w:pPr>
            <w:r>
              <w:rPr>
                <w:color w:val="000000"/>
              </w:rPr>
              <w:t>278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0"/>
              <w:jc w:val="right"/>
              <w:rPr>
                <w:color w:val="000000"/>
              </w:rPr>
            </w:pPr>
            <w:r>
              <w:rPr>
                <w:color w:val="000000"/>
              </w:rPr>
              <w:t>1,327</w:t>
            </w:r>
          </w:p>
        </w:tc>
        <w:tc>
          <w:tcPr>
            <w:tcW w:w="75" w:type="dxa"/>
            <w:tcBorders/>
            <w:vAlign w:val="bottom"/>
          </w:tcPr>
          <w:p>
            <w:pPr>
              <w:pStyle w:val="TableContents"/>
              <w:bidi w:val="0"/>
              <w:spacing w:before="0" w:after="283"/>
              <w:jc w:val="left"/>
              <w:rPr/>
            </w:pPr>
            <w:r>
              <w:rPr/>
              <w:t> </w:t>
            </w:r>
          </w:p>
        </w:tc>
      </w:tr>
      <w:tr>
        <w:trPr/>
        <w:tc>
          <w:tcPr>
            <w:tcW w:w="2555" w:type="dxa"/>
            <w:tcBorders/>
            <w:shd w:fill="CCEEFF" w:val="clear"/>
            <w:vAlign w:val="bottom"/>
          </w:tcPr>
          <w:p>
            <w:pPr>
              <w:pStyle w:val="TableContents"/>
              <w:bidi w:val="0"/>
              <w:spacing w:before="0" w:after="0"/>
              <w:ind w:left="720" w:right="0" w:hanging="540"/>
              <w:jc w:val="left"/>
              <w:rPr>
                <w:color w:val="000000"/>
              </w:rPr>
            </w:pPr>
            <w:r>
              <w:rPr>
                <w:color w:val="000000"/>
              </w:rPr>
              <w:t>Europe &amp; Africa</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0"/>
              <w:jc w:val="right"/>
              <w:rPr>
                <w:color w:val="000000"/>
              </w:rPr>
            </w:pPr>
            <w:r>
              <w:rPr>
                <w:color w:val="000000"/>
              </w:rPr>
              <w:t>1,059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0"/>
              <w:jc w:val="right"/>
              <w:rPr>
                <w:color w:val="000000"/>
              </w:rPr>
            </w:pPr>
            <w:r>
              <w:rPr>
                <w:color w:val="000000"/>
              </w:rPr>
              <w:t>1,098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0"/>
              <w:jc w:val="right"/>
              <w:rPr>
                <w:color w:val="000000"/>
              </w:rPr>
            </w:pPr>
            <w:r>
              <w:rPr>
                <w:color w:val="000000"/>
              </w:rPr>
              <w:t>1,093</w:t>
            </w:r>
          </w:p>
        </w:tc>
        <w:tc>
          <w:tcPr>
            <w:tcW w:w="75" w:type="dxa"/>
            <w:tcBorders/>
            <w:shd w:fill="CCEEFF" w:val="clear"/>
            <w:vAlign w:val="bottom"/>
          </w:tcPr>
          <w:p>
            <w:pPr>
              <w:pStyle w:val="TableContents"/>
              <w:bidi w:val="0"/>
              <w:spacing w:before="0" w:after="283"/>
              <w:jc w:val="left"/>
              <w:rPr/>
            </w:pPr>
            <w:r>
              <w:rPr/>
              <w:t> </w:t>
            </w:r>
          </w:p>
        </w:tc>
      </w:tr>
      <w:tr>
        <w:trPr/>
        <w:tc>
          <w:tcPr>
            <w:tcW w:w="2555" w:type="dxa"/>
            <w:tcBorders/>
            <w:vAlign w:val="bottom"/>
          </w:tcPr>
          <w:p>
            <w:pPr>
              <w:pStyle w:val="TableContents"/>
              <w:bidi w:val="0"/>
              <w:spacing w:before="0" w:after="0"/>
              <w:ind w:left="720" w:right="0" w:hanging="540"/>
              <w:jc w:val="left"/>
              <w:rPr>
                <w:color w:val="000000"/>
              </w:rPr>
            </w:pPr>
            <w:r>
              <w:rPr>
                <w:color w:val="000000"/>
              </w:rPr>
              <w:t>South Korea</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0"/>
              <w:jc w:val="right"/>
              <w:rPr>
                <w:color w:val="000000"/>
              </w:rPr>
            </w:pPr>
            <w:r>
              <w:rPr>
                <w:color w:val="000000"/>
              </w:rPr>
              <w:t>744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0"/>
              <w:jc w:val="right"/>
              <w:rPr>
                <w:color w:val="000000"/>
              </w:rPr>
            </w:pPr>
            <w:r>
              <w:rPr>
                <w:color w:val="000000"/>
              </w:rPr>
              <w:t>1,022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0"/>
              <w:jc w:val="right"/>
              <w:rPr>
                <w:color w:val="000000"/>
              </w:rPr>
            </w:pPr>
            <w:r>
              <w:rPr>
                <w:color w:val="000000"/>
              </w:rPr>
              <w:t>1,399</w:t>
            </w:r>
          </w:p>
        </w:tc>
        <w:tc>
          <w:tcPr>
            <w:tcW w:w="75" w:type="dxa"/>
            <w:tcBorders/>
            <w:vAlign w:val="bottom"/>
          </w:tcPr>
          <w:p>
            <w:pPr>
              <w:pStyle w:val="TableContents"/>
              <w:bidi w:val="0"/>
              <w:spacing w:before="0" w:after="283"/>
              <w:jc w:val="left"/>
              <w:rPr/>
            </w:pPr>
            <w:r>
              <w:rPr/>
              <w:t> </w:t>
            </w:r>
          </w:p>
        </w:tc>
      </w:tr>
      <w:tr>
        <w:trPr/>
        <w:tc>
          <w:tcPr>
            <w:tcW w:w="2555" w:type="dxa"/>
            <w:tcBorders/>
            <w:shd w:fill="CCEEFF" w:val="clear"/>
            <w:vAlign w:val="bottom"/>
          </w:tcPr>
          <w:p>
            <w:pPr>
              <w:pStyle w:val="TableContents"/>
              <w:bidi w:val="0"/>
              <w:spacing w:before="0" w:after="0"/>
              <w:ind w:left="720" w:right="0" w:hanging="540"/>
              <w:jc w:val="left"/>
              <w:rPr>
                <w:color w:val="000000"/>
              </w:rPr>
            </w:pPr>
            <w:r>
              <w:rPr>
                <w:color w:val="000000"/>
              </w:rPr>
              <w:t>Hong Kong/Taiwan</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1,775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2,614</w:t>
            </w:r>
          </w:p>
        </w:tc>
        <w:tc>
          <w:tcPr>
            <w:tcW w:w="75" w:type="dxa"/>
            <w:tcBorders/>
            <w:shd w:fill="CCEEFF" w:val="clear"/>
            <w:vAlign w:val="bottom"/>
          </w:tcPr>
          <w:p>
            <w:pPr>
              <w:pStyle w:val="TableContents"/>
              <w:bidi w:val="0"/>
              <w:spacing w:before="0" w:after="283"/>
              <w:jc w:val="left"/>
              <w:rPr/>
            </w:pPr>
            <w:r>
              <w:rPr/>
              <w:t> </w:t>
            </w:r>
          </w:p>
        </w:tc>
      </w:tr>
      <w:tr>
        <w:trPr/>
        <w:tc>
          <w:tcPr>
            <w:tcW w:w="2555" w:type="dxa"/>
            <w:tcBorders/>
            <w:vAlign w:val="bottom"/>
          </w:tcPr>
          <w:p>
            <w:pPr>
              <w:pStyle w:val="TableContents"/>
              <w:bidi w:val="0"/>
              <w:spacing w:before="0" w:after="0"/>
              <w:ind w:left="144" w:right="0" w:hanging="144"/>
              <w:jc w:val="left"/>
              <w:rPr>
                <w:i/>
                <w:color w:val="000000"/>
              </w:rPr>
            </w:pPr>
            <w:r>
              <w:rPr>
                <w:i/>
                <w:color w:val="000000"/>
              </w:rPr>
              <w:t>Total Nu Skin</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0"/>
              <w:jc w:val="right"/>
              <w:rPr>
                <w:color w:val="000000"/>
              </w:rPr>
            </w:pPr>
            <w:r>
              <w:rPr>
                <w:color w:val="000000"/>
              </w:rPr>
              <w:t>12,250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0"/>
              <w:jc w:val="right"/>
              <w:rPr>
                <w:color w:val="000000"/>
              </w:rPr>
            </w:pPr>
            <w:r>
              <w:rPr>
                <w:color w:val="000000"/>
              </w:rPr>
              <w:t>16,024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0"/>
              <w:jc w:val="right"/>
              <w:rPr>
                <w:color w:val="000000"/>
              </w:rPr>
            </w:pPr>
            <w:r>
              <w:rPr>
                <w:color w:val="000000"/>
              </w:rPr>
              <w:t>18,992</w:t>
            </w:r>
          </w:p>
        </w:tc>
        <w:tc>
          <w:tcPr>
            <w:tcW w:w="75" w:type="dxa"/>
            <w:tcBorders/>
            <w:vAlign w:val="bottom"/>
          </w:tcPr>
          <w:p>
            <w:pPr>
              <w:pStyle w:val="TableContents"/>
              <w:bidi w:val="0"/>
              <w:spacing w:before="0" w:after="283"/>
              <w:jc w:val="left"/>
              <w:rPr/>
            </w:pPr>
            <w:r>
              <w:rPr/>
              <w:t> </w:t>
            </w:r>
          </w:p>
        </w:tc>
      </w:tr>
      <w:tr>
        <w:trPr/>
        <w:tc>
          <w:tcPr>
            <w:tcW w:w="2555" w:type="dxa"/>
            <w:tcBorders/>
            <w:shd w:fill="CCEEFF" w:val="clear"/>
            <w:vAlign w:val="bottom"/>
          </w:tcPr>
          <w:p>
            <w:pPr>
              <w:pStyle w:val="TableContents"/>
              <w:bidi w:val="0"/>
              <w:spacing w:before="0" w:after="0"/>
              <w:ind w:left="144" w:right="0" w:hanging="144"/>
              <w:jc w:val="left"/>
              <w:rPr>
                <w:i/>
                <w:color w:val="000000"/>
              </w:rPr>
            </w:pPr>
            <w:r>
              <w:rPr>
                <w:i/>
                <w:color w:val="000000"/>
              </w:rPr>
              <w:t>Rhyz</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2555" w:type="dxa"/>
            <w:tcBorders/>
            <w:vAlign w:val="bottom"/>
          </w:tcPr>
          <w:p>
            <w:pPr>
              <w:pStyle w:val="TableContents"/>
              <w:bidi w:val="0"/>
              <w:spacing w:before="0" w:after="0"/>
              <w:ind w:left="720" w:right="0" w:hanging="540"/>
              <w:jc w:val="left"/>
              <w:rPr>
                <w:color w:val="000000"/>
              </w:rPr>
            </w:pPr>
            <w:r>
              <w:rPr>
                <w:color w:val="000000"/>
              </w:rPr>
              <w:t>Manufacturing</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0"/>
              <w:jc w:val="right"/>
              <w:rPr>
                <w:color w:val="000000"/>
              </w:rPr>
            </w:pPr>
            <w:r>
              <w:rPr>
                <w:color w:val="000000"/>
              </w:rPr>
              <w:t>13,219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0"/>
              <w:jc w:val="right"/>
              <w:rPr>
                <w:color w:val="000000"/>
              </w:rPr>
            </w:pPr>
            <w:r>
              <w:rPr>
                <w:color w:val="000000"/>
              </w:rPr>
              <w:t>13,729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0"/>
              <w:jc w:val="right"/>
              <w:rPr>
                <w:color w:val="000000"/>
              </w:rPr>
            </w:pPr>
            <w:r>
              <w:rPr>
                <w:color w:val="000000"/>
              </w:rPr>
              <w:t>13,293</w:t>
            </w:r>
          </w:p>
        </w:tc>
        <w:tc>
          <w:tcPr>
            <w:tcW w:w="75" w:type="dxa"/>
            <w:tcBorders/>
            <w:vAlign w:val="bottom"/>
          </w:tcPr>
          <w:p>
            <w:pPr>
              <w:pStyle w:val="TableContents"/>
              <w:bidi w:val="0"/>
              <w:spacing w:before="0" w:after="283"/>
              <w:jc w:val="left"/>
              <w:rPr/>
            </w:pPr>
            <w:r>
              <w:rPr/>
              <w:t> </w:t>
            </w:r>
          </w:p>
        </w:tc>
      </w:tr>
      <w:tr>
        <w:trPr/>
        <w:tc>
          <w:tcPr>
            <w:tcW w:w="2555" w:type="dxa"/>
            <w:tcBorders/>
            <w:shd w:fill="CCEEFF" w:val="clear"/>
            <w:vAlign w:val="bottom"/>
          </w:tcPr>
          <w:p>
            <w:pPr>
              <w:pStyle w:val="TableContents"/>
              <w:bidi w:val="0"/>
              <w:spacing w:before="0" w:after="0"/>
              <w:ind w:left="720" w:right="0" w:hanging="540"/>
              <w:jc w:val="left"/>
              <w:rPr>
                <w:color w:val="000000"/>
              </w:rPr>
            </w:pPr>
            <w:r>
              <w:rPr>
                <w:color w:val="000000"/>
              </w:rPr>
              <w:t>Rhyz Other</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1,969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7,253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5,836</w:t>
            </w:r>
          </w:p>
        </w:tc>
        <w:tc>
          <w:tcPr>
            <w:tcW w:w="75" w:type="dxa"/>
            <w:tcBorders/>
            <w:shd w:fill="CCEEFF" w:val="clear"/>
            <w:vAlign w:val="bottom"/>
          </w:tcPr>
          <w:p>
            <w:pPr>
              <w:pStyle w:val="TableContents"/>
              <w:bidi w:val="0"/>
              <w:spacing w:before="0" w:after="283"/>
              <w:jc w:val="left"/>
              <w:rPr/>
            </w:pPr>
            <w:r>
              <w:rPr/>
              <w:t> </w:t>
            </w:r>
          </w:p>
        </w:tc>
      </w:tr>
      <w:tr>
        <w:trPr/>
        <w:tc>
          <w:tcPr>
            <w:tcW w:w="2555" w:type="dxa"/>
            <w:tcBorders/>
            <w:vAlign w:val="bottom"/>
          </w:tcPr>
          <w:p>
            <w:pPr>
              <w:pStyle w:val="TableContents"/>
              <w:bidi w:val="0"/>
              <w:spacing w:before="0" w:after="0"/>
              <w:ind w:left="144" w:right="0" w:hanging="144"/>
              <w:jc w:val="left"/>
              <w:rPr>
                <w:i/>
                <w:color w:val="000000"/>
              </w:rPr>
            </w:pPr>
            <w:r>
              <w:rPr>
                <w:i/>
                <w:color w:val="000000"/>
              </w:rPr>
              <w:t>Total Rhyz</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6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15,188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6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20,982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6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19,129</w:t>
            </w:r>
          </w:p>
        </w:tc>
        <w:tc>
          <w:tcPr>
            <w:tcW w:w="75" w:type="dxa"/>
            <w:tcBorders/>
            <w:vAlign w:val="bottom"/>
          </w:tcPr>
          <w:p>
            <w:pPr>
              <w:pStyle w:val="TableContents"/>
              <w:bidi w:val="0"/>
              <w:spacing w:before="0" w:after="283"/>
              <w:jc w:val="left"/>
              <w:rPr/>
            </w:pPr>
            <w:r>
              <w:rPr/>
              <w:t> </w:t>
            </w:r>
          </w:p>
        </w:tc>
      </w:tr>
      <w:tr>
        <w:trPr/>
        <w:tc>
          <w:tcPr>
            <w:tcW w:w="2555" w:type="dxa"/>
            <w:tcBorders/>
            <w:shd w:fill="CCEEFF" w:val="clear"/>
            <w:vAlign w:val="bottom"/>
          </w:tcPr>
          <w:p>
            <w:pPr>
              <w:pStyle w:val="TableContents"/>
              <w:bidi w:val="0"/>
              <w:spacing w:before="0" w:after="0"/>
              <w:ind w:left="144" w:right="0" w:hanging="144"/>
              <w:jc w:val="left"/>
              <w:rPr>
                <w:color w:val="000000"/>
              </w:rPr>
            </w:pPr>
            <w:r>
              <w:rPr>
                <w:color w:val="000000"/>
              </w:rPr>
              <w:t>Corporate and other</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24,823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32,804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32,802</w:t>
            </w:r>
          </w:p>
        </w:tc>
        <w:tc>
          <w:tcPr>
            <w:tcW w:w="75" w:type="dxa"/>
            <w:tcBorders/>
            <w:shd w:fill="CCEEFF" w:val="clear"/>
            <w:vAlign w:val="bottom"/>
          </w:tcPr>
          <w:p>
            <w:pPr>
              <w:pStyle w:val="TableContents"/>
              <w:bidi w:val="0"/>
              <w:spacing w:before="0" w:after="283"/>
              <w:jc w:val="left"/>
              <w:rPr/>
            </w:pPr>
            <w:r>
              <w:rPr/>
              <w:t> </w:t>
            </w:r>
          </w:p>
        </w:tc>
      </w:tr>
      <w:tr>
        <w:trPr/>
        <w:tc>
          <w:tcPr>
            <w:tcW w:w="2555" w:type="dxa"/>
            <w:tcBorders/>
            <w:vAlign w:val="bottom"/>
          </w:tcPr>
          <w:p>
            <w:pPr>
              <w:pStyle w:val="TableContents"/>
              <w:bidi w:val="0"/>
              <w:spacing w:before="0" w:after="0"/>
              <w:ind w:left="288" w:right="0" w:hanging="144"/>
              <w:jc w:val="left"/>
              <w:rPr>
                <w:color w:val="000000"/>
              </w:rPr>
            </w:pPr>
            <w:r>
              <w:rPr>
                <w:color w:val="000000"/>
              </w:rPr>
              <w:t>Total</w:t>
            </w:r>
          </w:p>
        </w:tc>
        <w:tc>
          <w:tcPr>
            <w:tcW w:w="60" w:type="dxa"/>
            <w:tcBorders/>
            <w:vAlign w:val="bottom"/>
          </w:tcPr>
          <w:p>
            <w:pPr>
              <w:pStyle w:val="TableContents"/>
              <w:bidi w:val="0"/>
              <w:spacing w:before="0" w:after="283"/>
              <w:jc w:val="right"/>
              <w:rPr/>
            </w:pPr>
            <w:r>
              <w:rPr/>
              <w:t> </w:t>
            </w:r>
          </w:p>
        </w:tc>
        <w:tc>
          <w:tcPr>
            <w:tcW w:w="14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68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52,261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68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69,810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68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70,923</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val="false"/>
          <w:i/>
          <w:caps w:val="false"/>
          <w:smallCaps w:val="false"/>
          <w:color w:val="000000"/>
          <w:sz w:val="20"/>
          <w:shd w:fill="FFFFFF" w:val="clear"/>
        </w:rPr>
      </w:pPr>
      <w:r>
        <w:rPr>
          <w:rFonts w:ascii="Times New Roman" w:hAnsi="Times New Roman"/>
          <w:b w:val="false"/>
          <w:i/>
          <w:caps w:val="false"/>
          <w:smallCaps w:val="false"/>
          <w:color w:val="000000"/>
          <w:sz w:val="20"/>
          <w:shd w:fill="FFFFFF" w:val="clear"/>
        </w:rPr>
        <w:t>Capital Expenditures</w:t>
      </w:r>
    </w:p>
    <w:p>
      <w:pPr>
        <w:pStyle w:val="TextBody"/>
        <w:bidi w:val="0"/>
        <w:spacing w:before="0" w:after="0"/>
        <w:jc w:val="left"/>
        <w:rPr/>
      </w:pPr>
      <w:r>
        <w:rPr/>
      </w:r>
    </w:p>
    <w:tbl>
      <w:tblPr>
        <w:tblW w:w="5408" w:type="dxa"/>
        <w:jc w:val="left"/>
        <w:tblInd w:w="0" w:type="dxa"/>
        <w:tblLayout w:type="fixed"/>
        <w:tblCellMar>
          <w:top w:w="0" w:type="dxa"/>
          <w:left w:w="0" w:type="dxa"/>
          <w:bottom w:w="0" w:type="dxa"/>
          <w:right w:w="0" w:type="dxa"/>
        </w:tblCellMar>
      </w:tblPr>
      <w:tblGrid>
        <w:gridCol w:w="2555"/>
        <w:gridCol w:w="60"/>
        <w:gridCol w:w="141"/>
        <w:gridCol w:w="685"/>
        <w:gridCol w:w="60"/>
        <w:gridCol w:w="60"/>
        <w:gridCol w:w="141"/>
        <w:gridCol w:w="685"/>
        <w:gridCol w:w="60"/>
        <w:gridCol w:w="60"/>
        <w:gridCol w:w="141"/>
        <w:gridCol w:w="685"/>
        <w:gridCol w:w="75"/>
      </w:tblGrid>
      <w:tr>
        <w:trPr/>
        <w:tc>
          <w:tcPr>
            <w:tcW w:w="25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18"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w:t>
            </w:r>
          </w:p>
        </w:tc>
        <w:tc>
          <w:tcPr>
            <w:tcW w:w="75" w:type="dxa"/>
            <w:tcBorders/>
            <w:vAlign w:val="bottom"/>
          </w:tcPr>
          <w:p>
            <w:pPr>
              <w:pStyle w:val="TableContents"/>
              <w:bidi w:val="0"/>
              <w:spacing w:before="0" w:after="283"/>
              <w:jc w:val="left"/>
              <w:rPr/>
            </w:pPr>
            <w:r>
              <w:rPr/>
              <w:t> </w:t>
            </w:r>
          </w:p>
        </w:tc>
      </w:tr>
      <w:tr>
        <w:trPr/>
        <w:tc>
          <w:tcPr>
            <w:tcW w:w="2555" w:type="dxa"/>
            <w:tcBorders/>
            <w:vAlign w:val="bottom"/>
          </w:tcPr>
          <w:p>
            <w:pPr>
              <w:pStyle w:val="TableContents"/>
              <w:bidi w:val="0"/>
              <w:spacing w:before="0" w:after="0"/>
              <w:ind w:left="144" w:right="0" w:hanging="144"/>
              <w:jc w:val="left"/>
              <w:rPr>
                <w:color w:val="000000"/>
              </w:rPr>
            </w:pPr>
            <w:r>
              <w:rPr>
                <w:color w:val="000000"/>
              </w:rPr>
              <w:t>(U.S. dollars in thousands)</w:t>
            </w:r>
          </w:p>
        </w:tc>
        <w:tc>
          <w:tcPr>
            <w:tcW w:w="60" w:type="dxa"/>
            <w:tcBorders/>
            <w:vAlign w:val="bottom"/>
          </w:tcPr>
          <w:p>
            <w:pPr>
              <w:pStyle w:val="TableContents"/>
              <w:bidi w:val="0"/>
              <w:spacing w:before="0" w:after="283"/>
              <w:jc w:val="left"/>
              <w:rPr/>
            </w:pPr>
            <w:r>
              <w:rPr/>
              <w:t> </w:t>
            </w:r>
          </w:p>
        </w:tc>
        <w:tc>
          <w:tcPr>
            <w:tcW w:w="82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75" w:type="dxa"/>
            <w:tcBorders/>
            <w:vAlign w:val="bottom"/>
          </w:tcPr>
          <w:p>
            <w:pPr>
              <w:pStyle w:val="TableContents"/>
              <w:bidi w:val="0"/>
              <w:spacing w:before="0" w:after="283"/>
              <w:jc w:val="left"/>
              <w:rPr/>
            </w:pPr>
            <w:r>
              <w:rPr/>
              <w:t> </w:t>
            </w:r>
          </w:p>
        </w:tc>
      </w:tr>
      <w:tr>
        <w:trPr/>
        <w:tc>
          <w:tcPr>
            <w:tcW w:w="2555" w:type="dxa"/>
            <w:tcBorders/>
            <w:vAlign w:val="bottom"/>
          </w:tcPr>
          <w:p>
            <w:pPr>
              <w:pStyle w:val="TableContents"/>
              <w:bidi w:val="0"/>
              <w:spacing w:before="0" w:after="0"/>
              <w:ind w:left="144" w:right="0" w:hanging="144"/>
              <w:jc w:val="left"/>
              <w:rPr>
                <w:i/>
                <w:color w:val="000000"/>
              </w:rPr>
            </w:pPr>
            <w:r>
              <w:rPr>
                <w:i/>
                <w:color w:val="000000"/>
              </w:rPr>
              <w:t>Nu Skin</w:t>
            </w:r>
          </w:p>
        </w:tc>
        <w:tc>
          <w:tcPr>
            <w:tcW w:w="60" w:type="dxa"/>
            <w:tcBorders/>
            <w:vAlign w:val="bottom"/>
          </w:tcPr>
          <w:p>
            <w:pPr>
              <w:pStyle w:val="TableContents"/>
              <w:bidi w:val="0"/>
              <w:spacing w:before="0" w:after="283"/>
              <w:jc w:val="left"/>
              <w:rPr/>
            </w:pPr>
            <w:r>
              <w:rPr/>
              <w:t> </w:t>
            </w:r>
          </w:p>
        </w:tc>
        <w:tc>
          <w:tcPr>
            <w:tcW w:w="82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6"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555" w:type="dxa"/>
            <w:tcBorders/>
            <w:shd w:fill="CCEEFF" w:val="clear"/>
            <w:vAlign w:val="bottom"/>
          </w:tcPr>
          <w:p>
            <w:pPr>
              <w:pStyle w:val="TableContents"/>
              <w:bidi w:val="0"/>
              <w:spacing w:before="0" w:after="0"/>
              <w:ind w:left="720" w:right="0" w:hanging="540"/>
              <w:jc w:val="left"/>
              <w:rPr>
                <w:color w:val="000000"/>
              </w:rPr>
            </w:pPr>
            <w:r>
              <w:rPr>
                <w:color w:val="000000"/>
              </w:rPr>
              <w:t>Americas</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0"/>
              <w:jc w:val="left"/>
              <w:rPr>
                <w:color w:val="000000"/>
              </w:rPr>
            </w:pPr>
            <w:r>
              <w:rPr>
                <w:color w:val="000000"/>
              </w:rPr>
              <w:t>$</w:t>
            </w:r>
          </w:p>
        </w:tc>
        <w:tc>
          <w:tcPr>
            <w:tcW w:w="685" w:type="dxa"/>
            <w:tcBorders/>
            <w:shd w:fill="CCEEFF" w:val="clear"/>
            <w:vAlign w:val="bottom"/>
          </w:tcPr>
          <w:p>
            <w:pPr>
              <w:pStyle w:val="TableContents"/>
              <w:bidi w:val="0"/>
              <w:spacing w:before="0" w:after="0"/>
              <w:jc w:val="right"/>
              <w:rPr>
                <w:color w:val="000000"/>
              </w:rPr>
            </w:pPr>
            <w:r>
              <w:rPr>
                <w:color w:val="000000"/>
              </w:rPr>
              <w:t>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0"/>
              <w:jc w:val="left"/>
              <w:rPr>
                <w:color w:val="000000"/>
              </w:rPr>
            </w:pPr>
            <w:r>
              <w:rPr>
                <w:color w:val="000000"/>
              </w:rPr>
              <w:t>$</w:t>
            </w:r>
          </w:p>
        </w:tc>
        <w:tc>
          <w:tcPr>
            <w:tcW w:w="685" w:type="dxa"/>
            <w:tcBorders/>
            <w:shd w:fill="CCEEFF" w:val="clear"/>
            <w:vAlign w:val="bottom"/>
          </w:tcPr>
          <w:p>
            <w:pPr>
              <w:pStyle w:val="TableContents"/>
              <w:bidi w:val="0"/>
              <w:spacing w:before="0" w:after="0"/>
              <w:jc w:val="right"/>
              <w:rPr>
                <w:color w:val="000000"/>
              </w:rPr>
            </w:pPr>
            <w:r>
              <w:rPr>
                <w:color w:val="000000"/>
              </w:rPr>
              <w:t>102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0"/>
              <w:jc w:val="left"/>
              <w:rPr>
                <w:color w:val="000000"/>
              </w:rPr>
            </w:pPr>
            <w:r>
              <w:rPr>
                <w:color w:val="000000"/>
              </w:rPr>
              <w:t>$</w:t>
            </w:r>
          </w:p>
        </w:tc>
        <w:tc>
          <w:tcPr>
            <w:tcW w:w="685" w:type="dxa"/>
            <w:tcBorders/>
            <w:shd w:fill="CCEEFF" w:val="clear"/>
            <w:vAlign w:val="bottom"/>
          </w:tcPr>
          <w:p>
            <w:pPr>
              <w:pStyle w:val="TableContents"/>
              <w:bidi w:val="0"/>
              <w:spacing w:before="0" w:after="0"/>
              <w:jc w:val="right"/>
              <w:rPr>
                <w:color w:val="000000"/>
              </w:rPr>
            </w:pPr>
            <w:r>
              <w:rPr>
                <w:color w:val="000000"/>
              </w:rPr>
              <w:t>236</w:t>
            </w:r>
          </w:p>
        </w:tc>
        <w:tc>
          <w:tcPr>
            <w:tcW w:w="75" w:type="dxa"/>
            <w:tcBorders/>
            <w:shd w:fill="CCEEFF" w:val="clear"/>
            <w:vAlign w:val="bottom"/>
          </w:tcPr>
          <w:p>
            <w:pPr>
              <w:pStyle w:val="TableContents"/>
              <w:bidi w:val="0"/>
              <w:spacing w:before="0" w:after="283"/>
              <w:jc w:val="left"/>
              <w:rPr/>
            </w:pPr>
            <w:r>
              <w:rPr/>
              <w:t> </w:t>
            </w:r>
          </w:p>
        </w:tc>
      </w:tr>
      <w:tr>
        <w:trPr/>
        <w:tc>
          <w:tcPr>
            <w:tcW w:w="2555" w:type="dxa"/>
            <w:tcBorders/>
            <w:vAlign w:val="bottom"/>
          </w:tcPr>
          <w:p>
            <w:pPr>
              <w:pStyle w:val="TableContents"/>
              <w:bidi w:val="0"/>
              <w:spacing w:before="0" w:after="0"/>
              <w:ind w:left="720" w:right="0" w:hanging="540"/>
              <w:jc w:val="left"/>
              <w:rPr>
                <w:color w:val="000000"/>
              </w:rPr>
            </w:pPr>
            <w:r>
              <w:rPr>
                <w:color w:val="000000"/>
              </w:rPr>
              <w:t>Southeast Asia/Pacific</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0"/>
              <w:jc w:val="right"/>
              <w:rPr>
                <w:color w:val="000000"/>
              </w:rPr>
            </w:pPr>
            <w:r>
              <w:rPr>
                <w:color w:val="000000"/>
              </w:rPr>
              <w:t>312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0"/>
              <w:jc w:val="right"/>
              <w:rPr>
                <w:color w:val="000000"/>
              </w:rPr>
            </w:pPr>
            <w:r>
              <w:rPr>
                <w:color w:val="000000"/>
              </w:rPr>
              <w:t>115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0"/>
              <w:jc w:val="right"/>
              <w:rPr>
                <w:color w:val="000000"/>
              </w:rPr>
            </w:pPr>
            <w:r>
              <w:rPr>
                <w:color w:val="000000"/>
              </w:rPr>
              <w:t>645</w:t>
            </w:r>
          </w:p>
        </w:tc>
        <w:tc>
          <w:tcPr>
            <w:tcW w:w="75" w:type="dxa"/>
            <w:tcBorders/>
            <w:vAlign w:val="bottom"/>
          </w:tcPr>
          <w:p>
            <w:pPr>
              <w:pStyle w:val="TableContents"/>
              <w:bidi w:val="0"/>
              <w:spacing w:before="0" w:after="283"/>
              <w:jc w:val="left"/>
              <w:rPr/>
            </w:pPr>
            <w:r>
              <w:rPr/>
              <w:t> </w:t>
            </w:r>
          </w:p>
        </w:tc>
      </w:tr>
      <w:tr>
        <w:trPr/>
        <w:tc>
          <w:tcPr>
            <w:tcW w:w="2555" w:type="dxa"/>
            <w:tcBorders/>
            <w:shd w:fill="CCEEFF" w:val="clear"/>
            <w:vAlign w:val="bottom"/>
          </w:tcPr>
          <w:p>
            <w:pPr>
              <w:pStyle w:val="TableContents"/>
              <w:bidi w:val="0"/>
              <w:spacing w:before="0" w:after="0"/>
              <w:ind w:left="720" w:right="0" w:hanging="540"/>
              <w:jc w:val="left"/>
              <w:rPr>
                <w:color w:val="000000"/>
              </w:rPr>
            </w:pPr>
            <w:r>
              <w:rPr>
                <w:color w:val="000000"/>
              </w:rPr>
              <w:t>Mainland China</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0"/>
              <w:jc w:val="right"/>
              <w:rPr>
                <w:color w:val="000000"/>
              </w:rPr>
            </w:pPr>
            <w:r>
              <w:rPr>
                <w:color w:val="000000"/>
              </w:rPr>
              <w:t>2,201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0"/>
              <w:jc w:val="right"/>
              <w:rPr>
                <w:color w:val="000000"/>
              </w:rPr>
            </w:pPr>
            <w:r>
              <w:rPr>
                <w:color w:val="000000"/>
              </w:rPr>
              <w:t>5,701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0"/>
              <w:jc w:val="right"/>
              <w:rPr>
                <w:color w:val="000000"/>
              </w:rPr>
            </w:pPr>
            <w:r>
              <w:rPr>
                <w:color w:val="000000"/>
              </w:rPr>
              <w:t>20,052</w:t>
            </w:r>
          </w:p>
        </w:tc>
        <w:tc>
          <w:tcPr>
            <w:tcW w:w="75" w:type="dxa"/>
            <w:tcBorders/>
            <w:shd w:fill="CCEEFF" w:val="clear"/>
            <w:vAlign w:val="bottom"/>
          </w:tcPr>
          <w:p>
            <w:pPr>
              <w:pStyle w:val="TableContents"/>
              <w:bidi w:val="0"/>
              <w:spacing w:before="0" w:after="283"/>
              <w:jc w:val="left"/>
              <w:rPr/>
            </w:pPr>
            <w:r>
              <w:rPr/>
              <w:t> </w:t>
            </w:r>
          </w:p>
        </w:tc>
      </w:tr>
      <w:tr>
        <w:trPr/>
        <w:tc>
          <w:tcPr>
            <w:tcW w:w="2555" w:type="dxa"/>
            <w:tcBorders/>
            <w:vAlign w:val="bottom"/>
          </w:tcPr>
          <w:p>
            <w:pPr>
              <w:pStyle w:val="TableContents"/>
              <w:bidi w:val="0"/>
              <w:spacing w:before="0" w:after="0"/>
              <w:ind w:left="720" w:right="0" w:hanging="540"/>
              <w:jc w:val="left"/>
              <w:rPr>
                <w:color w:val="000000"/>
              </w:rPr>
            </w:pPr>
            <w:r>
              <w:rPr>
                <w:color w:val="000000"/>
              </w:rPr>
              <w:t>Japan</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0"/>
              <w:jc w:val="right"/>
              <w:rPr>
                <w:color w:val="000000"/>
              </w:rPr>
            </w:pPr>
            <w:r>
              <w:rPr>
                <w:color w:val="000000"/>
              </w:rPr>
              <w:t>128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0"/>
              <w:jc w:val="right"/>
              <w:rPr>
                <w:color w:val="000000"/>
              </w:rPr>
            </w:pPr>
            <w:r>
              <w:rPr>
                <w:color w:val="000000"/>
              </w:rPr>
              <w:t>402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0"/>
              <w:jc w:val="right"/>
              <w:rPr>
                <w:color w:val="000000"/>
              </w:rPr>
            </w:pPr>
            <w:r>
              <w:rPr>
                <w:color w:val="000000"/>
              </w:rPr>
              <w:t>104</w:t>
            </w:r>
          </w:p>
        </w:tc>
        <w:tc>
          <w:tcPr>
            <w:tcW w:w="75" w:type="dxa"/>
            <w:tcBorders/>
            <w:vAlign w:val="bottom"/>
          </w:tcPr>
          <w:p>
            <w:pPr>
              <w:pStyle w:val="TableContents"/>
              <w:bidi w:val="0"/>
              <w:spacing w:before="0" w:after="283"/>
              <w:jc w:val="left"/>
              <w:rPr/>
            </w:pPr>
            <w:r>
              <w:rPr/>
              <w:t> </w:t>
            </w:r>
          </w:p>
        </w:tc>
      </w:tr>
      <w:tr>
        <w:trPr/>
        <w:tc>
          <w:tcPr>
            <w:tcW w:w="2555" w:type="dxa"/>
            <w:tcBorders/>
            <w:shd w:fill="CCEEFF" w:val="clear"/>
            <w:vAlign w:val="bottom"/>
          </w:tcPr>
          <w:p>
            <w:pPr>
              <w:pStyle w:val="TableContents"/>
              <w:bidi w:val="0"/>
              <w:spacing w:before="0" w:after="0"/>
              <w:ind w:left="720" w:right="0" w:hanging="540"/>
              <w:jc w:val="left"/>
              <w:rPr>
                <w:color w:val="000000"/>
              </w:rPr>
            </w:pPr>
            <w:r>
              <w:rPr>
                <w:color w:val="000000"/>
              </w:rPr>
              <w:t>Europe &amp; Africa</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0"/>
              <w:jc w:val="right"/>
              <w:rPr>
                <w:color w:val="000000"/>
              </w:rPr>
            </w:pPr>
            <w:r>
              <w:rPr>
                <w:color w:val="000000"/>
              </w:rPr>
              <w:t>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0"/>
              <w:jc w:val="right"/>
              <w:rPr>
                <w:color w:val="000000"/>
              </w:rPr>
            </w:pPr>
            <w:r>
              <w:rPr>
                <w:color w:val="000000"/>
              </w:rPr>
              <w:t>412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0"/>
              <w:jc w:val="right"/>
              <w:rPr>
                <w:color w:val="000000"/>
              </w:rPr>
            </w:pPr>
            <w:r>
              <w:rPr>
                <w:color w:val="000000"/>
              </w:rPr>
              <w:t>411</w:t>
            </w:r>
          </w:p>
        </w:tc>
        <w:tc>
          <w:tcPr>
            <w:tcW w:w="75" w:type="dxa"/>
            <w:tcBorders/>
            <w:shd w:fill="CCEEFF" w:val="clear"/>
            <w:vAlign w:val="bottom"/>
          </w:tcPr>
          <w:p>
            <w:pPr>
              <w:pStyle w:val="TableContents"/>
              <w:bidi w:val="0"/>
              <w:spacing w:before="0" w:after="283"/>
              <w:jc w:val="left"/>
              <w:rPr/>
            </w:pPr>
            <w:r>
              <w:rPr/>
              <w:t> </w:t>
            </w:r>
          </w:p>
        </w:tc>
      </w:tr>
      <w:tr>
        <w:trPr/>
        <w:tc>
          <w:tcPr>
            <w:tcW w:w="2555" w:type="dxa"/>
            <w:tcBorders/>
            <w:vAlign w:val="bottom"/>
          </w:tcPr>
          <w:p>
            <w:pPr>
              <w:pStyle w:val="TableContents"/>
              <w:bidi w:val="0"/>
              <w:spacing w:before="0" w:after="0"/>
              <w:ind w:left="720" w:right="0" w:hanging="540"/>
              <w:jc w:val="left"/>
              <w:rPr>
                <w:color w:val="000000"/>
              </w:rPr>
            </w:pPr>
            <w:r>
              <w:rPr>
                <w:color w:val="000000"/>
              </w:rPr>
              <w:t>South Korea</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0"/>
              <w:jc w:val="right"/>
              <w:rPr>
                <w:color w:val="000000"/>
              </w:rPr>
            </w:pPr>
            <w:r>
              <w:rPr>
                <w:color w:val="000000"/>
              </w:rPr>
              <w:t>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0"/>
              <w:jc w:val="right"/>
              <w:rPr>
                <w:color w:val="000000"/>
              </w:rPr>
            </w:pPr>
            <w:r>
              <w:rPr>
                <w:color w:val="000000"/>
              </w:rPr>
              <w:t>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0"/>
              <w:jc w:val="right"/>
              <w:rPr>
                <w:color w:val="000000"/>
              </w:rPr>
            </w:pPr>
            <w:r>
              <w:rPr>
                <w:color w:val="000000"/>
              </w:rPr>
              <w:t>585</w:t>
            </w:r>
          </w:p>
        </w:tc>
        <w:tc>
          <w:tcPr>
            <w:tcW w:w="75" w:type="dxa"/>
            <w:tcBorders/>
            <w:vAlign w:val="bottom"/>
          </w:tcPr>
          <w:p>
            <w:pPr>
              <w:pStyle w:val="TableContents"/>
              <w:bidi w:val="0"/>
              <w:spacing w:before="0" w:after="283"/>
              <w:jc w:val="left"/>
              <w:rPr/>
            </w:pPr>
            <w:r>
              <w:rPr/>
              <w:t> </w:t>
            </w:r>
          </w:p>
        </w:tc>
      </w:tr>
      <w:tr>
        <w:trPr/>
        <w:tc>
          <w:tcPr>
            <w:tcW w:w="2555" w:type="dxa"/>
            <w:tcBorders/>
            <w:shd w:fill="CCEEFF" w:val="clear"/>
            <w:vAlign w:val="bottom"/>
          </w:tcPr>
          <w:p>
            <w:pPr>
              <w:pStyle w:val="TableContents"/>
              <w:bidi w:val="0"/>
              <w:spacing w:before="0" w:after="0"/>
              <w:ind w:left="720" w:right="0" w:hanging="540"/>
              <w:jc w:val="left"/>
              <w:rPr>
                <w:color w:val="000000"/>
              </w:rPr>
            </w:pPr>
            <w:r>
              <w:rPr>
                <w:color w:val="000000"/>
              </w:rPr>
              <w:t>Hong Kong/Taiwan</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1,212</w:t>
            </w:r>
          </w:p>
        </w:tc>
        <w:tc>
          <w:tcPr>
            <w:tcW w:w="75" w:type="dxa"/>
            <w:tcBorders/>
            <w:shd w:fill="CCEEFF" w:val="clear"/>
            <w:vAlign w:val="bottom"/>
          </w:tcPr>
          <w:p>
            <w:pPr>
              <w:pStyle w:val="TableContents"/>
              <w:bidi w:val="0"/>
              <w:spacing w:before="0" w:after="283"/>
              <w:jc w:val="left"/>
              <w:rPr/>
            </w:pPr>
            <w:r>
              <w:rPr/>
              <w:t> </w:t>
            </w:r>
          </w:p>
        </w:tc>
      </w:tr>
      <w:tr>
        <w:trPr/>
        <w:tc>
          <w:tcPr>
            <w:tcW w:w="2555" w:type="dxa"/>
            <w:tcBorders/>
            <w:vAlign w:val="bottom"/>
          </w:tcPr>
          <w:p>
            <w:pPr>
              <w:pStyle w:val="TableContents"/>
              <w:bidi w:val="0"/>
              <w:spacing w:before="0" w:after="0"/>
              <w:ind w:left="144" w:right="0" w:hanging="144"/>
              <w:jc w:val="left"/>
              <w:rPr>
                <w:i/>
                <w:color w:val="000000"/>
              </w:rPr>
            </w:pPr>
            <w:r>
              <w:rPr>
                <w:i/>
                <w:color w:val="000000"/>
              </w:rPr>
              <w:t>Total Nu Skin</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0"/>
              <w:jc w:val="right"/>
              <w:rPr>
                <w:color w:val="000000"/>
              </w:rPr>
            </w:pPr>
            <w:r>
              <w:rPr>
                <w:color w:val="000000"/>
              </w:rPr>
              <w:t>3,039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0"/>
              <w:jc w:val="right"/>
              <w:rPr>
                <w:color w:val="000000"/>
              </w:rPr>
            </w:pPr>
            <w:r>
              <w:rPr>
                <w:color w:val="000000"/>
              </w:rPr>
              <w:t>7,378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0"/>
              <w:jc w:val="right"/>
              <w:rPr>
                <w:color w:val="000000"/>
              </w:rPr>
            </w:pPr>
            <w:r>
              <w:rPr>
                <w:color w:val="000000"/>
              </w:rPr>
              <w:t>23,245</w:t>
            </w:r>
          </w:p>
        </w:tc>
        <w:tc>
          <w:tcPr>
            <w:tcW w:w="75" w:type="dxa"/>
            <w:tcBorders/>
            <w:vAlign w:val="bottom"/>
          </w:tcPr>
          <w:p>
            <w:pPr>
              <w:pStyle w:val="TableContents"/>
              <w:bidi w:val="0"/>
              <w:spacing w:before="0" w:after="283"/>
              <w:jc w:val="left"/>
              <w:rPr/>
            </w:pPr>
            <w:r>
              <w:rPr/>
              <w:t> </w:t>
            </w:r>
          </w:p>
        </w:tc>
      </w:tr>
      <w:tr>
        <w:trPr/>
        <w:tc>
          <w:tcPr>
            <w:tcW w:w="2555" w:type="dxa"/>
            <w:tcBorders/>
            <w:shd w:fill="CCEEFF" w:val="clear"/>
            <w:vAlign w:val="bottom"/>
          </w:tcPr>
          <w:p>
            <w:pPr>
              <w:pStyle w:val="TableContents"/>
              <w:bidi w:val="0"/>
              <w:spacing w:before="0" w:after="0"/>
              <w:ind w:left="144" w:right="0" w:hanging="144"/>
              <w:jc w:val="left"/>
              <w:rPr>
                <w:i/>
                <w:color w:val="000000"/>
              </w:rPr>
            </w:pPr>
            <w:r>
              <w:rPr>
                <w:i/>
                <w:color w:val="000000"/>
              </w:rPr>
              <w:t>Rhyz</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2555" w:type="dxa"/>
            <w:tcBorders/>
            <w:vAlign w:val="bottom"/>
          </w:tcPr>
          <w:p>
            <w:pPr>
              <w:pStyle w:val="TableContents"/>
              <w:bidi w:val="0"/>
              <w:spacing w:before="0" w:after="0"/>
              <w:ind w:left="720" w:right="0" w:hanging="540"/>
              <w:jc w:val="left"/>
              <w:rPr>
                <w:color w:val="000000"/>
              </w:rPr>
            </w:pPr>
            <w:r>
              <w:rPr>
                <w:color w:val="000000"/>
              </w:rPr>
              <w:t>Manufacturing</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0"/>
              <w:jc w:val="right"/>
              <w:rPr>
                <w:color w:val="000000"/>
              </w:rPr>
            </w:pPr>
            <w:r>
              <w:rPr>
                <w:color w:val="000000"/>
              </w:rPr>
              <w:t>6,016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0"/>
              <w:jc w:val="right"/>
              <w:rPr>
                <w:color w:val="000000"/>
              </w:rPr>
            </w:pPr>
            <w:r>
              <w:rPr>
                <w:color w:val="000000"/>
              </w:rPr>
              <w:t>10,164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0"/>
              <w:jc w:val="right"/>
              <w:rPr>
                <w:color w:val="000000"/>
              </w:rPr>
            </w:pPr>
            <w:r>
              <w:rPr>
                <w:color w:val="000000"/>
              </w:rPr>
              <w:t>11,162</w:t>
            </w:r>
          </w:p>
        </w:tc>
        <w:tc>
          <w:tcPr>
            <w:tcW w:w="75" w:type="dxa"/>
            <w:tcBorders/>
            <w:vAlign w:val="bottom"/>
          </w:tcPr>
          <w:p>
            <w:pPr>
              <w:pStyle w:val="TableContents"/>
              <w:bidi w:val="0"/>
              <w:spacing w:before="0" w:after="283"/>
              <w:jc w:val="left"/>
              <w:rPr/>
            </w:pPr>
            <w:r>
              <w:rPr/>
              <w:t> </w:t>
            </w:r>
          </w:p>
        </w:tc>
      </w:tr>
      <w:tr>
        <w:trPr/>
        <w:tc>
          <w:tcPr>
            <w:tcW w:w="2555" w:type="dxa"/>
            <w:tcBorders/>
            <w:shd w:fill="CCEEFF" w:val="clear"/>
            <w:vAlign w:val="bottom"/>
          </w:tcPr>
          <w:p>
            <w:pPr>
              <w:pStyle w:val="TableContents"/>
              <w:bidi w:val="0"/>
              <w:spacing w:before="0" w:after="0"/>
              <w:ind w:left="720" w:right="0" w:hanging="540"/>
              <w:jc w:val="left"/>
              <w:rPr>
                <w:color w:val="000000"/>
              </w:rPr>
            </w:pPr>
            <w:r>
              <w:rPr>
                <w:color w:val="000000"/>
              </w:rPr>
              <w:t>Rhyz Other</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2,137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34</w:t>
            </w:r>
          </w:p>
        </w:tc>
        <w:tc>
          <w:tcPr>
            <w:tcW w:w="75" w:type="dxa"/>
            <w:tcBorders/>
            <w:shd w:fill="CCEEFF" w:val="clear"/>
            <w:vAlign w:val="bottom"/>
          </w:tcPr>
          <w:p>
            <w:pPr>
              <w:pStyle w:val="TableContents"/>
              <w:bidi w:val="0"/>
              <w:spacing w:before="0" w:after="283"/>
              <w:jc w:val="left"/>
              <w:rPr/>
            </w:pPr>
            <w:r>
              <w:rPr/>
              <w:t> </w:t>
            </w:r>
          </w:p>
        </w:tc>
      </w:tr>
      <w:tr>
        <w:trPr/>
        <w:tc>
          <w:tcPr>
            <w:tcW w:w="2555" w:type="dxa"/>
            <w:tcBorders/>
            <w:vAlign w:val="bottom"/>
          </w:tcPr>
          <w:p>
            <w:pPr>
              <w:pStyle w:val="TableContents"/>
              <w:bidi w:val="0"/>
              <w:spacing w:before="0" w:after="0"/>
              <w:ind w:left="144" w:right="0" w:hanging="144"/>
              <w:jc w:val="left"/>
              <w:rPr>
                <w:i/>
                <w:color w:val="000000"/>
              </w:rPr>
            </w:pPr>
            <w:r>
              <w:rPr>
                <w:i/>
                <w:color w:val="000000"/>
              </w:rPr>
              <w:t>Total Rhyz</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6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6,032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6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12,301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6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11,196</w:t>
            </w:r>
          </w:p>
        </w:tc>
        <w:tc>
          <w:tcPr>
            <w:tcW w:w="75" w:type="dxa"/>
            <w:tcBorders/>
            <w:vAlign w:val="bottom"/>
          </w:tcPr>
          <w:p>
            <w:pPr>
              <w:pStyle w:val="TableContents"/>
              <w:bidi w:val="0"/>
              <w:spacing w:before="0" w:after="283"/>
              <w:jc w:val="left"/>
              <w:rPr/>
            </w:pPr>
            <w:r>
              <w:rPr/>
              <w:t> </w:t>
            </w:r>
          </w:p>
        </w:tc>
      </w:tr>
      <w:tr>
        <w:trPr/>
        <w:tc>
          <w:tcPr>
            <w:tcW w:w="2555" w:type="dxa"/>
            <w:tcBorders/>
            <w:shd w:fill="CCEEFF" w:val="clear"/>
            <w:vAlign w:val="bottom"/>
          </w:tcPr>
          <w:p>
            <w:pPr>
              <w:pStyle w:val="TableContents"/>
              <w:bidi w:val="0"/>
              <w:spacing w:before="0" w:after="0"/>
              <w:ind w:left="144" w:right="0" w:hanging="144"/>
              <w:jc w:val="left"/>
              <w:rPr>
                <w:color w:val="000000"/>
              </w:rPr>
            </w:pPr>
            <w:r>
              <w:rPr>
                <w:color w:val="000000"/>
              </w:rPr>
              <w:t>Corporate and other</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25,206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21,904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24,049</w:t>
            </w:r>
          </w:p>
        </w:tc>
        <w:tc>
          <w:tcPr>
            <w:tcW w:w="75" w:type="dxa"/>
            <w:tcBorders/>
            <w:shd w:fill="CCEEFF" w:val="clear"/>
            <w:vAlign w:val="bottom"/>
          </w:tcPr>
          <w:p>
            <w:pPr>
              <w:pStyle w:val="TableContents"/>
              <w:bidi w:val="0"/>
              <w:spacing w:before="0" w:after="283"/>
              <w:jc w:val="left"/>
              <w:rPr/>
            </w:pPr>
            <w:r>
              <w:rPr/>
              <w:t> </w:t>
            </w:r>
          </w:p>
        </w:tc>
      </w:tr>
      <w:tr>
        <w:trPr/>
        <w:tc>
          <w:tcPr>
            <w:tcW w:w="2555" w:type="dxa"/>
            <w:tcBorders/>
            <w:vAlign w:val="bottom"/>
          </w:tcPr>
          <w:p>
            <w:pPr>
              <w:pStyle w:val="TableContents"/>
              <w:bidi w:val="0"/>
              <w:spacing w:before="0" w:after="0"/>
              <w:ind w:left="288" w:right="0" w:hanging="144"/>
              <w:jc w:val="left"/>
              <w:rPr>
                <w:color w:val="000000"/>
              </w:rPr>
            </w:pPr>
            <w:r>
              <w:rPr>
                <w:color w:val="000000"/>
              </w:rPr>
              <w:t>Total</w:t>
            </w:r>
          </w:p>
        </w:tc>
        <w:tc>
          <w:tcPr>
            <w:tcW w:w="60" w:type="dxa"/>
            <w:tcBorders/>
            <w:vAlign w:val="bottom"/>
          </w:tcPr>
          <w:p>
            <w:pPr>
              <w:pStyle w:val="TableContents"/>
              <w:bidi w:val="0"/>
              <w:spacing w:before="0" w:after="283"/>
              <w:jc w:val="right"/>
              <w:rPr/>
            </w:pPr>
            <w:r>
              <w:rPr/>
              <w:t> </w:t>
            </w:r>
          </w:p>
        </w:tc>
        <w:tc>
          <w:tcPr>
            <w:tcW w:w="14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68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34,277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68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41,583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68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58,490</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Revenue by Major Market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b w:val="false"/>
          <w:color w:val="000000"/>
          <w:sz w:val="20"/>
          <w:shd w:fill="FFFFFF" w:val="clear"/>
        </w:rPr>
        <w:t xml:space="preserve">A major market is defined as one with total revenue greater than 10% of consolidated total revenue and also includes the Company’s country of domicile (the United States). </w:t>
      </w:r>
      <w:r>
        <w:rPr>
          <w:rFonts w:ascii="Times New Roman;Times;serif" w:hAnsi="Times New Roman;Times;serif"/>
          <w:color w:val="000000"/>
          <w:sz w:val="20"/>
          <w:shd w:fill="FFFFFF" w:val="clear"/>
        </w:rPr>
        <w:t>Based on this criteria, the Company has identified four major markets: Mainland China, South Korea, United States, and Japan. There are approximately 45 other markets, each of which individually is less than 10%. No single customer accounted for 10% or more of net sales for the periods presented. Sales are recorded in the jurisdiction in which the transactions occurred:</w:t>
      </w:r>
    </w:p>
    <w:p>
      <w:pPr>
        <w:pStyle w:val="TextBody"/>
        <w:bidi w:val="0"/>
        <w:spacing w:before="0" w:after="0"/>
        <w:jc w:val="left"/>
        <w:rPr/>
      </w:pPr>
      <w:r>
        <w:rPr/>
      </w:r>
    </w:p>
    <w:tbl>
      <w:tblPr>
        <w:tblW w:w="5450" w:type="dxa"/>
        <w:jc w:val="left"/>
        <w:tblInd w:w="0" w:type="dxa"/>
        <w:tblLayout w:type="fixed"/>
        <w:tblCellMar>
          <w:top w:w="0" w:type="dxa"/>
          <w:left w:w="0" w:type="dxa"/>
          <w:bottom w:w="0" w:type="dxa"/>
          <w:right w:w="0" w:type="dxa"/>
        </w:tblCellMar>
      </w:tblPr>
      <w:tblGrid>
        <w:gridCol w:w="2165"/>
        <w:gridCol w:w="60"/>
        <w:gridCol w:w="125"/>
        <w:gridCol w:w="845"/>
        <w:gridCol w:w="60"/>
        <w:gridCol w:w="60"/>
        <w:gridCol w:w="125"/>
        <w:gridCol w:w="845"/>
        <w:gridCol w:w="60"/>
        <w:gridCol w:w="60"/>
        <w:gridCol w:w="125"/>
        <w:gridCol w:w="845"/>
        <w:gridCol w:w="75"/>
      </w:tblGrid>
      <w:tr>
        <w:trPr/>
        <w:tc>
          <w:tcPr>
            <w:tcW w:w="21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50"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Year Ended December 31,</w:t>
            </w:r>
          </w:p>
        </w:tc>
        <w:tc>
          <w:tcPr>
            <w:tcW w:w="75" w:type="dxa"/>
            <w:tcBorders/>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(U.S. dollars in thousands)</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United States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388,218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526,059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514,947</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Mainland China</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195,553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235,235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298,079</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Japan</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174,364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181,557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207,833</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283"/>
              <w:jc w:val="left"/>
              <w:rPr/>
            </w:pPr>
            <w:r>
              <w:rPr/>
              <w:t>South Korea</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130,216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163,706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236,099</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All others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596,808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625,527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712,173</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331" w:right="0" w:hanging="187"/>
              <w:jc w:val="left"/>
              <w:rPr>
                <w:rFonts w:ascii="Times New Roman" w:hAnsi="Times New Roman"/>
                <w:sz w:val="20"/>
              </w:rPr>
            </w:pPr>
            <w:r>
              <w:rPr>
                <w:rFonts w:ascii="Times New Roman" w:hAnsi="Times New Roman"/>
                <w:sz w:val="20"/>
              </w:rPr>
              <w:t>Total</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1,485,159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1,732,084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1,969,131</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98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Revenue by Product Line</w:t>
      </w:r>
    </w:p>
    <w:p>
      <w:pPr>
        <w:pStyle w:val="TextBody"/>
        <w:bidi w:val="0"/>
        <w:spacing w:before="0" w:after="0"/>
        <w:jc w:val="left"/>
        <w:rPr/>
      </w:pPr>
      <w:r>
        <w:rPr/>
      </w:r>
    </w:p>
    <w:tbl>
      <w:tblPr>
        <w:tblW w:w="5450" w:type="dxa"/>
        <w:jc w:val="left"/>
        <w:tblInd w:w="0" w:type="dxa"/>
        <w:tblLayout w:type="fixed"/>
        <w:tblCellMar>
          <w:top w:w="0" w:type="dxa"/>
          <w:left w:w="0" w:type="dxa"/>
          <w:bottom w:w="0" w:type="dxa"/>
          <w:right w:w="0" w:type="dxa"/>
        </w:tblCellMar>
      </w:tblPr>
      <w:tblGrid>
        <w:gridCol w:w="2165"/>
        <w:gridCol w:w="60"/>
        <w:gridCol w:w="125"/>
        <w:gridCol w:w="845"/>
        <w:gridCol w:w="60"/>
        <w:gridCol w:w="60"/>
        <w:gridCol w:w="125"/>
        <w:gridCol w:w="845"/>
        <w:gridCol w:w="60"/>
        <w:gridCol w:w="60"/>
        <w:gridCol w:w="125"/>
        <w:gridCol w:w="845"/>
        <w:gridCol w:w="75"/>
      </w:tblGrid>
      <w:tr>
        <w:trPr/>
        <w:tc>
          <w:tcPr>
            <w:tcW w:w="21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50"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Year Ended December 31,</w:t>
            </w:r>
          </w:p>
        </w:tc>
        <w:tc>
          <w:tcPr>
            <w:tcW w:w="75" w:type="dxa"/>
            <w:tcBorders/>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(U.S. dollars in thousands)</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Beauty</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568,113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681,765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858,625</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Wellness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689,062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757,217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886,093</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Other</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227,984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293,102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224,413</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331" w:right="0" w:hanging="187"/>
              <w:jc w:val="left"/>
              <w:rPr>
                <w:rFonts w:ascii="Times New Roman" w:hAnsi="Times New Roman"/>
                <w:sz w:val="20"/>
              </w:rPr>
            </w:pPr>
            <w:r>
              <w:rPr>
                <w:rFonts w:ascii="Times New Roman" w:hAnsi="Times New Roman"/>
                <w:sz w:val="20"/>
              </w:rPr>
              <w:t>Total</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1,485,159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1,732,084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1,969,131</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Long-Lived Assets by Major Market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major market is defined as a market with long-lived assets greater than 10% of consolidated long-lived assets and also includes the Company’s country of domicile (the United States). Long-lived assets in Mainland China consist primarily of property, plant and equipment related to manufacturing, distribution facilities and the Mainland China headquarters. Long-lived assets in the United States consist primarily of property, plant and equipment, including the Company’s corporate offices and distribution facilities. Long-lived assets by major market are set forth below for the periods ended December 31, 2025, 2024 and 2023:</w:t>
      </w:r>
    </w:p>
    <w:p>
      <w:pPr>
        <w:pStyle w:val="TextBody"/>
        <w:bidi w:val="0"/>
        <w:spacing w:before="0" w:after="0"/>
        <w:jc w:val="left"/>
        <w:rPr/>
      </w:pPr>
      <w:r>
        <w:rPr/>
      </w:r>
    </w:p>
    <w:tbl>
      <w:tblPr>
        <w:tblW w:w="5000" w:type="dxa"/>
        <w:jc w:val="left"/>
        <w:tblInd w:w="0" w:type="dxa"/>
        <w:tblLayout w:type="fixed"/>
        <w:tblCellMar>
          <w:top w:w="0" w:type="dxa"/>
          <w:left w:w="0" w:type="dxa"/>
          <w:bottom w:w="0" w:type="dxa"/>
          <w:right w:w="0" w:type="dxa"/>
        </w:tblCellMar>
      </w:tblPr>
      <w:tblGrid>
        <w:gridCol w:w="2165"/>
        <w:gridCol w:w="60"/>
        <w:gridCol w:w="125"/>
        <w:gridCol w:w="695"/>
        <w:gridCol w:w="60"/>
        <w:gridCol w:w="60"/>
        <w:gridCol w:w="125"/>
        <w:gridCol w:w="695"/>
        <w:gridCol w:w="60"/>
        <w:gridCol w:w="60"/>
        <w:gridCol w:w="125"/>
        <w:gridCol w:w="695"/>
        <w:gridCol w:w="75"/>
      </w:tblGrid>
      <w:tr>
        <w:trPr/>
        <w:tc>
          <w:tcPr>
            <w:tcW w:w="21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00"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Year Ended December 31,</w:t>
            </w:r>
          </w:p>
        </w:tc>
        <w:tc>
          <w:tcPr>
            <w:tcW w:w="75" w:type="dxa"/>
            <w:tcBorders/>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(U.S. dollars in thousands)</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United States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281,616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294,513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339,163</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Mainland China</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105,948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107,260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122,728</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South Korea</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17,855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18,435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23,578</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Japan</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8,620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10,329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13,322</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All others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44,836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31,204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35,451</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331" w:right="0" w:hanging="187"/>
              <w:jc w:val="left"/>
              <w:rPr>
                <w:rFonts w:ascii="Times New Roman" w:hAnsi="Times New Roman"/>
                <w:sz w:val="20"/>
              </w:rPr>
            </w:pPr>
            <w:r>
              <w:rPr>
                <w:rFonts w:ascii="Times New Roman" w:hAnsi="Times New Roman"/>
                <w:sz w:val="20"/>
              </w:rPr>
              <w:t>Total</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458,875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461,741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534,242</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3100" w:type="dxa"/>
        <w:jc w:val="left"/>
        <w:tblInd w:w="0" w:type="dxa"/>
        <w:tblLayout w:type="fixed"/>
        <w:tblCellMar>
          <w:top w:w="0" w:type="dxa"/>
          <w:left w:w="0" w:type="dxa"/>
          <w:bottom w:w="0" w:type="dxa"/>
          <w:right w:w="0" w:type="dxa"/>
        </w:tblCellMar>
      </w:tblPr>
      <w:tblGrid>
        <w:gridCol w:w="290"/>
        <w:gridCol w:w="2810"/>
      </w:tblGrid>
      <w:tr>
        <w:trPr/>
        <w:tc>
          <w:tcPr>
            <w:tcW w:w="29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17.</w:t>
            </w:r>
          </w:p>
        </w:tc>
        <w:tc>
          <w:tcPr>
            <w:tcW w:w="281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Commitments and Contingencies</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Company is subject to government regulations pertaining to product formulation, labeling and packaging, product claims and advertising, and the Company’s direct selling system. The Company is also subject to the jurisdiction of numerous foreign tax and customs authorities. Any assertions or determination that either the Company or the Company’s sales force is not in compliance with existing statutes, laws, rules or regulations could have a material adverse effect on the Company’s operations. In addition, in any country or jurisdiction, the adoption of new statutes, laws, rules or regulations or changes in the interpretation of existing statutes, laws, rules or regulations could have a material adverse effect on the Company and its operations. No assurance can be given that the Company’s compliance with applicable statutes, laws, rules and regulations will not be challenged by foreign authorities or that such challenges will not have a material adverse effect on the Company’s financial position, results of operations or cash flows. The Company and its Subsidiaries are defendants in litigation, investigations and other proceedings involving various matters. The Company is subject to loss contingencies, including various legal and regulatory proceedings, asserted and potential claims that arise in the ordinary course of business. An estimated loss from such contingencies is recognized as a charge to income if it is probable that a liability has been incurred and the amount of the loss can be reasonably estimated.</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Company is subject to regular audits by federal, state and foreign tax authorities. These audits may result in additional tax liabilities.  The Company believes it has appropriately provided for income taxes for all years. Several factors drive the calculation of its tax reserves. Some of these factors include: (i) the expiration of various statutes of limitations; (ii) changes in tax law and regulations; (iii) issuance of tax rulings; and (iv) settlements with tax authorities. Changes in any of these factors may result in adjustments to the Company’s reserves, which would impact its reported financial results.</w:t>
      </w:r>
    </w:p>
    <w:p>
      <w:pPr>
        <w:pStyle w:val="TextBody"/>
        <w:bidi w:val="0"/>
        <w:spacing w:before="0" w:after="0"/>
        <w:jc w:val="left"/>
        <w:rPr/>
      </w:pPr>
      <w:r>
        <w:rPr/>
      </w:r>
    </w:p>
    <w:tbl>
      <w:tblPr>
        <w:tblW w:w="3520" w:type="dxa"/>
        <w:jc w:val="left"/>
        <w:tblInd w:w="0" w:type="dxa"/>
        <w:tblLayout w:type="fixed"/>
        <w:tblCellMar>
          <w:top w:w="0" w:type="dxa"/>
          <w:left w:w="0" w:type="dxa"/>
          <w:bottom w:w="0" w:type="dxa"/>
          <w:right w:w="0" w:type="dxa"/>
        </w:tblCellMar>
      </w:tblPr>
      <w:tblGrid>
        <w:gridCol w:w="290"/>
        <w:gridCol w:w="3230"/>
      </w:tblGrid>
      <w:tr>
        <w:trPr/>
        <w:tc>
          <w:tcPr>
            <w:tcW w:w="29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18.</w:t>
            </w:r>
          </w:p>
        </w:tc>
        <w:tc>
          <w:tcPr>
            <w:tcW w:w="323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Restructuring and Severance Charges</w:t>
            </w:r>
          </w:p>
        </w:tc>
      </w:tr>
    </w:tbl>
    <w:p>
      <w:pPr>
        <w:pStyle w:val="TextBody"/>
        <w:bidi w:val="0"/>
        <w:spacing w:before="0" w:after="0"/>
        <w:jc w:val="both"/>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the third quarter of 2022, the Company adopted a strategic plan (“2022 Plan”) to focus resources on the Company’s strategic priorities and optimize future growth and profitability. The global program includes workforce reductions and footprint optimization. The Company incurred total cumulative charges under the program of approximately $53.3 million, with $40.8 million in cash charges of severance and lease termination cost and approximately $12.5 million of non-cash charges of impairment of fixed assets, acceleration of depreciation and impairment of other intangibles related to the footprint optimization. During 2023, the Company incurred charges to be settled in cash of $4.0 million in severance charges, $1.9 million in lease termination cost, and $2.2 million in other associated cost, and non-cash charges of $1.7 million in accelerated depreciation. In 2023, the Company made cash payments of $19.8 million, leaving no restructuring accrual related to this plan as of December 31, 2023.</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99</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60" w:after="60"/>
        <w:jc w:val="left"/>
        <w:rPr>
          <w:rFonts w:ascii="Times New Roman" w:hAnsi="Times New Roman"/>
          <w:i/>
          <w:color w:val="000000"/>
          <w:sz w:val="20"/>
          <w:shd w:fill="FFFFFF" w:val="clear"/>
        </w:rPr>
      </w:pPr>
      <w:r>
        <w:rPr>
          <w:rFonts w:ascii="Times New Roman" w:hAnsi="Times New Roman"/>
          <w:i/>
          <w:color w:val="000000"/>
          <w:sz w:val="20"/>
          <w:shd w:fill="FFFFFF" w:val="clear"/>
        </w:rPr>
        <w:t>Restructuring expense by segment – 2022 Plan</w:t>
      </w:r>
    </w:p>
    <w:p>
      <w:pPr>
        <w:pStyle w:val="TextBody"/>
        <w:bidi w:val="0"/>
        <w:spacing w:before="0" w:after="0"/>
        <w:ind w:left="0" w:right="0" w:hanging="0"/>
        <w:jc w:val="both"/>
        <w:rPr>
          <w:rFonts w:ascii="Times New Roman" w:hAnsi="Times New Roman"/>
        </w:rPr>
      </w:pPr>
      <w:r>
        <w:rPr>
          <w:rFonts w:ascii="Times New Roman" w:hAnsi="Times New Roman"/>
        </w:rPr>
      </w:r>
    </w:p>
    <w:tbl>
      <w:tblPr>
        <w:tblW w:w="4522" w:type="dxa"/>
        <w:jc w:val="left"/>
        <w:tblInd w:w="0" w:type="dxa"/>
        <w:tblLayout w:type="fixed"/>
        <w:tblCellMar>
          <w:top w:w="0" w:type="dxa"/>
          <w:left w:w="0" w:type="dxa"/>
          <w:bottom w:w="0" w:type="dxa"/>
          <w:right w:w="0" w:type="dxa"/>
        </w:tblCellMar>
      </w:tblPr>
      <w:tblGrid>
        <w:gridCol w:w="2165"/>
        <w:gridCol w:w="60"/>
        <w:gridCol w:w="189"/>
        <w:gridCol w:w="736"/>
        <w:gridCol w:w="121"/>
        <w:gridCol w:w="91"/>
        <w:gridCol w:w="189"/>
        <w:gridCol w:w="896"/>
        <w:gridCol w:w="75"/>
      </w:tblGrid>
      <w:tr>
        <w:trPr/>
        <w:tc>
          <w:tcPr>
            <w:tcW w:w="2165"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222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Year Ended December 31,</w:t>
            </w:r>
          </w:p>
        </w:tc>
        <w:tc>
          <w:tcPr>
            <w:tcW w:w="75" w:type="dxa"/>
            <w:tcBorders/>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(U.S. dollars in thousands)</w:t>
            </w:r>
          </w:p>
        </w:tc>
        <w:tc>
          <w:tcPr>
            <w:tcW w:w="60" w:type="dxa"/>
            <w:tcBorders/>
            <w:vAlign w:val="bottom"/>
          </w:tcPr>
          <w:p>
            <w:pPr>
              <w:pStyle w:val="TableContents"/>
              <w:bidi w:val="0"/>
              <w:spacing w:before="0" w:after="283"/>
              <w:jc w:val="left"/>
              <w:rPr/>
            </w:pPr>
            <w:r>
              <w:rPr/>
              <w:t> </w:t>
            </w:r>
          </w:p>
        </w:tc>
        <w:tc>
          <w:tcPr>
            <w:tcW w:w="9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1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2022</w:t>
            </w:r>
          </w:p>
        </w:tc>
        <w:tc>
          <w:tcPr>
            <w:tcW w:w="75" w:type="dxa"/>
            <w:tcBorders/>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Nu Skin</w:t>
            </w:r>
          </w:p>
        </w:tc>
        <w:tc>
          <w:tcPr>
            <w:tcW w:w="60" w:type="dxa"/>
            <w:tcBorders/>
            <w:vAlign w:val="bottom"/>
          </w:tcPr>
          <w:p>
            <w:pPr>
              <w:pStyle w:val="TableContents"/>
              <w:bidi w:val="0"/>
              <w:spacing w:before="0" w:after="283"/>
              <w:jc w:val="left"/>
              <w:rPr/>
            </w:pPr>
            <w:r>
              <w:rPr/>
              <w:t> </w:t>
            </w:r>
          </w:p>
        </w:tc>
        <w:tc>
          <w:tcPr>
            <w:tcW w:w="925" w:type="dxa"/>
            <w:gridSpan w:val="2"/>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8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Americas</w:t>
            </w:r>
          </w:p>
        </w:tc>
        <w:tc>
          <w:tcPr>
            <w:tcW w:w="60"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918</w:t>
            </w:r>
          </w:p>
        </w:tc>
        <w:tc>
          <w:tcPr>
            <w:tcW w:w="1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1,687</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Southeast Asia/Pacific</w:t>
            </w:r>
          </w:p>
        </w:tc>
        <w:tc>
          <w:tcPr>
            <w:tcW w:w="60" w:type="dxa"/>
            <w:tcBorders/>
            <w:vAlign w:val="bottom"/>
          </w:tcPr>
          <w:p>
            <w:pPr>
              <w:pStyle w:val="TableContents"/>
              <w:bidi w:val="0"/>
              <w:spacing w:before="0" w:after="283"/>
              <w:jc w:val="right"/>
              <w:rPr/>
            </w:pPr>
            <w:r>
              <w:rPr/>
              <w:t> </w:t>
            </w:r>
          </w:p>
        </w:tc>
        <w:tc>
          <w:tcPr>
            <w:tcW w:w="189"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w:t>
            </w:r>
          </w:p>
        </w:tc>
        <w:tc>
          <w:tcPr>
            <w:tcW w:w="1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right"/>
              <w:rPr/>
            </w:pPr>
            <w:r>
              <w:rPr/>
              <w:t> </w:t>
            </w:r>
          </w:p>
        </w:tc>
        <w:tc>
          <w:tcPr>
            <w:tcW w:w="189"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1,809</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Mainland China</w:t>
            </w:r>
          </w:p>
        </w:tc>
        <w:tc>
          <w:tcPr>
            <w:tcW w:w="60"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1,352</w:t>
            </w:r>
          </w:p>
        </w:tc>
        <w:tc>
          <w:tcPr>
            <w:tcW w:w="1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13,181</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Japan</w:t>
            </w:r>
          </w:p>
        </w:tc>
        <w:tc>
          <w:tcPr>
            <w:tcW w:w="60" w:type="dxa"/>
            <w:tcBorders/>
            <w:vAlign w:val="bottom"/>
          </w:tcPr>
          <w:p>
            <w:pPr>
              <w:pStyle w:val="TableContents"/>
              <w:bidi w:val="0"/>
              <w:spacing w:before="0" w:after="283"/>
              <w:jc w:val="right"/>
              <w:rPr/>
            </w:pPr>
            <w:r>
              <w:rPr/>
              <w:t> </w:t>
            </w:r>
          </w:p>
        </w:tc>
        <w:tc>
          <w:tcPr>
            <w:tcW w:w="189"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1,515</w:t>
            </w:r>
          </w:p>
        </w:tc>
        <w:tc>
          <w:tcPr>
            <w:tcW w:w="1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right"/>
              <w:rPr/>
            </w:pPr>
            <w:r>
              <w:rPr/>
              <w:t> </w:t>
            </w:r>
          </w:p>
        </w:tc>
        <w:tc>
          <w:tcPr>
            <w:tcW w:w="189"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699</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Europe &amp; Africa</w:t>
            </w:r>
          </w:p>
        </w:tc>
        <w:tc>
          <w:tcPr>
            <w:tcW w:w="60"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(113</w:t>
            </w:r>
          </w:p>
        </w:tc>
        <w:tc>
          <w:tcPr>
            <w:tcW w:w="12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1"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2,143</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South Korea</w:t>
            </w:r>
          </w:p>
        </w:tc>
        <w:tc>
          <w:tcPr>
            <w:tcW w:w="60" w:type="dxa"/>
            <w:tcBorders/>
            <w:vAlign w:val="bottom"/>
          </w:tcPr>
          <w:p>
            <w:pPr>
              <w:pStyle w:val="TableContents"/>
              <w:bidi w:val="0"/>
              <w:spacing w:before="0" w:after="283"/>
              <w:jc w:val="right"/>
              <w:rPr/>
            </w:pPr>
            <w:r>
              <w:rPr/>
              <w:t> </w:t>
            </w:r>
          </w:p>
        </w:tc>
        <w:tc>
          <w:tcPr>
            <w:tcW w:w="189"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422</w:t>
            </w:r>
          </w:p>
        </w:tc>
        <w:tc>
          <w:tcPr>
            <w:tcW w:w="1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right"/>
              <w:rPr/>
            </w:pPr>
            <w:r>
              <w:rPr/>
              <w:t> </w:t>
            </w:r>
          </w:p>
        </w:tc>
        <w:tc>
          <w:tcPr>
            <w:tcW w:w="189"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1,533</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Hong Kong/Taiwan</w:t>
            </w:r>
          </w:p>
        </w:tc>
        <w:tc>
          <w:tcPr>
            <w:tcW w:w="60" w:type="dxa"/>
            <w:tcBorders/>
            <w:shd w:fill="CCEEFF" w:val="clear"/>
            <w:vAlign w:val="bottom"/>
          </w:tcPr>
          <w:p>
            <w:pPr>
              <w:pStyle w:val="TableContents"/>
              <w:bidi w:val="0"/>
              <w:spacing w:before="0" w:after="283"/>
              <w:jc w:val="right"/>
              <w:rPr/>
            </w:pPr>
            <w:r>
              <w:rPr/>
              <w:t> </w:t>
            </w:r>
          </w:p>
        </w:tc>
        <w:tc>
          <w:tcPr>
            <w:tcW w:w="18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(201</w:t>
            </w:r>
          </w:p>
        </w:tc>
        <w:tc>
          <w:tcPr>
            <w:tcW w:w="12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1" w:type="dxa"/>
            <w:tcBorders/>
            <w:shd w:fill="CCEEFF" w:val="clear"/>
            <w:vAlign w:val="bottom"/>
          </w:tcPr>
          <w:p>
            <w:pPr>
              <w:pStyle w:val="TableContents"/>
              <w:bidi w:val="0"/>
              <w:spacing w:before="0" w:after="283"/>
              <w:jc w:val="right"/>
              <w:rPr/>
            </w:pPr>
            <w:r>
              <w:rPr/>
              <w:t> </w:t>
            </w:r>
          </w:p>
        </w:tc>
        <w:tc>
          <w:tcPr>
            <w:tcW w:w="18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2,464</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Total Nu Skin</w:t>
            </w:r>
          </w:p>
        </w:tc>
        <w:tc>
          <w:tcPr>
            <w:tcW w:w="60" w:type="dxa"/>
            <w:tcBorders/>
            <w:vAlign w:val="bottom"/>
          </w:tcPr>
          <w:p>
            <w:pPr>
              <w:pStyle w:val="TableContents"/>
              <w:bidi w:val="0"/>
              <w:spacing w:before="0" w:after="283"/>
              <w:jc w:val="right"/>
              <w:rPr/>
            </w:pPr>
            <w:r>
              <w:rPr/>
              <w:t> </w:t>
            </w:r>
          </w:p>
        </w:tc>
        <w:tc>
          <w:tcPr>
            <w:tcW w:w="189"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4,024</w:t>
            </w:r>
          </w:p>
        </w:tc>
        <w:tc>
          <w:tcPr>
            <w:tcW w:w="1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right"/>
              <w:rPr/>
            </w:pPr>
            <w:r>
              <w:rPr/>
              <w:t> </w:t>
            </w:r>
          </w:p>
        </w:tc>
        <w:tc>
          <w:tcPr>
            <w:tcW w:w="189"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23,516</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Rhyz</w:t>
            </w:r>
          </w:p>
        </w:tc>
        <w:tc>
          <w:tcPr>
            <w:tcW w:w="60"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 </w:t>
            </w:r>
          </w:p>
        </w:tc>
        <w:tc>
          <w:tcPr>
            <w:tcW w:w="1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Manufacturing</w:t>
            </w:r>
          </w:p>
        </w:tc>
        <w:tc>
          <w:tcPr>
            <w:tcW w:w="60" w:type="dxa"/>
            <w:tcBorders/>
            <w:vAlign w:val="bottom"/>
          </w:tcPr>
          <w:p>
            <w:pPr>
              <w:pStyle w:val="TableContents"/>
              <w:bidi w:val="0"/>
              <w:spacing w:before="0" w:after="283"/>
              <w:jc w:val="right"/>
              <w:rPr/>
            </w:pPr>
            <w:r>
              <w:rPr/>
              <w:t> </w:t>
            </w:r>
          </w:p>
        </w:tc>
        <w:tc>
          <w:tcPr>
            <w:tcW w:w="189"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w:t>
            </w:r>
          </w:p>
        </w:tc>
        <w:tc>
          <w:tcPr>
            <w:tcW w:w="1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right"/>
              <w:rPr/>
            </w:pPr>
            <w:r>
              <w:rPr/>
              <w:t> </w:t>
            </w:r>
          </w:p>
        </w:tc>
        <w:tc>
          <w:tcPr>
            <w:tcW w:w="189"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401</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Rhyz Other</w:t>
            </w:r>
          </w:p>
        </w:tc>
        <w:tc>
          <w:tcPr>
            <w:tcW w:w="60" w:type="dxa"/>
            <w:tcBorders/>
            <w:shd w:fill="CCEEFF" w:val="clear"/>
            <w:vAlign w:val="bottom"/>
          </w:tcPr>
          <w:p>
            <w:pPr>
              <w:pStyle w:val="TableContents"/>
              <w:bidi w:val="0"/>
              <w:spacing w:before="0" w:after="283"/>
              <w:jc w:val="right"/>
              <w:rPr/>
            </w:pPr>
            <w:r>
              <w:rPr/>
              <w:t> </w:t>
            </w:r>
          </w:p>
        </w:tc>
        <w:tc>
          <w:tcPr>
            <w:tcW w:w="18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right"/>
              <w:rPr/>
            </w:pPr>
            <w:r>
              <w:rPr/>
              <w:t> </w:t>
            </w:r>
          </w:p>
        </w:tc>
        <w:tc>
          <w:tcPr>
            <w:tcW w:w="18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Total Rhyz</w:t>
            </w:r>
          </w:p>
        </w:tc>
        <w:tc>
          <w:tcPr>
            <w:tcW w:w="60" w:type="dxa"/>
            <w:tcBorders/>
            <w:vAlign w:val="bottom"/>
          </w:tcPr>
          <w:p>
            <w:pPr>
              <w:pStyle w:val="TableContents"/>
              <w:bidi w:val="0"/>
              <w:spacing w:before="0" w:after="283"/>
              <w:jc w:val="right"/>
              <w:rPr/>
            </w:pPr>
            <w:r>
              <w:rPr/>
              <w:t> </w:t>
            </w:r>
          </w:p>
        </w:tc>
        <w:tc>
          <w:tcPr>
            <w:tcW w:w="189" w:type="dxa"/>
            <w:tcBorders>
              <w:bottom w:val="single" w:sz="12" w:space="0" w:color="000000"/>
            </w:tcBorders>
            <w:tcMar>
              <w:bottom w:w="28" w:type="dxa"/>
            </w:tcMar>
            <w:vAlign w:val="bottom"/>
          </w:tcPr>
          <w:p>
            <w:pPr>
              <w:pStyle w:val="TableContents"/>
              <w:bidi w:val="0"/>
              <w:spacing w:before="0" w:after="283"/>
              <w:jc w:val="left"/>
              <w:rPr/>
            </w:pPr>
            <w:r>
              <w:rPr/>
              <w:t> </w:t>
            </w:r>
          </w:p>
        </w:tc>
        <w:tc>
          <w:tcPr>
            <w:tcW w:w="73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w:t>
            </w:r>
          </w:p>
        </w:tc>
        <w:tc>
          <w:tcPr>
            <w:tcW w:w="1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right"/>
              <w:rPr/>
            </w:pPr>
            <w:r>
              <w:rPr/>
              <w:t> </w:t>
            </w:r>
          </w:p>
        </w:tc>
        <w:tc>
          <w:tcPr>
            <w:tcW w:w="189" w:type="dxa"/>
            <w:tcBorders>
              <w:bottom w:val="single" w:sz="12" w:space="0" w:color="000000"/>
            </w:tcBorders>
            <w:tcMar>
              <w:bottom w:w="28" w:type="dxa"/>
            </w:tcMar>
            <w:vAlign w:val="bottom"/>
          </w:tcPr>
          <w:p>
            <w:pPr>
              <w:pStyle w:val="TableContents"/>
              <w:bidi w:val="0"/>
              <w:spacing w:before="0" w:after="283"/>
              <w:jc w:val="left"/>
              <w:rPr/>
            </w:pPr>
            <w:r>
              <w:rPr/>
              <w:t> </w:t>
            </w:r>
          </w:p>
        </w:tc>
        <w:tc>
          <w:tcPr>
            <w:tcW w:w="89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401</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Corporate and other</w:t>
            </w:r>
          </w:p>
        </w:tc>
        <w:tc>
          <w:tcPr>
            <w:tcW w:w="60" w:type="dxa"/>
            <w:tcBorders/>
            <w:shd w:fill="CCEEFF" w:val="clear"/>
            <w:vAlign w:val="bottom"/>
          </w:tcPr>
          <w:p>
            <w:pPr>
              <w:pStyle w:val="TableContents"/>
              <w:bidi w:val="0"/>
              <w:spacing w:before="0" w:after="283"/>
              <w:jc w:val="right"/>
              <w:rPr/>
            </w:pPr>
            <w:r>
              <w:rPr/>
              <w:t> </w:t>
            </w:r>
          </w:p>
        </w:tc>
        <w:tc>
          <w:tcPr>
            <w:tcW w:w="18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5,750</w:t>
            </w:r>
          </w:p>
        </w:tc>
        <w:tc>
          <w:tcPr>
            <w:tcW w:w="1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right"/>
              <w:rPr/>
            </w:pPr>
            <w:r>
              <w:rPr/>
              <w:t> </w:t>
            </w:r>
          </w:p>
        </w:tc>
        <w:tc>
          <w:tcPr>
            <w:tcW w:w="18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19,577</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Total</w:t>
            </w:r>
          </w:p>
        </w:tc>
        <w:tc>
          <w:tcPr>
            <w:tcW w:w="60" w:type="dxa"/>
            <w:tcBorders/>
            <w:vAlign w:val="bottom"/>
          </w:tcPr>
          <w:p>
            <w:pPr>
              <w:pStyle w:val="TableContents"/>
              <w:bidi w:val="0"/>
              <w:spacing w:before="0" w:after="283"/>
              <w:jc w:val="right"/>
              <w:rPr/>
            </w:pPr>
            <w:r>
              <w:rPr/>
              <w:t> </w:t>
            </w:r>
          </w:p>
        </w:tc>
        <w:tc>
          <w:tcPr>
            <w:tcW w:w="189"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9,787</w:t>
            </w:r>
          </w:p>
        </w:tc>
        <w:tc>
          <w:tcPr>
            <w:tcW w:w="1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right"/>
              <w:rPr/>
            </w:pPr>
            <w:r>
              <w:rPr/>
              <w:t> </w:t>
            </w:r>
          </w:p>
        </w:tc>
        <w:tc>
          <w:tcPr>
            <w:tcW w:w="189"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43,494</w:t>
            </w:r>
          </w:p>
        </w:tc>
        <w:tc>
          <w:tcPr>
            <w:tcW w:w="75" w:type="dxa"/>
            <w:tcBorders/>
            <w:vAlign w:val="bottom"/>
          </w:tcPr>
          <w:p>
            <w:pPr>
              <w:pStyle w:val="TableContents"/>
              <w:bidi w:val="0"/>
              <w:spacing w:before="0" w:after="283"/>
              <w:jc w:val="left"/>
              <w:rPr/>
            </w:pPr>
            <w:r>
              <w:rPr/>
              <w:t> </w:t>
            </w:r>
          </w:p>
        </w:tc>
      </w:tr>
    </w:tbl>
    <w:p>
      <w:pPr>
        <w:pStyle w:val="TextBody"/>
        <w:bidi w:val="0"/>
        <w:spacing w:before="0" w:after="0"/>
        <w:ind w:left="0" w:right="0" w:hanging="0"/>
        <w:jc w:val="both"/>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the fourth quarter of 2023, the Company adopted a strategic plan (“2023 Plan”) to focus resources on the Company’s global priorities and optimize future growth and profitability. The global program includes workforce reductions and fixed asset impairments associated with our consolidation of technology assets. Total charges under the program included approximately $27.9 million in cash charges of severance, approximately $1.1 million in other cash charges and approximately $38.8 million in non-cash charges, including approximately $36.6 million in fixed asset impairments. The Company has incurred all expected charges under the 2023 Plan.</w:t>
      </w:r>
    </w:p>
    <w:p>
      <w:pPr>
        <w:pStyle w:val="TextBody"/>
        <w:bidi w:val="0"/>
        <w:spacing w:before="0" w:after="0"/>
        <w:jc w:val="both"/>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0"/>
              <w:jc w:val="left"/>
              <w:rPr/>
            </w:pPr>
            <w:r>
              <w:rPr/>
            </w:r>
          </w:p>
        </w:tc>
        <w:tc>
          <w:tcPr>
            <w:tcW w:w="170" w:type="dxa"/>
            <w:tcBorders/>
            <w:vAlign w:val="center"/>
          </w:tcPr>
          <w:p>
            <w:pPr>
              <w:pStyle w:val="TableContents"/>
              <w:bidi w:val="0"/>
              <w:spacing w:before="0" w:after="0"/>
              <w:jc w:val="both"/>
              <w:rPr/>
            </w:pPr>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During the fourth quarter of 2023, the Company incurred charges to be settled in cash of $10.0 million in severance charges. During the fourth quarter of 2023, the Company made cash payments of $0.3 million, leaving an ending restructuring accrual of $9.7 million.</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0"/>
              <w:jc w:val="left"/>
              <w:rPr/>
            </w:pPr>
            <w:r>
              <w:rPr/>
            </w:r>
          </w:p>
        </w:tc>
        <w:tc>
          <w:tcPr>
            <w:tcW w:w="170" w:type="dxa"/>
            <w:tcBorders/>
            <w:vAlign w:val="center"/>
          </w:tcPr>
          <w:p>
            <w:pPr>
              <w:pStyle w:val="TableContents"/>
              <w:bidi w:val="0"/>
              <w:spacing w:before="0" w:after="0"/>
              <w:jc w:val="both"/>
              <w:rPr/>
            </w:pPr>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During 2024, the Company incurred charges to be settled in cash of $17.9 million in severance charges and $1.0 million of other associated cost, and non-cash charges of $36.6 million of fixed asset impairments and $2.2 million of other non-cash charges.</w:t>
            </w:r>
          </w:p>
        </w:tc>
      </w:tr>
    </w:tbl>
    <w:tbl>
      <w:tblPr>
        <w:tblW w:w="10113" w:type="dxa"/>
        <w:jc w:val="left"/>
        <w:tblInd w:w="0" w:type="dxa"/>
        <w:tblLayout w:type="fixed"/>
        <w:tblCellMar>
          <w:top w:w="0" w:type="dxa"/>
          <w:left w:w="0" w:type="dxa"/>
          <w:bottom w:w="0" w:type="dxa"/>
          <w:right w:w="0" w:type="dxa"/>
        </w:tblCellMar>
      </w:tblPr>
      <w:tblGrid>
        <w:gridCol w:w="38"/>
        <w:gridCol w:w="170"/>
        <w:gridCol w:w="9905"/>
      </w:tblGrid>
      <w:tr>
        <w:trPr/>
        <w:tc>
          <w:tcPr>
            <w:tcW w:w="38" w:type="dxa"/>
            <w:tcBorders/>
            <w:vAlign w:val="center"/>
          </w:tcPr>
          <w:p>
            <w:pPr>
              <w:pStyle w:val="TableContents"/>
              <w:bidi w:val="0"/>
              <w:spacing w:before="0" w:after="0"/>
              <w:jc w:val="left"/>
              <w:rPr/>
            </w:pPr>
            <w:r>
              <w:rPr/>
            </w:r>
          </w:p>
        </w:tc>
        <w:tc>
          <w:tcPr>
            <w:tcW w:w="170" w:type="dxa"/>
            <w:tcBorders/>
            <w:vAlign w:val="center"/>
          </w:tcPr>
          <w:p>
            <w:pPr>
              <w:pStyle w:val="TableContents"/>
              <w:bidi w:val="0"/>
              <w:spacing w:before="0" w:after="0"/>
              <w:jc w:val="both"/>
              <w:rPr/>
            </w:pPr>
            <w:r>
              <w:rPr/>
              <w:t>●</w:t>
            </w:r>
          </w:p>
        </w:tc>
        <w:tc>
          <w:tcPr>
            <w:tcW w:w="99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During 2024, the Company made cash payments of $22.4 million, leaving an ending restructuring accrual of $6.2 million.</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0"/>
              <w:jc w:val="left"/>
              <w:rPr/>
            </w:pPr>
            <w:r>
              <w:rPr/>
            </w:r>
          </w:p>
        </w:tc>
        <w:tc>
          <w:tcPr>
            <w:tcW w:w="170" w:type="dxa"/>
            <w:tcBorders/>
            <w:vAlign w:val="center"/>
          </w:tcPr>
          <w:p>
            <w:pPr>
              <w:pStyle w:val="TableContents"/>
              <w:bidi w:val="0"/>
              <w:spacing w:before="0" w:after="0"/>
              <w:jc w:val="left"/>
              <w:rPr/>
            </w:pPr>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During 2025, the Company made cash payments of $6.2 million, resulting in no remaining restructuring accrual related to this plan as of December 31, 2025.</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ind w:left="2" w:right="2" w:hanging="0"/>
        <w:jc w:val="both"/>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Restructuring expense by segment – 2023 Plan</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r>
    </w:p>
    <w:tbl>
      <w:tblPr>
        <w:tblW w:w="4523" w:type="dxa"/>
        <w:jc w:val="left"/>
        <w:tblInd w:w="0" w:type="dxa"/>
        <w:tblLayout w:type="fixed"/>
        <w:tblCellMar>
          <w:top w:w="0" w:type="dxa"/>
          <w:left w:w="0" w:type="dxa"/>
          <w:bottom w:w="0" w:type="dxa"/>
          <w:right w:w="0" w:type="dxa"/>
        </w:tblCellMar>
      </w:tblPr>
      <w:tblGrid>
        <w:gridCol w:w="2165"/>
        <w:gridCol w:w="60"/>
        <w:gridCol w:w="168"/>
        <w:gridCol w:w="793"/>
        <w:gridCol w:w="80"/>
        <w:gridCol w:w="80"/>
        <w:gridCol w:w="188"/>
        <w:gridCol w:w="914"/>
        <w:gridCol w:w="75"/>
      </w:tblGrid>
      <w:tr>
        <w:trPr/>
        <w:tc>
          <w:tcPr>
            <w:tcW w:w="2165" w:type="dxa"/>
            <w:vMerge w:val="restart"/>
            <w:tcBorders/>
            <w:vAlign w:val="center"/>
          </w:tcPr>
          <w:p>
            <w:pPr>
              <w:pStyle w:val="TableContents"/>
              <w:bidi w:val="0"/>
              <w:spacing w:before="0" w:after="0"/>
              <w:jc w:val="left"/>
              <w:rPr>
                <w:rFonts w:ascii="Times New Roman" w:hAnsi="Times New Roman"/>
                <w:sz w:val="20"/>
              </w:rPr>
            </w:pPr>
            <w:r>
              <w:rPr>
                <w:rFonts w:ascii="Times New Roman" w:hAnsi="Times New Roman"/>
                <w:color w:val="000000"/>
                <w:sz w:val="20"/>
              </w:rPr>
              <w:t>(U.S. dollars in</w:t>
            </w:r>
            <w:r>
              <w:rPr>
                <w:rFonts w:ascii="Times New Roman" w:hAnsi="Times New Roman"/>
                <w:sz w:val="20"/>
              </w:rPr>
              <w:t xml:space="preserve"> thousand</w:t>
            </w:r>
            <w:r>
              <w:rPr>
                <w:rFonts w:ascii="Times New Roman" w:hAnsi="Times New Roman"/>
                <w:color w:val="000000"/>
                <w:sz w:val="20"/>
              </w:rPr>
              <w:t>s)</w:t>
            </w:r>
          </w:p>
        </w:tc>
        <w:tc>
          <w:tcPr>
            <w:tcW w:w="60" w:type="dxa"/>
            <w:vMerge w:val="restart"/>
            <w:tcBorders/>
            <w:vAlign w:val="bottom"/>
          </w:tcPr>
          <w:p>
            <w:pPr>
              <w:pStyle w:val="TableContents"/>
              <w:bidi w:val="0"/>
              <w:spacing w:before="0" w:after="283"/>
              <w:jc w:val="left"/>
              <w:rPr/>
            </w:pPr>
            <w:r>
              <w:rPr/>
              <w:t> </w:t>
            </w:r>
          </w:p>
        </w:tc>
        <w:tc>
          <w:tcPr>
            <w:tcW w:w="2223"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Year Ended December 31,</w:t>
            </w:r>
          </w:p>
        </w:tc>
        <w:tc>
          <w:tcPr>
            <w:tcW w:w="75" w:type="dxa"/>
            <w:vMerge w:val="restart"/>
            <w:tcBorders/>
            <w:vAlign w:val="bottom"/>
          </w:tcPr>
          <w:p>
            <w:pPr>
              <w:pStyle w:val="TableContents"/>
              <w:bidi w:val="0"/>
              <w:spacing w:before="0" w:after="283"/>
              <w:jc w:val="left"/>
              <w:rPr/>
            </w:pPr>
            <w:r>
              <w:rPr/>
              <w:t> </w:t>
            </w:r>
          </w:p>
        </w:tc>
      </w:tr>
      <w:tr>
        <w:trPr/>
        <w:tc>
          <w:tcPr>
            <w:tcW w:w="2165" w:type="dxa"/>
            <w:vMerge w:val="continue"/>
            <w:tcBorders/>
            <w:vAlign w:val="center"/>
          </w:tcPr>
          <w:p>
            <w:pPr>
              <w:pStyle w:val="Normal"/>
              <w:bidi w:val="0"/>
              <w:jc w:val="left"/>
              <w:rPr/>
            </w:pPr>
            <w:r>
              <w:rPr/>
            </w:r>
          </w:p>
        </w:tc>
        <w:tc>
          <w:tcPr>
            <w:tcW w:w="60" w:type="dxa"/>
            <w:vMerge w:val="continue"/>
            <w:tcBorders/>
            <w:vAlign w:val="bottom"/>
          </w:tcPr>
          <w:p>
            <w:pPr>
              <w:pStyle w:val="Normal"/>
              <w:bidi w:val="0"/>
              <w:jc w:val="left"/>
              <w:rPr/>
            </w:pPr>
            <w:r>
              <w:rPr/>
            </w:r>
          </w:p>
        </w:tc>
        <w:tc>
          <w:tcPr>
            <w:tcW w:w="961" w:type="dxa"/>
            <w:gridSpan w:val="2"/>
            <w:tcBorders>
              <w:bottom w:val="single" w:sz="12" w:space="0" w:color="000000"/>
            </w:tcBorders>
            <w:tcMar>
              <w:bottom w:w="28" w:type="dxa"/>
            </w:tcMar>
            <w:vAlign w:val="center"/>
          </w:tcPr>
          <w:p>
            <w:pPr>
              <w:pStyle w:val="TableContents"/>
              <w:bidi w:val="0"/>
              <w:spacing w:before="0" w:after="283"/>
              <w:jc w:val="center"/>
              <w:rPr>
                <w:b/>
                <w:color w:val="000000"/>
                <w:sz w:val="20"/>
              </w:rPr>
            </w:pPr>
            <w:r>
              <w:rPr>
                <w:b/>
                <w:color w:val="000000"/>
                <w:sz w:val="20"/>
              </w:rPr>
              <w:t>2024</w:t>
            </w:r>
          </w:p>
        </w:tc>
        <w:tc>
          <w:tcPr>
            <w:tcW w:w="8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102" w:type="dxa"/>
            <w:gridSpan w:val="2"/>
            <w:tcBorders>
              <w:bottom w:val="single" w:sz="12" w:space="0" w:color="000000"/>
            </w:tcBorders>
            <w:tcMar>
              <w:bottom w:w="2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75" w:type="dxa"/>
            <w:vMerge w:val="continue"/>
            <w:tcBorders/>
            <w:vAlign w:val="bottom"/>
          </w:tcPr>
          <w:p>
            <w:pPr>
              <w:pStyle w:val="Normal"/>
              <w:bidi w:val="0"/>
              <w:jc w:val="left"/>
              <w:rPr/>
            </w:pPr>
            <w:r>
              <w:rPr/>
            </w:r>
          </w:p>
        </w:tc>
      </w:tr>
      <w:tr>
        <w:trPr/>
        <w:tc>
          <w:tcPr>
            <w:tcW w:w="2165"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961"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102"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Nu Skin</w:t>
            </w:r>
          </w:p>
        </w:tc>
        <w:tc>
          <w:tcPr>
            <w:tcW w:w="60" w:type="dxa"/>
            <w:tcBorders/>
            <w:vAlign w:val="bottom"/>
          </w:tcPr>
          <w:p>
            <w:pPr>
              <w:pStyle w:val="TableContents"/>
              <w:bidi w:val="0"/>
              <w:spacing w:before="0" w:after="283"/>
              <w:jc w:val="left"/>
              <w:rPr/>
            </w:pPr>
            <w:r>
              <w:rPr/>
              <w:t> </w:t>
            </w:r>
          </w:p>
        </w:tc>
        <w:tc>
          <w:tcPr>
            <w:tcW w:w="961"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102"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360" w:right="0" w:hanging="0"/>
              <w:jc w:val="left"/>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t>Americas</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9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3,571</w:t>
            </w:r>
          </w:p>
        </w:tc>
        <w:tc>
          <w:tcPr>
            <w:tcW w:w="8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914"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598</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360" w:right="0" w:hanging="0"/>
              <w:jc w:val="left"/>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t>Southeast Asia/Pacific</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2,086</w:t>
            </w:r>
          </w:p>
        </w:tc>
        <w:tc>
          <w:tcPr>
            <w:tcW w:w="8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rFonts w:ascii="Times New Roman" w:hAnsi="Times New Roman"/>
              </w:rPr>
            </w:pPr>
            <w:r>
              <w:rPr>
                <w:rFonts w:ascii="Times New Roman" w:hAnsi="Times New Roman"/>
              </w:rPr>
              <w:t>862</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360" w:right="0" w:hanging="0"/>
              <w:jc w:val="left"/>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t>Mainland China</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4,304</w:t>
            </w:r>
          </w:p>
        </w:tc>
        <w:tc>
          <w:tcPr>
            <w:tcW w:w="8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2,910</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360" w:right="0" w:hanging="0"/>
              <w:jc w:val="left"/>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t>Japan</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w:t>
            </w:r>
          </w:p>
        </w:tc>
        <w:tc>
          <w:tcPr>
            <w:tcW w:w="8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360" w:right="0" w:hanging="0"/>
              <w:jc w:val="left"/>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t>Europe &amp; Africa</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2,243</w:t>
            </w:r>
          </w:p>
        </w:tc>
        <w:tc>
          <w:tcPr>
            <w:tcW w:w="8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554</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360" w:right="0" w:hanging="0"/>
              <w:jc w:val="left"/>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t>South Korea</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1,646</w:t>
            </w:r>
          </w:p>
        </w:tc>
        <w:tc>
          <w:tcPr>
            <w:tcW w:w="8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360" w:right="0" w:hanging="0"/>
              <w:jc w:val="left"/>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t>Hong Kong/Taiwan</w:t>
            </w:r>
          </w:p>
        </w:tc>
        <w:tc>
          <w:tcPr>
            <w:tcW w:w="60" w:type="dxa"/>
            <w:tcBorders/>
            <w:shd w:fill="CCEEFF" w:val="clear"/>
            <w:vAlign w:val="bottom"/>
          </w:tcPr>
          <w:p>
            <w:pPr>
              <w:pStyle w:val="TableContents"/>
              <w:bidi w:val="0"/>
              <w:spacing w:before="0" w:after="283"/>
              <w:jc w:val="right"/>
              <w:rPr/>
            </w:pPr>
            <w:r>
              <w:rPr/>
              <w:t> </w:t>
            </w:r>
          </w:p>
        </w:tc>
        <w:tc>
          <w:tcPr>
            <w:tcW w:w="1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504</w:t>
            </w:r>
          </w:p>
        </w:tc>
        <w:tc>
          <w:tcPr>
            <w:tcW w:w="8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4" w:type="dxa"/>
            <w:tcBorders>
              <w:bottom w:val="single" w:sz="12" w:space="0" w:color="000000"/>
            </w:tcBorders>
            <w:shd w:fill="CCEEFF" w:val="clear"/>
            <w:tcMar>
              <w:bottom w:w="28" w:type="dxa"/>
            </w:tcMar>
            <w:vAlign w:val="bottom"/>
          </w:tcPr>
          <w:p>
            <w:pPr>
              <w:pStyle w:val="TableContents"/>
              <w:bidi w:val="0"/>
              <w:spacing w:before="0" w:after="283"/>
              <w:jc w:val="right"/>
              <w:rPr>
                <w:rFonts w:ascii="Times New Roman" w:hAnsi="Times New Roman"/>
              </w:rPr>
            </w:pPr>
            <w:r>
              <w:rPr>
                <w:rFonts w:ascii="Times New Roman" w:hAnsi="Times New Roman"/>
              </w:rPr>
              <w:t>432</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Total Nu Skin</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14,379</w:t>
            </w:r>
          </w:p>
        </w:tc>
        <w:tc>
          <w:tcPr>
            <w:tcW w:w="8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rFonts w:ascii="Times New Roman" w:hAnsi="Times New Roman"/>
              </w:rPr>
            </w:pPr>
            <w:r>
              <w:rPr>
                <w:rFonts w:ascii="Times New Roman" w:hAnsi="Times New Roman"/>
              </w:rPr>
              <w:t>5,356</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Rhyz</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360" w:right="0" w:hanging="0"/>
              <w:jc w:val="left"/>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t>Manufacturing</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360" w:right="0" w:hanging="0"/>
              <w:jc w:val="left"/>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t>Rhyz Other</w:t>
            </w:r>
          </w:p>
        </w:tc>
        <w:tc>
          <w:tcPr>
            <w:tcW w:w="60" w:type="dxa"/>
            <w:tcBorders/>
            <w:shd w:fill="CCEEFF" w:val="clear"/>
            <w:vAlign w:val="bottom"/>
          </w:tcPr>
          <w:p>
            <w:pPr>
              <w:pStyle w:val="TableContents"/>
              <w:bidi w:val="0"/>
              <w:spacing w:before="0" w:after="283"/>
              <w:jc w:val="right"/>
              <w:rPr/>
            </w:pPr>
            <w:r>
              <w:rPr/>
              <w:t> </w:t>
            </w:r>
          </w:p>
        </w:tc>
        <w:tc>
          <w:tcPr>
            <w:tcW w:w="1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1,080</w:t>
            </w:r>
          </w:p>
        </w:tc>
        <w:tc>
          <w:tcPr>
            <w:tcW w:w="8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4"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Total Rhyz</w:t>
            </w:r>
          </w:p>
        </w:tc>
        <w:tc>
          <w:tcPr>
            <w:tcW w:w="60" w:type="dxa"/>
            <w:tcBorders/>
            <w:vAlign w:val="bottom"/>
          </w:tcPr>
          <w:p>
            <w:pPr>
              <w:pStyle w:val="TableContents"/>
              <w:bidi w:val="0"/>
              <w:spacing w:before="0" w:after="283"/>
              <w:jc w:val="right"/>
              <w:rPr/>
            </w:pPr>
            <w:r>
              <w:rPr/>
              <w:t> </w:t>
            </w:r>
          </w:p>
        </w:tc>
        <w:tc>
          <w:tcPr>
            <w:tcW w:w="168" w:type="dxa"/>
            <w:tcBorders>
              <w:bottom w:val="single" w:sz="12" w:space="0" w:color="000000"/>
            </w:tcBorders>
            <w:tcMar>
              <w:bottom w:w="28" w:type="dxa"/>
            </w:tcMar>
            <w:vAlign w:val="bottom"/>
          </w:tcPr>
          <w:p>
            <w:pPr>
              <w:pStyle w:val="TableContents"/>
              <w:bidi w:val="0"/>
              <w:spacing w:before="0" w:after="283"/>
              <w:jc w:val="left"/>
              <w:rPr/>
            </w:pPr>
            <w:r>
              <w:rPr/>
              <w:t> </w:t>
            </w:r>
          </w:p>
        </w:tc>
        <w:tc>
          <w:tcPr>
            <w:tcW w:w="79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1,080</w:t>
            </w:r>
          </w:p>
        </w:tc>
        <w:tc>
          <w:tcPr>
            <w:tcW w:w="8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8" w:type="dxa"/>
            <w:tcBorders>
              <w:bottom w:val="single" w:sz="12" w:space="0" w:color="000000"/>
            </w:tcBorders>
            <w:tcMar>
              <w:bottom w:w="28" w:type="dxa"/>
            </w:tcMar>
            <w:vAlign w:val="bottom"/>
          </w:tcPr>
          <w:p>
            <w:pPr>
              <w:pStyle w:val="TableContents"/>
              <w:bidi w:val="0"/>
              <w:spacing w:before="0" w:after="283"/>
              <w:jc w:val="left"/>
              <w:rPr/>
            </w:pPr>
            <w:r>
              <w:rPr/>
              <w:t> </w:t>
            </w:r>
          </w:p>
        </w:tc>
        <w:tc>
          <w:tcPr>
            <w:tcW w:w="914" w:type="dxa"/>
            <w:tcBorders>
              <w:bottom w:val="single" w:sz="12" w:space="0" w:color="000000"/>
            </w:tcBorders>
            <w:tcMar>
              <w:bottom w:w="28" w:type="dxa"/>
            </w:tcMar>
            <w:vAlign w:val="bottom"/>
          </w:tcPr>
          <w:p>
            <w:pPr>
              <w:pStyle w:val="TableContents"/>
              <w:bidi w:val="0"/>
              <w:spacing w:before="0" w:after="283"/>
              <w:jc w:val="right"/>
              <w:rPr/>
            </w:pPr>
            <w:r>
              <w:rPr/>
              <w:t>—</w:t>
            </w:r>
          </w:p>
        </w:tc>
        <w:tc>
          <w:tcPr>
            <w:tcW w:w="75"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jc w:val="left"/>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t>Corporate and other</w:t>
            </w:r>
          </w:p>
        </w:tc>
        <w:tc>
          <w:tcPr>
            <w:tcW w:w="60" w:type="dxa"/>
            <w:tcBorders/>
            <w:shd w:fill="CCEEFF" w:val="clear"/>
            <w:vAlign w:val="bottom"/>
          </w:tcPr>
          <w:p>
            <w:pPr>
              <w:pStyle w:val="TableContents"/>
              <w:bidi w:val="0"/>
              <w:spacing w:before="0" w:after="283"/>
              <w:jc w:val="right"/>
              <w:rPr/>
            </w:pPr>
            <w:r>
              <w:rPr/>
              <w:t> </w:t>
            </w:r>
          </w:p>
        </w:tc>
        <w:tc>
          <w:tcPr>
            <w:tcW w:w="1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42,256</w:t>
            </w:r>
          </w:p>
        </w:tc>
        <w:tc>
          <w:tcPr>
            <w:tcW w:w="8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4" w:type="dxa"/>
            <w:tcBorders>
              <w:bottom w:val="single" w:sz="12" w:space="0" w:color="000000"/>
            </w:tcBorders>
            <w:shd w:fill="CCEEFF" w:val="clear"/>
            <w:tcMar>
              <w:bottom w:w="28" w:type="dxa"/>
            </w:tcMar>
            <w:vAlign w:val="bottom"/>
          </w:tcPr>
          <w:p>
            <w:pPr>
              <w:pStyle w:val="TableContents"/>
              <w:bidi w:val="0"/>
              <w:spacing w:before="0" w:after="283"/>
              <w:jc w:val="right"/>
              <w:rPr>
                <w:rFonts w:ascii="Times New Roman" w:hAnsi="Times New Roman"/>
              </w:rPr>
            </w:pPr>
            <w:r>
              <w:rPr>
                <w:rFonts w:ascii="Times New Roman" w:hAnsi="Times New Roman"/>
              </w:rPr>
              <w:t>4,647</w:t>
            </w:r>
          </w:p>
        </w:tc>
        <w:tc>
          <w:tcPr>
            <w:tcW w:w="75"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80" w:right="0" w:hanging="0"/>
              <w:jc w:val="left"/>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t>Total</w:t>
            </w:r>
          </w:p>
        </w:tc>
        <w:tc>
          <w:tcPr>
            <w:tcW w:w="60" w:type="dxa"/>
            <w:tcBorders/>
            <w:vAlign w:val="bottom"/>
          </w:tcPr>
          <w:p>
            <w:pPr>
              <w:pStyle w:val="TableContents"/>
              <w:bidi w:val="0"/>
              <w:spacing w:before="0" w:after="283"/>
              <w:jc w:val="right"/>
              <w:rPr/>
            </w:pPr>
            <w:r>
              <w:rPr/>
              <w:t> </w:t>
            </w:r>
          </w:p>
        </w:tc>
        <w:tc>
          <w:tcPr>
            <w:tcW w:w="168"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9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57,715</w:t>
            </w:r>
          </w:p>
        </w:tc>
        <w:tc>
          <w:tcPr>
            <w:tcW w:w="8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8" w:type="dxa"/>
            <w:tcBorders>
              <w:bottom w:val="double" w:sz="8" w:space="0" w:color="000000"/>
            </w:tcBorders>
            <w:tcMar>
              <w:bottom w:w="28" w:type="dxa"/>
            </w:tcMar>
            <w:vAlign w:val="bottom"/>
          </w:tcPr>
          <w:p>
            <w:pPr>
              <w:pStyle w:val="TableContents"/>
              <w:bidi w:val="0"/>
              <w:spacing w:before="0" w:after="283"/>
              <w:jc w:val="left"/>
              <w:rPr>
                <w:rFonts w:ascii="Times New Roman" w:hAnsi="Times New Roman"/>
              </w:rPr>
            </w:pPr>
            <w:r>
              <w:rPr>
                <w:rFonts w:ascii="Times New Roman" w:hAnsi="Times New Roman"/>
              </w:rPr>
              <w:t>$</w:t>
            </w:r>
          </w:p>
        </w:tc>
        <w:tc>
          <w:tcPr>
            <w:tcW w:w="914" w:type="dxa"/>
            <w:tcBorders>
              <w:bottom w:val="double" w:sz="8" w:space="0" w:color="000000"/>
            </w:tcBorders>
            <w:tcMar>
              <w:bottom w:w="28" w:type="dxa"/>
            </w:tcMar>
            <w:vAlign w:val="bottom"/>
          </w:tcPr>
          <w:p>
            <w:pPr>
              <w:pStyle w:val="TableContents"/>
              <w:bidi w:val="0"/>
              <w:spacing w:before="0" w:after="283"/>
              <w:jc w:val="right"/>
              <w:rPr>
                <w:rFonts w:ascii="Times New Roman" w:hAnsi="Times New Roman"/>
              </w:rPr>
            </w:pPr>
            <w:r>
              <w:rPr>
                <w:rFonts w:ascii="Times New Roman" w:hAnsi="Times New Roman"/>
              </w:rPr>
              <w:t>10,003</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100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ind w:left="0" w:right="0" w:hanging="0"/>
        <w:jc w:val="center"/>
        <w:rPr>
          <w:rFonts w:ascii="Times New Roman" w:hAnsi="Times New Roman"/>
          <w:b/>
          <w:i w:val="false"/>
          <w:caps w:val="false"/>
          <w:smallCaps w:val="false"/>
          <w:color w:val="000000"/>
          <w:spacing w:val="0"/>
          <w:sz w:val="20"/>
          <w:shd w:fill="FFFFFF" w:val="clear"/>
        </w:rPr>
      </w:pPr>
      <w:bookmarkStart w:id="46" w:name="Report"/>
      <w:bookmarkEnd w:id="46"/>
      <w:r>
        <w:rPr>
          <w:rFonts w:ascii="Times New Roman" w:hAnsi="Times New Roman"/>
          <w:b/>
          <w:i w:val="false"/>
          <w:caps w:val="false"/>
          <w:smallCaps w:val="false"/>
          <w:color w:val="000000"/>
          <w:spacing w:val="0"/>
          <w:sz w:val="20"/>
          <w:shd w:fill="FFFFFF" w:val="clear"/>
        </w:rPr>
        <w:t>Report of Independent Registered Public Accounting Firm</w:t>
      </w:r>
    </w:p>
    <w:p>
      <w:pPr>
        <w:pStyle w:val="TextBody"/>
        <w:bidi w:val="0"/>
        <w:spacing w:before="0" w:after="0"/>
        <w:ind w:left="0" w:right="0" w:hanging="0"/>
        <w:jc w:val="center"/>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 xml:space="preserve">To the Board of Directors and Stockholders of Nu Skin Enterprises, Inc. </w:t>
      </w:r>
    </w:p>
    <w:p>
      <w:pPr>
        <w:pStyle w:val="TextBody"/>
        <w:bidi w:val="0"/>
        <w:spacing w:before="0" w:after="0"/>
        <w:jc w:val="both"/>
        <w:rPr/>
      </w:pPr>
      <w:r>
        <w:rPr/>
      </w:r>
    </w:p>
    <w:p>
      <w:pPr>
        <w:pStyle w:val="TextBody"/>
        <w:bidi w:val="0"/>
        <w:spacing w:before="0" w:after="0"/>
        <w:jc w:val="left"/>
        <w:rPr>
          <w:rFonts w:ascii="Times New Roman;Times;serif" w:hAnsi="Times New Roman;Times;serif"/>
          <w:b/>
          <w:i/>
          <w:caps w:val="false"/>
          <w:smallCaps w:val="false"/>
          <w:color w:val="000000"/>
          <w:spacing w:val="0"/>
          <w:sz w:val="20"/>
          <w:shd w:fill="FFFFFF" w:val="clear"/>
        </w:rPr>
      </w:pPr>
      <w:r>
        <w:rPr>
          <w:rFonts w:ascii="Times New Roman;Times;serif" w:hAnsi="Times New Roman;Times;serif"/>
          <w:b/>
          <w:i/>
          <w:caps w:val="false"/>
          <w:smallCaps w:val="false"/>
          <w:color w:val="000000"/>
          <w:spacing w:val="0"/>
          <w:sz w:val="20"/>
          <w:shd w:fill="FFFFFF" w:val="clear"/>
        </w:rPr>
        <w:t>Opinions on the Financial Statements and Internal Control over Financial Reporting</w:t>
      </w:r>
    </w:p>
    <w:p>
      <w:pPr>
        <w:pStyle w:val="TextBody"/>
        <w:bidi w:val="0"/>
        <w:spacing w:before="0" w:after="0"/>
        <w:jc w:val="both"/>
        <w:rPr/>
      </w:pPr>
      <w:r>
        <w:rPr/>
      </w:r>
    </w:p>
    <w:p>
      <w:pPr>
        <w:pStyle w:val="TextBody"/>
        <w:bidi w:val="0"/>
        <w:spacing w:before="0" w:after="0"/>
        <w:jc w:val="both"/>
        <w:rPr>
          <w:rFonts w:ascii="Times New Roman;Times;serif" w:hAnsi="Times New Roman;Times;serif"/>
          <w:b w:val="false"/>
          <w:i w:val="false"/>
          <w:caps w:val="false"/>
          <w:smallCaps w:val="false"/>
          <w:color w:val="000000"/>
          <w:spacing w:val="0"/>
          <w:sz w:val="20"/>
          <w:shd w:fill="FFFFFF" w:val="clear"/>
        </w:rPr>
      </w:pPr>
      <w:r>
        <w:rPr>
          <w:rFonts w:ascii="Times New Roman;Times;serif" w:hAnsi="Times New Roman;Times;serif"/>
          <w:b w:val="false"/>
          <w:i w:val="false"/>
          <w:caps w:val="false"/>
          <w:smallCaps w:val="false"/>
          <w:color w:val="000000"/>
          <w:spacing w:val="0"/>
          <w:sz w:val="20"/>
          <w:shd w:fill="FFFFFF" w:val="clear"/>
        </w:rPr>
        <w:t>We have audited the accompanying consolidated balance sheets of Nu Skin Enterprises, Inc. and its subsidiaries (the “Company”) as of December 31, 2025 and 2024, and the related consolidated statements of income, of comprehensive income, of stockholders’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pStyle w:val="TextBody"/>
        <w:bidi w:val="0"/>
        <w:spacing w:before="0" w:after="0"/>
        <w:jc w:val="both"/>
        <w:rPr/>
      </w:pPr>
      <w:r>
        <w:rPr/>
      </w:r>
    </w:p>
    <w:p>
      <w:pPr>
        <w:pStyle w:val="TextBody"/>
        <w:bidi w:val="0"/>
        <w:spacing w:before="0" w:after="0"/>
        <w:jc w:val="both"/>
        <w:rPr>
          <w:rFonts w:ascii="Times New Roman;Times;serif" w:hAnsi="Times New Roman;Times;serif"/>
          <w:b w:val="false"/>
          <w:i w:val="false"/>
          <w:caps w:val="false"/>
          <w:smallCaps w:val="false"/>
          <w:color w:val="000000"/>
          <w:spacing w:val="0"/>
          <w:sz w:val="20"/>
          <w:shd w:fill="FFFFFF" w:val="clear"/>
        </w:rPr>
      </w:pPr>
      <w:r>
        <w:rPr>
          <w:rFonts w:ascii="Times New Roman;Times;serif" w:hAnsi="Times New Roman;Times;serif"/>
          <w:b w:val="false"/>
          <w:i w:val="false"/>
          <w:caps w:val="false"/>
          <w:smallCaps w:val="false"/>
          <w:color w:val="000000"/>
          <w:spacing w:val="0"/>
          <w:sz w:val="20"/>
          <w:shd w:fill="FFFFFF" w:val="clear"/>
        </w:rPr>
        <w:t>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the COSO.</w:t>
      </w:r>
    </w:p>
    <w:p>
      <w:pPr>
        <w:pStyle w:val="TextBody"/>
        <w:bidi w:val="0"/>
        <w:spacing w:before="0" w:after="0"/>
        <w:jc w:val="both"/>
        <w:rPr/>
      </w:pPr>
      <w:r>
        <w:rPr/>
      </w:r>
    </w:p>
    <w:p>
      <w:pPr>
        <w:pStyle w:val="TextBody"/>
        <w:bidi w:val="0"/>
        <w:spacing w:before="0" w:after="0"/>
        <w:jc w:val="both"/>
        <w:rPr>
          <w:rFonts w:ascii="Times New Roman;Times;serif" w:hAnsi="Times New Roman;Times;serif"/>
          <w:b/>
          <w:i/>
          <w:caps w:val="false"/>
          <w:smallCaps w:val="false"/>
          <w:color w:val="000000"/>
          <w:spacing w:val="0"/>
          <w:sz w:val="20"/>
          <w:shd w:fill="FFFFFF" w:val="clear"/>
        </w:rPr>
      </w:pPr>
      <w:r>
        <w:rPr>
          <w:rFonts w:ascii="Times New Roman;Times;serif" w:hAnsi="Times New Roman;Times;serif"/>
          <w:b/>
          <w:i/>
          <w:caps w:val="false"/>
          <w:smallCaps w:val="false"/>
          <w:color w:val="000000"/>
          <w:spacing w:val="0"/>
          <w:sz w:val="20"/>
          <w:shd w:fill="FFFFFF" w:val="clear"/>
        </w:rPr>
        <w:t>Basis for Opinions</w:t>
      </w:r>
    </w:p>
    <w:p>
      <w:pPr>
        <w:pStyle w:val="TextBody"/>
        <w:bidi w:val="0"/>
        <w:spacing w:before="0" w:after="0"/>
        <w:jc w:val="both"/>
        <w:rPr/>
      </w:pPr>
      <w:r>
        <w:rPr/>
      </w:r>
    </w:p>
    <w:p>
      <w:pPr>
        <w:pStyle w:val="TextBody"/>
        <w:bidi w:val="0"/>
        <w:spacing w:before="0" w:after="0"/>
        <w:jc w:val="both"/>
        <w:rPr>
          <w:rFonts w:ascii="Times New Roman;Times;serif" w:hAnsi="Times New Roman;Times;serif"/>
          <w:b w:val="false"/>
          <w:i w:val="false"/>
          <w:caps w:val="false"/>
          <w:smallCaps w:val="false"/>
          <w:color w:val="000000"/>
          <w:spacing w:val="0"/>
          <w:sz w:val="20"/>
          <w:shd w:fill="FFFFFF" w:val="clear"/>
        </w:rPr>
      </w:pPr>
      <w:r>
        <w:rPr>
          <w:rFonts w:ascii="Times New Roman;Times;serif" w:hAnsi="Times New Roman;Times;serif"/>
          <w:b w:val="false"/>
          <w:i w:val="false"/>
          <w:caps w:val="false"/>
          <w:smallCaps w:val="false"/>
          <w:color w:val="000000"/>
          <w:spacing w:val="0"/>
          <w:sz w:val="20"/>
          <w:shd w:fill="FFFFFF" w:val="clear"/>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before="0" w:after="0"/>
        <w:jc w:val="both"/>
        <w:rPr>
          <w:rFonts w:ascii="Times New Roman;Times;serif" w:hAnsi="Times New Roman;Times;serif"/>
          <w:b w:val="false"/>
          <w:i w:val="false"/>
          <w:caps w:val="false"/>
          <w:smallCaps w:val="false"/>
          <w:color w:val="000000"/>
          <w:spacing w:val="0"/>
          <w:sz w:val="20"/>
          <w:shd w:fill="FFFFFF" w:val="clear"/>
        </w:rPr>
      </w:pPr>
      <w:r>
        <w:rPr>
          <w:rFonts w:ascii="Times New Roman;Times;serif" w:hAnsi="Times New Roman;Times;serif"/>
          <w:b w:val="false"/>
          <w:i w:val="false"/>
          <w:caps w:val="false"/>
          <w:smallCaps w:val="false"/>
          <w:color w:val="000000"/>
          <w:spacing w:val="0"/>
          <w:sz w:val="20"/>
          <w:shd w:fill="FFFFFF" w:val="clear"/>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0"/>
        <w:jc w:val="both"/>
        <w:rPr/>
      </w:pPr>
      <w:r>
        <w:rPr/>
      </w:r>
    </w:p>
    <w:p>
      <w:pPr>
        <w:pStyle w:val="TextBody"/>
        <w:bidi w:val="0"/>
        <w:spacing w:before="0" w:after="0"/>
        <w:jc w:val="both"/>
        <w:rPr>
          <w:rFonts w:ascii="Times New Roman;Times;serif" w:hAnsi="Times New Roman;Times;serif"/>
          <w:b w:val="false"/>
          <w:i w:val="false"/>
          <w:caps w:val="false"/>
          <w:smallCaps w:val="false"/>
          <w:color w:val="000000"/>
          <w:spacing w:val="0"/>
          <w:sz w:val="20"/>
          <w:shd w:fill="FFFFFF" w:val="clear"/>
        </w:rPr>
      </w:pPr>
      <w:r>
        <w:rPr>
          <w:rFonts w:ascii="Times New Roman;Times;serif" w:hAnsi="Times New Roman;Times;serif"/>
          <w:b w:val="false"/>
          <w:i w:val="false"/>
          <w:caps w:val="false"/>
          <w:smallCaps w:val="false"/>
          <w:color w:val="000000"/>
          <w:spacing w:val="0"/>
          <w:sz w:val="20"/>
          <w:shd w:fill="FFFFFF" w:val="clear"/>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both"/>
        <w:rPr/>
      </w:pPr>
      <w:r>
        <w:rPr/>
      </w:r>
    </w:p>
    <w:p>
      <w:pPr>
        <w:pStyle w:val="TextBody"/>
        <w:bidi w:val="0"/>
        <w:spacing w:before="0" w:after="0"/>
        <w:jc w:val="left"/>
        <w:rPr>
          <w:rFonts w:ascii="Times New Roman;Times;serif" w:hAnsi="Times New Roman;Times;serif"/>
          <w:b/>
          <w:i/>
          <w:caps w:val="false"/>
          <w:smallCaps w:val="false"/>
          <w:color w:val="000000"/>
          <w:spacing w:val="0"/>
          <w:sz w:val="20"/>
          <w:shd w:fill="FFFFFF" w:val="clear"/>
        </w:rPr>
      </w:pPr>
      <w:r>
        <w:rPr>
          <w:rFonts w:ascii="Times New Roman;Times;serif" w:hAnsi="Times New Roman;Times;serif"/>
          <w:b/>
          <w:i/>
          <w:caps w:val="false"/>
          <w:smallCaps w:val="false"/>
          <w:color w:val="000000"/>
          <w:spacing w:val="0"/>
          <w:sz w:val="20"/>
          <w:shd w:fill="FFFFFF" w:val="clear"/>
        </w:rPr>
        <w:t>Definition and Limitations of Internal Control over Financial Reporting</w:t>
      </w:r>
    </w:p>
    <w:p>
      <w:pPr>
        <w:pStyle w:val="TextBody"/>
        <w:bidi w:val="0"/>
        <w:spacing w:before="0" w:after="0"/>
        <w:jc w:val="both"/>
        <w:rPr/>
      </w:pPr>
      <w:r>
        <w:rPr/>
      </w:r>
    </w:p>
    <w:p>
      <w:pPr>
        <w:pStyle w:val="TextBody"/>
        <w:bidi w:val="0"/>
        <w:spacing w:before="0" w:after="0"/>
        <w:jc w:val="both"/>
        <w:rPr>
          <w:rFonts w:ascii="Times New Roman;Times;serif" w:hAnsi="Times New Roman;Times;serif"/>
          <w:b w:val="false"/>
          <w:i w:val="false"/>
          <w:caps w:val="false"/>
          <w:smallCaps w:val="false"/>
          <w:color w:val="000000"/>
          <w:spacing w:val="0"/>
          <w:sz w:val="20"/>
          <w:shd w:fill="FFFFFF" w:val="clear"/>
        </w:rPr>
      </w:pPr>
      <w:r>
        <w:rPr>
          <w:rFonts w:ascii="Times New Roman;Times;serif" w:hAnsi="Times New Roman;Times;serif"/>
          <w:b w:val="false"/>
          <w:i w:val="false"/>
          <w:caps w:val="false"/>
          <w:smallCaps w:val="false"/>
          <w:color w:val="000000"/>
          <w:spacing w:val="0"/>
          <w:sz w:val="20"/>
          <w:shd w:fill="FFFFFF" w:val="clear"/>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before="0" w:after="0"/>
        <w:jc w:val="both"/>
        <w:rPr>
          <w:rFonts w:ascii="Times New Roman;Times;serif" w:hAnsi="Times New Roman;Times;serif"/>
          <w:b w:val="false"/>
          <w:i w:val="false"/>
          <w:caps w:val="false"/>
          <w:smallCaps w:val="false"/>
          <w:color w:val="000000"/>
          <w:spacing w:val="0"/>
          <w:sz w:val="20"/>
          <w:shd w:fill="FFFFFF" w:val="clear"/>
        </w:rPr>
      </w:pPr>
      <w:r>
        <w:rPr>
          <w:rFonts w:ascii="Times New Roman;Times;serif" w:hAnsi="Times New Roman;Times;serif"/>
          <w:b w:val="false"/>
          <w:i w:val="false"/>
          <w:caps w:val="false"/>
          <w:smallCaps w:val="false"/>
          <w:color w:val="000000"/>
          <w:spacing w:val="0"/>
          <w:sz w:val="20"/>
          <w:shd w:fill="FFFFFF" w:val="clear"/>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before="200" w:after="200"/>
        <w:jc w:val="center"/>
        <w:rPr>
          <w:rFonts w:ascii="Times New Roman;Times;serif" w:hAnsi="Times New Roman;Times;serif"/>
          <w:b w:val="false"/>
          <w:i w:val="false"/>
          <w:caps w:val="false"/>
          <w:smallCaps w:val="false"/>
          <w:color w:val="000000"/>
          <w:spacing w:val="0"/>
          <w:sz w:val="16"/>
          <w:shd w:fill="FFFFFF" w:val="clear"/>
        </w:rPr>
      </w:pPr>
      <w:r>
        <w:rPr>
          <w:rFonts w:ascii="Times New Roman;Times;serif" w:hAnsi="Times New Roman;Times;serif"/>
          <w:b w:val="false"/>
          <w:i w:val="false"/>
          <w:caps w:val="false"/>
          <w:smallCaps w:val="false"/>
          <w:color w:val="000000"/>
          <w:spacing w:val="0"/>
          <w:sz w:val="16"/>
          <w:shd w:fill="FFFFFF" w:val="clear"/>
        </w:rPr>
        <w:t>101</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b w:val="false"/>
            <w:i/>
            <w:caps w:val="false"/>
            <w:smallCaps w:val="false"/>
            <w:color w:val="000000"/>
            <w:spacing w:val="0"/>
            <w:sz w:val="16"/>
            <w:shd w:fill="FFFFFF" w:val="clear"/>
          </w:rPr>
          <w:t>Table of Contents</w:t>
        </w:r>
      </w:hyperlink>
    </w:p>
    <w:p>
      <w:pPr>
        <w:pStyle w:val="TextBody"/>
        <w:bidi w:val="0"/>
        <w:spacing w:before="0" w:after="0"/>
        <w:jc w:val="left"/>
        <w:rPr>
          <w:rFonts w:ascii="Times New Roman;Times;serif" w:hAnsi="Times New Roman;Times;serif"/>
          <w:b/>
          <w:i/>
          <w:caps w:val="false"/>
          <w:smallCaps w:val="false"/>
          <w:color w:val="000000"/>
          <w:spacing w:val="0"/>
          <w:sz w:val="20"/>
          <w:shd w:fill="FFFFFF" w:val="clear"/>
        </w:rPr>
      </w:pPr>
      <w:r>
        <w:rPr>
          <w:rFonts w:ascii="Times New Roman;Times;serif" w:hAnsi="Times New Roman;Times;serif"/>
          <w:b/>
          <w:i/>
          <w:caps w:val="false"/>
          <w:smallCaps w:val="false"/>
          <w:color w:val="000000"/>
          <w:spacing w:val="0"/>
          <w:sz w:val="20"/>
          <w:shd w:fill="FFFFFF" w:val="clear"/>
        </w:rPr>
        <w:t>Critical Audit Matters</w:t>
      </w:r>
    </w:p>
    <w:p>
      <w:pPr>
        <w:pStyle w:val="TextBody"/>
        <w:bidi w:val="0"/>
        <w:spacing w:before="0" w:after="0"/>
        <w:jc w:val="both"/>
        <w:rPr/>
      </w:pPr>
      <w:r>
        <w:rPr/>
      </w:r>
    </w:p>
    <w:p>
      <w:pPr>
        <w:pStyle w:val="TextBody"/>
        <w:bidi w:val="0"/>
        <w:spacing w:before="0" w:after="0"/>
        <w:jc w:val="both"/>
        <w:rPr>
          <w:rFonts w:ascii="Times New Roman;Times;serif" w:hAnsi="Times New Roman;Times;serif"/>
          <w:b w:val="false"/>
          <w:i w:val="false"/>
          <w:caps w:val="false"/>
          <w:smallCaps w:val="false"/>
          <w:color w:val="000000"/>
          <w:spacing w:val="0"/>
          <w:sz w:val="20"/>
          <w:shd w:fill="FFFFFF" w:val="clear"/>
        </w:rPr>
      </w:pPr>
      <w:r>
        <w:rPr>
          <w:rFonts w:ascii="Times New Roman;Times;serif" w:hAnsi="Times New Roman;Times;serif"/>
          <w:b w:val="false"/>
          <w:i w:val="false"/>
          <w:caps w:val="false"/>
          <w:smallCaps w:val="false"/>
          <w:color w:val="000000"/>
          <w:spacing w:val="0"/>
          <w:sz w:val="20"/>
          <w:shd w:fill="FFFFFF" w:val="clear"/>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both"/>
        <w:rPr/>
      </w:pPr>
      <w:r>
        <w:rPr/>
      </w:r>
    </w:p>
    <w:p>
      <w:pPr>
        <w:pStyle w:val="TextBody"/>
        <w:bidi w:val="0"/>
        <w:spacing w:before="0" w:after="0"/>
        <w:jc w:val="both"/>
        <w:rPr>
          <w:rFonts w:ascii="Times New Roman;Times;serif" w:hAnsi="Times New Roman;Times;serif"/>
          <w:b w:val="false"/>
          <w:i/>
          <w:caps w:val="false"/>
          <w:smallCaps w:val="false"/>
          <w:color w:val="000000"/>
          <w:spacing w:val="0"/>
          <w:sz w:val="20"/>
          <w:shd w:fill="FFFFFF" w:val="clear"/>
        </w:rPr>
      </w:pPr>
      <w:r>
        <w:rPr>
          <w:rFonts w:ascii="Times New Roman;Times;serif" w:hAnsi="Times New Roman;Times;serif"/>
          <w:b w:val="false"/>
          <w:i/>
          <w:caps w:val="false"/>
          <w:smallCaps w:val="false"/>
          <w:color w:val="000000"/>
          <w:spacing w:val="0"/>
          <w:sz w:val="20"/>
          <w:shd w:fill="FFFFFF" w:val="clear"/>
        </w:rPr>
        <w:t>Income Taxes</w:t>
      </w:r>
    </w:p>
    <w:p>
      <w:pPr>
        <w:pStyle w:val="TextBody"/>
        <w:bidi w:val="0"/>
        <w:spacing w:before="0" w:after="0"/>
        <w:jc w:val="both"/>
        <w:rPr/>
      </w:pPr>
      <w:r>
        <w:rPr/>
      </w:r>
    </w:p>
    <w:p>
      <w:pPr>
        <w:pStyle w:val="TextBody"/>
        <w:bidi w:val="0"/>
        <w:spacing w:before="0" w:after="0"/>
        <w:jc w:val="both"/>
        <w:rPr>
          <w:rFonts w:ascii="Times New Roman;Times;serif" w:hAnsi="Times New Roman;Times;serif"/>
          <w:b w:val="false"/>
          <w:i w:val="false"/>
          <w:caps w:val="false"/>
          <w:smallCaps w:val="false"/>
          <w:color w:val="000000"/>
          <w:spacing w:val="0"/>
          <w:sz w:val="20"/>
          <w:shd w:fill="FFFFFF" w:val="clear"/>
        </w:rPr>
      </w:pPr>
      <w:r>
        <w:rPr>
          <w:rFonts w:ascii="Times New Roman;Times;serif" w:hAnsi="Times New Roman;Times;serif"/>
          <w:b w:val="false"/>
          <w:i w:val="false"/>
          <w:caps w:val="false"/>
          <w:smallCaps w:val="false"/>
          <w:color w:val="000000"/>
          <w:spacing w:val="0"/>
          <w:sz w:val="20"/>
          <w:shd w:fill="FFFFFF" w:val="clear"/>
        </w:rPr>
        <w:t>As described in Notes 2 and 12 to the consolidated financial statements, the Company recorded a provision for income taxes of $36 million for the year ended December 31, 2025 and reported $171 million in deferred tax assets net of a valuation allowance of $21 million and $21 million in deferred tax liabilities. The Company also reported uncertain tax positions of $22 million as of December 31, 2025. The Company pays income taxes in many foreign jurisdictions based on the profits realized in those jurisdictions, which can be significantly impacted by terms of intercompany transactions between the Company and its foreign affiliates. The Company takes an asset and liability approach for financial accounting and reporting of income taxes. Deferred tax assets and liabilities are created in this process and are calculated using anticipated tax rates and are then netted by jurisdiction. Management establishes valuation allowances when necessary to reduce deferred tax assets to the amounts expected to be ultimately realized. The Company has recorded unrecognized tax benefits related to multiple foreign and domestic jurisdictions. As disclosed by management, potential changes in unrecognized tax benefits can arise from the multiple jurisdictions in which the Company operates, as well as the expiration of various statutes of limitation and possible completion of tax examinations.</w:t>
      </w:r>
    </w:p>
    <w:p>
      <w:pPr>
        <w:pStyle w:val="TextBody"/>
        <w:bidi w:val="0"/>
        <w:spacing w:before="0" w:after="0"/>
        <w:jc w:val="both"/>
        <w:rPr/>
      </w:pPr>
      <w:r>
        <w:rPr/>
      </w:r>
    </w:p>
    <w:p>
      <w:pPr>
        <w:pStyle w:val="TextBody"/>
        <w:bidi w:val="0"/>
        <w:spacing w:before="0" w:after="0"/>
        <w:jc w:val="both"/>
        <w:rPr>
          <w:rFonts w:ascii="Times New Roman;Times;serif" w:hAnsi="Times New Roman;Times;serif"/>
          <w:b w:val="false"/>
          <w:i w:val="false"/>
          <w:caps w:val="false"/>
          <w:smallCaps w:val="false"/>
          <w:color w:val="000000"/>
          <w:spacing w:val="0"/>
          <w:sz w:val="20"/>
          <w:shd w:fill="FFFFFF" w:val="clear"/>
        </w:rPr>
      </w:pPr>
      <w:r>
        <w:rPr>
          <w:rFonts w:ascii="Times New Roman;Times;serif" w:hAnsi="Times New Roman;Times;serif"/>
          <w:b w:val="false"/>
          <w:i w:val="false"/>
          <w:caps w:val="false"/>
          <w:smallCaps w:val="false"/>
          <w:color w:val="000000"/>
          <w:spacing w:val="0"/>
          <w:sz w:val="20"/>
          <w:shd w:fill="FFFFFF" w:val="clear"/>
        </w:rPr>
        <w:t>The principal considerations for our determination that performing procedures relating to income taxes is a critical audit matter are (i) the significant judgment by management when developing the provision for income taxes, deferred tax assets and the liability for unrecognized tax benefits, which in turn, led to significant auditor judgment, subjectivity and effort in performing audit procedures and evaluating audit evidence relating to these account balances and tax positions; and (ii) the audit effort included the involvement of professionals with specialized skill and knowledge.</w:t>
      </w:r>
    </w:p>
    <w:p>
      <w:pPr>
        <w:pStyle w:val="TextBody"/>
        <w:bidi w:val="0"/>
        <w:spacing w:before="0" w:after="0"/>
        <w:jc w:val="both"/>
        <w:rPr/>
      </w:pPr>
      <w:r>
        <w:rPr/>
      </w:r>
    </w:p>
    <w:p>
      <w:pPr>
        <w:pStyle w:val="TextBody"/>
        <w:bidi w:val="0"/>
        <w:spacing w:before="0" w:after="0"/>
        <w:jc w:val="both"/>
        <w:rPr>
          <w:rFonts w:ascii="Times New Roman;Times;serif" w:hAnsi="Times New Roman;Times;serif"/>
          <w:b w:val="false"/>
          <w:i w:val="false"/>
          <w:caps w:val="false"/>
          <w:smallCaps w:val="false"/>
          <w:color w:val="000000"/>
          <w:spacing w:val="0"/>
          <w:sz w:val="20"/>
          <w:shd w:fill="FFFFFF" w:val="clear"/>
        </w:rPr>
      </w:pPr>
      <w:r>
        <w:rPr>
          <w:rFonts w:ascii="Times New Roman;Times;serif" w:hAnsi="Times New Roman;Times;serif"/>
          <w:b w:val="false"/>
          <w:i w:val="false"/>
          <w:caps w:val="false"/>
          <w:smallCaps w:val="false"/>
          <w:color w:val="000000"/>
          <w:spacing w:val="0"/>
          <w:sz w:val="20"/>
          <w:shd w:fill="FFFFFF" w:val="clear"/>
        </w:rPr>
        <w:t>Addressing the matter involved performing procedures and evaluating audit evidence in connection with forming our overall opinion on the consolidated financial statements. These procedures included testing the effectiveness of controls relating to income taxes. These procedures also included, among others, (i) testing the accuracy of the consolidated income tax provision, including the rate reconciliation, return to provision adjustments, and permanent and temporary differences; (ii) evaluating management’s assessment of the realizability of deferred tax assets on a jurisdictional basis; (iii) evaluating the identification of reserves for uncertain tax positions and the reasonableness of the “more likely than not determination” in consideration of the expiration of various statutes of limitations, changes in tax law and regulations, terms of intercompany agreements, and issuance of tax rulings and settlements with tax authorities. Professionals with specialized skill and knowledge were used to assist in the evaluation of the reasonableness of management’s estimates and application of local and international income tax law.</w:t>
      </w:r>
    </w:p>
    <w:p>
      <w:pPr>
        <w:pStyle w:val="TextBody"/>
        <w:bidi w:val="0"/>
        <w:spacing w:before="0" w:after="0"/>
        <w:jc w:val="both"/>
        <w:rPr/>
      </w:pPr>
      <w:r>
        <w:rPr/>
      </w:r>
    </w:p>
    <w:p>
      <w:pPr>
        <w:pStyle w:val="TextBody"/>
        <w:bidi w:val="0"/>
        <w:spacing w:before="0" w:after="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br/>
        <w:t>/s/ PricewaterhouseCoopers LLP</w:t>
      </w:r>
    </w:p>
    <w:p>
      <w:pPr>
        <w:pStyle w:val="TextBody"/>
        <w:bidi w:val="0"/>
        <w:spacing w:before="0" w:after="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Salt Lake City, Utah</w:t>
      </w:r>
    </w:p>
    <w:p>
      <w:pPr>
        <w:pStyle w:val="TextBody"/>
        <w:bidi w:val="0"/>
        <w:spacing w:before="0" w:after="0"/>
        <w:ind w:left="0" w:right="0" w:hanging="0"/>
        <w:jc w:val="left"/>
        <w:rPr>
          <w:rFonts w:ascii="Times New Roman;Times;serif" w:hAnsi="Times New Roman;Times;serif"/>
          <w:b w:val="false"/>
          <w:i w:val="false"/>
          <w:caps w:val="false"/>
          <w:smallCaps w:val="false"/>
          <w:color w:val="000000"/>
          <w:spacing w:val="0"/>
          <w:sz w:val="20"/>
          <w:shd w:fill="FFFFFF" w:val="clear"/>
        </w:rPr>
      </w:pPr>
      <w:r>
        <w:rPr>
          <w:rFonts w:ascii="Times New Roman;Times;serif" w:hAnsi="Times New Roman;Times;serif"/>
          <w:b w:val="false"/>
          <w:i w:val="false"/>
          <w:caps w:val="false"/>
          <w:smallCaps w:val="false"/>
          <w:color w:val="000000"/>
          <w:spacing w:val="0"/>
          <w:sz w:val="20"/>
          <w:shd w:fill="FFFFFF" w:val="clear"/>
        </w:rPr>
        <w:t>February 12, 2026</w:t>
      </w:r>
    </w:p>
    <w:p>
      <w:pPr>
        <w:pStyle w:val="TextBody"/>
        <w:bidi w:val="0"/>
        <w:spacing w:before="0" w:after="0"/>
        <w:jc w:val="left"/>
        <w:rPr/>
      </w:pPr>
      <w:r>
        <w:rPr/>
      </w:r>
    </w:p>
    <w:p>
      <w:pPr>
        <w:pStyle w:val="TextBody"/>
        <w:bidi w:val="0"/>
        <w:spacing w:before="0" w:after="0"/>
        <w:jc w:val="both"/>
        <w:rPr>
          <w:rFonts w:ascii="Times New Roman;Times;serif" w:hAnsi="Times New Roman;Times;serif"/>
          <w:b w:val="false"/>
          <w:i w:val="false"/>
          <w:caps w:val="false"/>
          <w:smallCaps w:val="false"/>
          <w:color w:val="000000"/>
          <w:spacing w:val="0"/>
          <w:sz w:val="20"/>
          <w:shd w:fill="FFFFFF" w:val="clear"/>
        </w:rPr>
      </w:pPr>
      <w:r>
        <w:rPr>
          <w:rFonts w:ascii="Times New Roman;Times;serif" w:hAnsi="Times New Roman;Times;serif"/>
          <w:b w:val="false"/>
          <w:i w:val="false"/>
          <w:caps w:val="false"/>
          <w:smallCaps w:val="false"/>
          <w:color w:val="000000"/>
          <w:spacing w:val="0"/>
          <w:sz w:val="20"/>
          <w:shd w:fill="FFFFFF" w:val="clear"/>
        </w:rPr>
        <w:t>We have served as the Company’s auditor since 1994, which includes periods before the Company became subject to SEC reporting requirements.</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102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Normal"/>
        <w:bidi w:val="0"/>
        <w:spacing w:before="0" w:after="0"/>
        <w:jc w:val="left"/>
        <w:rPr>
          <w:sz w:val="4"/>
          <w:szCs w:val="4"/>
        </w:rPr>
      </w:pPr>
      <w:r>
        <w:rPr>
          <w:sz w:val="4"/>
          <w:szCs w:val="4"/>
        </w:rPr>
      </w:r>
      <w:bookmarkStart w:id="47" w:name="CHANGESINANDDISAGREEMENTS"/>
      <w:bookmarkStart w:id="48" w:name="CHANGESINANDDISAGREEMENTS"/>
      <w:bookmarkEnd w:id="48"/>
    </w:p>
    <w:tbl>
      <w:tblPr>
        <w:tblW w:w="10205" w:type="dxa"/>
        <w:jc w:val="left"/>
        <w:tblInd w:w="0" w:type="dxa"/>
        <w:tblLayout w:type="fixed"/>
        <w:tblCellMar>
          <w:top w:w="0" w:type="dxa"/>
          <w:left w:w="0" w:type="dxa"/>
          <w:bottom w:w="0" w:type="dxa"/>
          <w:right w:w="0" w:type="dxa"/>
        </w:tblCellMar>
      </w:tblPr>
      <w:tblGrid>
        <w:gridCol w:w="840"/>
        <w:gridCol w:w="9365"/>
      </w:tblGrid>
      <w:tr>
        <w:trPr/>
        <w:tc>
          <w:tcPr>
            <w:tcW w:w="840" w:type="dxa"/>
            <w:tcBorders/>
            <w:vAlign w:val="center"/>
          </w:tcPr>
          <w:p>
            <w:pPr>
              <w:pStyle w:val="TableContents"/>
              <w:bidi w:val="0"/>
              <w:spacing w:before="0" w:after="283"/>
              <w:jc w:val="left"/>
              <w:rPr>
                <w:b/>
                <w:color w:val="000000"/>
              </w:rPr>
            </w:pPr>
            <w:r>
              <w:rPr>
                <w:b/>
                <w:color w:val="000000"/>
              </w:rPr>
              <w:t>ITEM 9.</w:t>
            </w:r>
          </w:p>
        </w:tc>
        <w:tc>
          <w:tcPr>
            <w:tcW w:w="9365" w:type="dxa"/>
            <w:tcBorders/>
            <w:vAlign w:val="center"/>
          </w:tcPr>
          <w:p>
            <w:pPr>
              <w:pStyle w:val="TableContents"/>
              <w:bidi w:val="0"/>
              <w:spacing w:before="0" w:after="0"/>
              <w:jc w:val="left"/>
              <w:rPr>
                <w:b/>
                <w:color w:val="000000"/>
                <w:u w:val="single"/>
              </w:rPr>
            </w:pPr>
            <w:r>
              <w:rPr>
                <w:b/>
                <w:color w:val="000000"/>
                <w:u w:val="single"/>
              </w:rPr>
              <w:t>CHANGES IN AND DISAGREEMENTS WITH ACCOUNTANTS ON ACCOUNTING AND FINANCIAL DISCLOSURE</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9" w:name="CONTROLSAN"/>
      <w:bookmarkStart w:id="50" w:name="CONTROLSAN"/>
      <w:bookmarkEnd w:id="50"/>
    </w:p>
    <w:tbl>
      <w:tblPr>
        <w:tblW w:w="4855" w:type="dxa"/>
        <w:jc w:val="left"/>
        <w:tblInd w:w="0" w:type="dxa"/>
        <w:tblLayout w:type="fixed"/>
        <w:tblCellMar>
          <w:top w:w="0" w:type="dxa"/>
          <w:left w:w="0" w:type="dxa"/>
          <w:bottom w:w="0" w:type="dxa"/>
          <w:right w:w="0" w:type="dxa"/>
        </w:tblCellMar>
      </w:tblPr>
      <w:tblGrid>
        <w:gridCol w:w="1100"/>
        <w:gridCol w:w="3755"/>
      </w:tblGrid>
      <w:tr>
        <w:trPr/>
        <w:tc>
          <w:tcPr>
            <w:tcW w:w="1100" w:type="dxa"/>
            <w:tcBorders/>
            <w:vAlign w:val="center"/>
          </w:tcPr>
          <w:p>
            <w:pPr>
              <w:pStyle w:val="TableContents"/>
              <w:bidi w:val="0"/>
              <w:spacing w:before="0" w:after="283"/>
              <w:jc w:val="left"/>
              <w:rPr>
                <w:b/>
                <w:color w:val="000000"/>
              </w:rPr>
            </w:pPr>
            <w:r>
              <w:rPr>
                <w:b/>
                <w:color w:val="000000"/>
              </w:rPr>
              <w:t>ITEM 9A.</w:t>
            </w:r>
          </w:p>
        </w:tc>
        <w:tc>
          <w:tcPr>
            <w:tcW w:w="3755" w:type="dxa"/>
            <w:tcBorders/>
            <w:vAlign w:val="center"/>
          </w:tcPr>
          <w:p>
            <w:pPr>
              <w:pStyle w:val="TableContents"/>
              <w:bidi w:val="0"/>
              <w:spacing w:before="0" w:after="0"/>
              <w:jc w:val="left"/>
              <w:rPr>
                <w:b/>
                <w:color w:val="000000"/>
                <w:u w:val="single"/>
              </w:rPr>
            </w:pPr>
            <w:r>
              <w:rPr>
                <w:b/>
                <w:color w:val="000000"/>
                <w:u w:val="single"/>
              </w:rPr>
              <w:t>CONTROLS AND PROCEDURES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Evaluation of Disclosure Controls and Procedures</w:t>
      </w:r>
      <w:r>
        <w:rPr>
          <w:rFonts w:ascii="Times New Roman" w:hAnsi="Times New Roman"/>
          <w:b/>
          <w:color w:val="000000"/>
          <w:sz w:val="20"/>
          <w:shd w:fill="FFFFFF" w:val="clear"/>
        </w:rPr>
        <w:t>.</w:t>
      </w:r>
      <w:r>
        <w:rPr>
          <w:rFonts w:ascii="Times New Roman" w:hAnsi="Times New Roman"/>
          <w:color w:val="000000"/>
          <w:sz w:val="20"/>
          <w:shd w:fill="FFFFFF" w:val="clear"/>
        </w:rPr>
        <w:t xml:space="preserve"> Under the supervision and with the participation of our management, including our Chief Executive Officer and Chief Financial Officer, we evaluated the effectiveness of the design and operation of our disclosure controls and procedures (as such term is defined in Rule 13a-15(e) under the Securities Exchange Act of 1934, as amended (the “Exchange Act”)). Disclosure controls and procedures are the controls and other procedures that we designed to ensure that we record, process, summarize and report in a timely manner the information we must disclose in reports that we file with or submit to the Securities and Exchange Commission under the Exchange Act, and they include, without limitation, controls and procedures designed to ensure that such information is accumulated and communicated to our management, including our Chief Executive Officer and Chief Financial Officer, as appropriate to allow timely decisions regarding required disclosure. Based on this evaluation, our Chief Executive Officer and our Chief Financial Officer concluded that our disclosure controls and procedures were effective as of December 31, 2025.</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Management’s Report on Internal Control over Financial Reporting.</w:t>
      </w:r>
      <w:r>
        <w:rPr>
          <w:rFonts w:ascii="Times New Roman" w:hAnsi="Times New Roman"/>
          <w:color w:val="000000"/>
          <w:sz w:val="20"/>
          <w:shd w:fill="FFFFFF" w:val="clear"/>
        </w:rPr>
        <w:t xml:space="preserve"> Our management is responsible for establishing and maintaining adequate internal control over financial reporting. Internal control over financial reporting is defined in Rule 13a-15(f) under the Exchange Act as a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pertain to the maintenance of records that, in reasonable detail, accurately and fairly reflect the transactions and dispositions of our assets;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provide reasonable assurance that transactions are recorded as necessary to permit preparation of financial statements in accordance with generally accepted accounting principles, and that our receipts and expenditures are being made only in accordance with authorization of management and directors;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provide reasonable assurance regarding prevention or timely detection of unauthorized acquisition, use or disposition of our assets that could have a material effect on the financial statements.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Under the supervision and with the participation of our management, including our Chief Executive Officer and Chief Financial Officer, we assessed, as of December 31, 2025, the effectiveness of our internal control over financial reporting. This assessment was based on criteria established in the framework </w:t>
      </w:r>
      <w:r>
        <w:rPr>
          <w:rFonts w:ascii="Times New Roman" w:hAnsi="Times New Roman"/>
          <w:i/>
          <w:color w:val="000000"/>
          <w:sz w:val="20"/>
          <w:shd w:fill="FFFFFF" w:val="clear"/>
        </w:rPr>
        <w:t>Internal Control-Integrated Framework</w:t>
      </w:r>
      <w:r>
        <w:rPr>
          <w:rFonts w:ascii="Times New Roman" w:hAnsi="Times New Roman"/>
          <w:color w:val="000000"/>
          <w:sz w:val="20"/>
          <w:shd w:fill="FFFFFF" w:val="clear"/>
        </w:rPr>
        <w:t xml:space="preserve"> (2013) issued by the Committee of Sponsoring Organizations of the Treadway Commission. Based on our assessment, our management concluded that our internal control over financial reporting was effective as of December 31, 2025.</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effectiveness of our internal control over financial reporting as of December 31, 2025, has been audited by PricewaterhouseCoopers LLP, an independent registered public accounting firm, as stated in their report which appears herein.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olor w:val="000000"/>
          <w:sz w:val="20"/>
          <w:shd w:fill="FFFFFF" w:val="clear"/>
        </w:rPr>
        <w:t>Changes in Internal Control over Financial Reporting</w:t>
      </w:r>
      <w:r>
        <w:rPr>
          <w:rFonts w:ascii="Times New Roman" w:hAnsi="Times New Roman"/>
          <w:b/>
          <w:color w:val="000000"/>
          <w:sz w:val="20"/>
          <w:shd w:fill="FFFFFF" w:val="clear"/>
        </w:rPr>
        <w:t>.</w:t>
      </w:r>
      <w:r>
        <w:rPr>
          <w:rFonts w:ascii="Times New Roman" w:hAnsi="Times New Roman"/>
          <w:color w:val="000000"/>
          <w:sz w:val="20"/>
          <w:shd w:fill="FFFFFF" w:val="clear"/>
        </w:rPr>
        <w:t xml:space="preserve"> There was no change during the fiscal quarter ended December 31, 2025 in our internal control over financial reporting (as such term is defined in Rule 13a-15(f) under the Exchange Act) that materially affected, or is reasonably likely to materially affect, our internal control over financial reporting.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1" w:name="OTHERINFORM"/>
      <w:bookmarkStart w:id="52" w:name="OTHERINFORM"/>
      <w:bookmarkEnd w:id="52"/>
    </w:p>
    <w:tbl>
      <w:tblPr>
        <w:tblW w:w="3850" w:type="dxa"/>
        <w:jc w:val="left"/>
        <w:tblInd w:w="0" w:type="dxa"/>
        <w:tblLayout w:type="fixed"/>
        <w:tblCellMar>
          <w:top w:w="0" w:type="dxa"/>
          <w:left w:w="0" w:type="dxa"/>
          <w:bottom w:w="0" w:type="dxa"/>
          <w:right w:w="0" w:type="dxa"/>
        </w:tblCellMar>
      </w:tblPr>
      <w:tblGrid>
        <w:gridCol w:w="1085"/>
        <w:gridCol w:w="2765"/>
      </w:tblGrid>
      <w:tr>
        <w:trPr/>
        <w:tc>
          <w:tcPr>
            <w:tcW w:w="1085" w:type="dxa"/>
            <w:tcBorders/>
            <w:vAlign w:val="center"/>
          </w:tcPr>
          <w:p>
            <w:pPr>
              <w:pStyle w:val="TableContents"/>
              <w:bidi w:val="0"/>
              <w:spacing w:before="0" w:after="283"/>
              <w:jc w:val="left"/>
              <w:rPr>
                <w:b/>
                <w:color w:val="000000"/>
              </w:rPr>
            </w:pPr>
            <w:r>
              <w:rPr>
                <w:b/>
                <w:color w:val="000000"/>
              </w:rPr>
              <w:t>ITEM 9B.</w:t>
            </w:r>
          </w:p>
        </w:tc>
        <w:tc>
          <w:tcPr>
            <w:tcW w:w="2765" w:type="dxa"/>
            <w:tcBorders/>
            <w:vAlign w:val="center"/>
          </w:tcPr>
          <w:p>
            <w:pPr>
              <w:pStyle w:val="TableContents"/>
              <w:bidi w:val="0"/>
              <w:spacing w:before="0" w:after="0"/>
              <w:jc w:val="both"/>
              <w:rPr>
                <w:b/>
                <w:color w:val="000000"/>
                <w:u w:val="single"/>
              </w:rPr>
            </w:pPr>
            <w:r>
              <w:rPr>
                <w:b/>
                <w:color w:val="000000"/>
                <w:u w:val="single"/>
              </w:rPr>
              <w:t>OTHER INFORMATION</w:t>
            </w:r>
          </w:p>
        </w:tc>
      </w:tr>
    </w:tbl>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Trading Plan</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On November 11, 2025, James Winett, a member of our Board of Directors, adopted a trading plan intended to satisfy the affirmative defense conditions of Rule 10b5-1(c) to sell 40% of the shares of Class A Common Stock underlying his 18,008 restricted stock units that will vest on May 28, 2026. The sale is scheduled to occur on June 2, 2026 or the next possible business day.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3" w:name="DISCLOSUREREGARDINGFOREIG"/>
      <w:bookmarkStart w:id="54" w:name="DISCLOSUREREGARDINGFOREIG"/>
      <w:bookmarkEnd w:id="54"/>
    </w:p>
    <w:tbl>
      <w:tblPr>
        <w:tblW w:w="10205" w:type="dxa"/>
        <w:jc w:val="left"/>
        <w:tblInd w:w="0" w:type="dxa"/>
        <w:tblLayout w:type="fixed"/>
        <w:tblCellMar>
          <w:top w:w="0" w:type="dxa"/>
          <w:left w:w="0" w:type="dxa"/>
          <w:bottom w:w="0" w:type="dxa"/>
          <w:right w:w="0" w:type="dxa"/>
        </w:tblCellMar>
      </w:tblPr>
      <w:tblGrid>
        <w:gridCol w:w="1103"/>
        <w:gridCol w:w="9102"/>
      </w:tblGrid>
      <w:tr>
        <w:trPr/>
        <w:tc>
          <w:tcPr>
            <w:tcW w:w="1103" w:type="dxa"/>
            <w:tcBorders/>
            <w:vAlign w:val="center"/>
          </w:tcPr>
          <w:p>
            <w:pPr>
              <w:pStyle w:val="TableContents"/>
              <w:bidi w:val="0"/>
              <w:spacing w:before="0" w:after="0"/>
              <w:jc w:val="both"/>
              <w:rPr/>
            </w:pPr>
            <w:r>
              <w:rPr>
                <w:b/>
                <w:color w:val="000000"/>
              </w:rPr>
              <w:t>ITEM 9C.</w:t>
            </w:r>
            <w:r>
              <w:rPr/>
              <w:t xml:space="preserve"> </w:t>
            </w:r>
          </w:p>
        </w:tc>
        <w:tc>
          <w:tcPr>
            <w:tcW w:w="9102" w:type="dxa"/>
            <w:tcBorders/>
            <w:vAlign w:val="center"/>
          </w:tcPr>
          <w:p>
            <w:pPr>
              <w:pStyle w:val="TableContents"/>
              <w:bidi w:val="0"/>
              <w:spacing w:before="0" w:after="0"/>
              <w:jc w:val="both"/>
              <w:rPr>
                <w:b/>
                <w:color w:val="000000"/>
                <w:u w:val="single"/>
              </w:rPr>
            </w:pPr>
            <w:r>
              <w:rPr>
                <w:b/>
                <w:color w:val="000000"/>
                <w:u w:val="single"/>
              </w:rPr>
              <w:t>DISCLOSURE REGARDING FOREIGN JURISDICTIONS THAT PREVENT INSPECTIONS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103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55" w:name="PARTIII"/>
      <w:bookmarkEnd w:id="55"/>
      <w:r>
        <w:rPr>
          <w:rFonts w:ascii="Times New Roman" w:hAnsi="Times New Roman"/>
          <w:b/>
          <w:color w:val="000000"/>
          <w:sz w:val="20"/>
          <w:shd w:fill="FFFFFF" w:val="clear"/>
        </w:rPr>
        <w:t>PART III</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information required by Items 10, 11, 12, 13 and 14 of Part III will be included in an amendment to this Annual Report on Form 10-K or incorporated by reference to our Definitive Proxy Statement for our 2026 Annual Meeting of Stockholders to be filed with the Securities and Exchange Commission within 120 days after our fiscal year end, except for certain information required by Item 10 with respect to our executive officers which is set forth under Item 1. Business of this Annual Report on Form 10-K.</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bookmarkStart w:id="56" w:name="PARTIV"/>
      <w:bookmarkEnd w:id="56"/>
      <w:r>
        <w:rPr>
          <w:rFonts w:ascii="Times New Roman" w:hAnsi="Times New Roman"/>
          <w:b/>
          <w:color w:val="000000"/>
          <w:sz w:val="20"/>
          <w:shd w:fill="FFFFFF" w:val="clear"/>
        </w:rPr>
        <w:t>PART IV</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7" w:name="EXHIBITSAND"/>
      <w:bookmarkStart w:id="58" w:name="EXHIBITSAND"/>
      <w:bookmarkEnd w:id="58"/>
    </w:p>
    <w:tbl>
      <w:tblPr>
        <w:tblW w:w="7450" w:type="dxa"/>
        <w:jc w:val="left"/>
        <w:tblInd w:w="0" w:type="dxa"/>
        <w:tblLayout w:type="fixed"/>
        <w:tblCellMar>
          <w:top w:w="0" w:type="dxa"/>
          <w:left w:w="0" w:type="dxa"/>
          <w:bottom w:w="0" w:type="dxa"/>
          <w:right w:w="0" w:type="dxa"/>
        </w:tblCellMar>
      </w:tblPr>
      <w:tblGrid>
        <w:gridCol w:w="1040"/>
        <w:gridCol w:w="6410"/>
      </w:tblGrid>
      <w:tr>
        <w:trPr/>
        <w:tc>
          <w:tcPr>
            <w:tcW w:w="1040" w:type="dxa"/>
            <w:tcBorders/>
            <w:vAlign w:val="center"/>
          </w:tcPr>
          <w:p>
            <w:pPr>
              <w:pStyle w:val="TableContents"/>
              <w:bidi w:val="0"/>
              <w:spacing w:before="0" w:after="283"/>
              <w:jc w:val="left"/>
              <w:rPr>
                <w:b/>
                <w:color w:val="000000"/>
              </w:rPr>
            </w:pPr>
            <w:r>
              <w:rPr>
                <w:b/>
                <w:color w:val="000000"/>
              </w:rPr>
              <w:t>ITEM 15.</w:t>
            </w:r>
          </w:p>
        </w:tc>
        <w:tc>
          <w:tcPr>
            <w:tcW w:w="6410" w:type="dxa"/>
            <w:tcBorders/>
            <w:vAlign w:val="center"/>
          </w:tcPr>
          <w:p>
            <w:pPr>
              <w:pStyle w:val="TableContents"/>
              <w:bidi w:val="0"/>
              <w:spacing w:before="0" w:after="0"/>
              <w:jc w:val="left"/>
              <w:rPr>
                <w:b/>
                <w:color w:val="000000"/>
                <w:u w:val="single"/>
              </w:rPr>
            </w:pPr>
            <w:r>
              <w:rPr>
                <w:b/>
                <w:color w:val="000000"/>
                <w:u w:val="single"/>
              </w:rPr>
              <w:t>EXHIBITS AND FINANCIAL STATEMENT SCHEDULES</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Documents filed as part of this Form 10-K:</w:t>
      </w:r>
    </w:p>
    <w:p>
      <w:pPr>
        <w:pStyle w:val="TextBody"/>
        <w:bidi w:val="0"/>
        <w:spacing w:before="0" w:after="0"/>
        <w:jc w:val="left"/>
        <w:rPr/>
      </w:pPr>
      <w:r>
        <w:rPr/>
      </w:r>
    </w:p>
    <w:tbl>
      <w:tblPr>
        <w:tblW w:w="9063" w:type="dxa"/>
        <w:jc w:val="left"/>
        <w:tblInd w:w="0" w:type="dxa"/>
        <w:tblLayout w:type="fixed"/>
        <w:tblCellMar>
          <w:top w:w="0" w:type="dxa"/>
          <w:left w:w="0" w:type="dxa"/>
          <w:bottom w:w="0" w:type="dxa"/>
          <w:right w:w="0" w:type="dxa"/>
        </w:tblCellMar>
      </w:tblPr>
      <w:tblGrid>
        <w:gridCol w:w="38"/>
        <w:gridCol w:w="200"/>
        <w:gridCol w:w="882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1.</w:t>
            </w:r>
          </w:p>
        </w:tc>
        <w:tc>
          <w:tcPr>
            <w:tcW w:w="8825" w:type="dxa"/>
            <w:tcBorders/>
            <w:vAlign w:val="center"/>
          </w:tcPr>
          <w:p>
            <w:pPr>
              <w:pStyle w:val="TableContents"/>
              <w:bidi w:val="0"/>
              <w:spacing w:before="0" w:after="0"/>
              <w:jc w:val="both"/>
              <w:rPr/>
            </w:pPr>
            <w:r>
              <w:rPr>
                <w:u w:val="single"/>
              </w:rPr>
              <w:t>Financial Statements</w:t>
            </w:r>
            <w:r>
              <w:rPr/>
              <w:t>. See Index to Consolidated Financial Statements under Item 8 of Part II.</w:t>
            </w:r>
          </w:p>
        </w:tc>
      </w:tr>
    </w:tbl>
    <w:tbl>
      <w:tblPr>
        <w:tblW w:w="3693" w:type="dxa"/>
        <w:jc w:val="left"/>
        <w:tblInd w:w="0" w:type="dxa"/>
        <w:tblLayout w:type="fixed"/>
        <w:tblCellMar>
          <w:top w:w="0" w:type="dxa"/>
          <w:left w:w="0" w:type="dxa"/>
          <w:bottom w:w="0" w:type="dxa"/>
          <w:right w:w="0" w:type="dxa"/>
        </w:tblCellMar>
      </w:tblPr>
      <w:tblGrid>
        <w:gridCol w:w="38"/>
        <w:gridCol w:w="200"/>
        <w:gridCol w:w="345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2.</w:t>
            </w:r>
          </w:p>
        </w:tc>
        <w:tc>
          <w:tcPr>
            <w:tcW w:w="3455" w:type="dxa"/>
            <w:tcBorders/>
            <w:vAlign w:val="center"/>
          </w:tcPr>
          <w:p>
            <w:pPr>
              <w:pStyle w:val="TableContents"/>
              <w:bidi w:val="0"/>
              <w:spacing w:before="0" w:after="0"/>
              <w:jc w:val="both"/>
              <w:rPr/>
            </w:pPr>
            <w:r>
              <w:rPr>
                <w:u w:val="single"/>
              </w:rPr>
              <w:t>Financial Statement Schedules.</w:t>
            </w:r>
            <w:r>
              <w:rPr/>
              <w:t xml:space="preserve"> N/A</w:t>
            </w:r>
          </w:p>
        </w:tc>
      </w:tr>
    </w:tbl>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pPr>
            <w:r>
              <w:rPr/>
            </w:r>
          </w:p>
        </w:tc>
        <w:tc>
          <w:tcPr>
            <w:tcW w:w="174" w:type="dxa"/>
            <w:tcBorders/>
            <w:vAlign w:val="center"/>
          </w:tcPr>
          <w:p>
            <w:pPr>
              <w:pStyle w:val="TableContents"/>
              <w:bidi w:val="0"/>
              <w:spacing w:before="0" w:after="283"/>
              <w:jc w:val="left"/>
              <w:rPr/>
            </w:pPr>
            <w:r>
              <w:rPr/>
              <w:t>3.</w:t>
            </w:r>
          </w:p>
        </w:tc>
        <w:tc>
          <w:tcPr>
            <w:tcW w:w="9993" w:type="dxa"/>
            <w:tcBorders/>
            <w:vAlign w:val="center"/>
          </w:tcPr>
          <w:p>
            <w:pPr>
              <w:pStyle w:val="TableContents"/>
              <w:bidi w:val="0"/>
              <w:spacing w:before="0" w:after="0"/>
              <w:jc w:val="both"/>
              <w:rPr/>
            </w:pPr>
            <w:r>
              <w:rPr>
                <w:u w:val="single"/>
              </w:rPr>
              <w:t>Exhibits.</w:t>
            </w:r>
            <w:r>
              <w:rPr/>
              <w:t xml:space="preserve"> References to the “Company” shall mean Nu Skin Enterprises, Inc. Unless otherwise noted, the SEC file number for exhibits incorporated by reference is 001-12421.</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shd w:fill="CCEEFF" w:val="clear"/>
            <w:vAlign w:val="center"/>
          </w:tcPr>
          <w:p>
            <w:pPr>
              <w:pStyle w:val="TableContents"/>
              <w:bidi w:val="0"/>
              <w:spacing w:before="0" w:after="0"/>
              <w:jc w:val="left"/>
              <w:rPr/>
            </w:pPr>
            <w:r>
              <w:rPr/>
              <w:t>2.1</w:t>
            </w:r>
          </w:p>
        </w:tc>
        <w:tc>
          <w:tcPr>
            <w:tcW w:w="9630" w:type="dxa"/>
            <w:tcBorders/>
            <w:shd w:fill="CCEEFF" w:val="clear"/>
            <w:vAlign w:val="center"/>
          </w:tcPr>
          <w:p>
            <w:pPr>
              <w:pStyle w:val="TableContents"/>
              <w:bidi w:val="0"/>
              <w:spacing w:before="0" w:after="0"/>
              <w:jc w:val="both"/>
              <w:rPr/>
            </w:pPr>
            <w:hyperlink r:id="rId3">
              <w:r>
                <w:rPr>
                  <w:rStyle w:val="InternetLink"/>
                </w:rPr>
                <w:t>Unit Purchase Agreement, dated as of January 2, 2025, by and among Mavely Seller LLC, Mavely LLC, Clout.io Holdings, Inc. and Mavrck LLC (incorporated by reference to Exhibit 2.1 to the Company’s Current Report on Form 8-K filed January 3, 2025).</w:t>
              </w:r>
            </w:hyperlink>
          </w:p>
        </w:tc>
      </w:tr>
      <w:tr>
        <w:trPr/>
        <w:tc>
          <w:tcPr>
            <w:tcW w:w="575"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 </w:t>
            </w:r>
          </w:p>
        </w:tc>
      </w:tr>
      <w:tr>
        <w:trPr/>
        <w:tc>
          <w:tcPr>
            <w:tcW w:w="575" w:type="dxa"/>
            <w:tcBorders/>
            <w:shd w:fill="CCEEFF" w:val="clear"/>
            <w:vAlign w:val="center"/>
          </w:tcPr>
          <w:p>
            <w:pPr>
              <w:pStyle w:val="TableContents"/>
              <w:bidi w:val="0"/>
              <w:spacing w:before="0" w:after="0"/>
              <w:jc w:val="left"/>
              <w:rPr/>
            </w:pPr>
            <w:r>
              <w:rPr/>
              <w:t>3.1</w:t>
            </w:r>
          </w:p>
        </w:tc>
        <w:tc>
          <w:tcPr>
            <w:tcW w:w="9630" w:type="dxa"/>
            <w:tcBorders/>
            <w:shd w:fill="CCEEFF" w:val="clear"/>
            <w:vAlign w:val="center"/>
          </w:tcPr>
          <w:p>
            <w:pPr>
              <w:pStyle w:val="TableContents"/>
              <w:bidi w:val="0"/>
              <w:spacing w:before="0" w:after="0"/>
              <w:jc w:val="both"/>
              <w:rPr/>
            </w:pPr>
            <w:hyperlink r:id="rId4">
              <w:r>
                <w:rPr>
                  <w:rStyle w:val="InternetLink"/>
                </w:rPr>
                <w:t>Amended and Restated Certificate of Incorporation of the Company (incorporated by reference to Exhibit 3.1 to the Company’s Registration Statement on Form S-1 filed September 16, 1996, file no. 333-12073).</w:t>
              </w:r>
            </w:hyperlink>
          </w:p>
        </w:tc>
      </w:tr>
      <w:tr>
        <w:trPr/>
        <w:tc>
          <w:tcPr>
            <w:tcW w:w="575"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 </w:t>
            </w:r>
          </w:p>
        </w:tc>
      </w:tr>
      <w:tr>
        <w:trPr/>
        <w:tc>
          <w:tcPr>
            <w:tcW w:w="575" w:type="dxa"/>
            <w:tcBorders/>
            <w:shd w:fill="CCEEFF" w:val="clear"/>
            <w:vAlign w:val="center"/>
          </w:tcPr>
          <w:p>
            <w:pPr>
              <w:pStyle w:val="TableContents"/>
              <w:bidi w:val="0"/>
              <w:spacing w:before="0" w:after="0"/>
              <w:jc w:val="left"/>
              <w:rPr/>
            </w:pPr>
            <w:r>
              <w:rPr/>
              <w:t>3.2</w:t>
            </w:r>
          </w:p>
        </w:tc>
        <w:tc>
          <w:tcPr>
            <w:tcW w:w="9630" w:type="dxa"/>
            <w:tcBorders/>
            <w:shd w:fill="CCEEFF" w:val="clear"/>
            <w:vAlign w:val="center"/>
          </w:tcPr>
          <w:p>
            <w:pPr>
              <w:pStyle w:val="TableContents"/>
              <w:bidi w:val="0"/>
              <w:spacing w:before="0" w:after="0"/>
              <w:jc w:val="both"/>
              <w:rPr/>
            </w:pPr>
            <w:hyperlink r:id="rId5">
              <w:r>
                <w:rPr>
                  <w:rStyle w:val="InternetLink"/>
                </w:rPr>
                <w:t>Certificate of Amendment to the Amended and Restated Certificate of Incorporation (incorporated by reference to Exhibit 3.2 to the Company’s Annual Report on Form 10-K for the year ended December 31, 2009, filed March 1, 2010).</w:t>
              </w:r>
            </w:hyperlink>
          </w:p>
        </w:tc>
      </w:tr>
      <w:tr>
        <w:trPr/>
        <w:tc>
          <w:tcPr>
            <w:tcW w:w="575"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 </w:t>
            </w:r>
          </w:p>
        </w:tc>
      </w:tr>
      <w:tr>
        <w:trPr/>
        <w:tc>
          <w:tcPr>
            <w:tcW w:w="575" w:type="dxa"/>
            <w:tcBorders/>
            <w:shd w:fill="CCEEFF" w:val="clear"/>
            <w:vAlign w:val="center"/>
          </w:tcPr>
          <w:p>
            <w:pPr>
              <w:pStyle w:val="TableContents"/>
              <w:bidi w:val="0"/>
              <w:spacing w:before="0" w:after="0"/>
              <w:jc w:val="left"/>
              <w:rPr/>
            </w:pPr>
            <w:r>
              <w:rPr/>
              <w:t>3.3</w:t>
            </w:r>
          </w:p>
        </w:tc>
        <w:tc>
          <w:tcPr>
            <w:tcW w:w="9630" w:type="dxa"/>
            <w:tcBorders/>
            <w:shd w:fill="CCEEFF" w:val="clear"/>
            <w:vAlign w:val="center"/>
          </w:tcPr>
          <w:p>
            <w:pPr>
              <w:pStyle w:val="TableContents"/>
              <w:bidi w:val="0"/>
              <w:spacing w:before="0" w:after="0"/>
              <w:jc w:val="both"/>
              <w:rPr/>
            </w:pPr>
            <w:hyperlink r:id="rId6">
              <w:r>
                <w:rPr>
                  <w:rStyle w:val="InternetLink"/>
                </w:rPr>
                <w:t>Certificate of Designation, Preferences and Relative Participating, Optional and Other Special Rights of Preferred Stock and Qualifications, Limitations and Restrictions Thereof (incorporated by reference to Exhibit 3.3 to the Company’s Annual Report on Form 10-K for the year ended December 31, 2004, filed March 15, 2005).</w:t>
              </w:r>
            </w:hyperlink>
          </w:p>
        </w:tc>
      </w:tr>
      <w:tr>
        <w:trPr/>
        <w:tc>
          <w:tcPr>
            <w:tcW w:w="575"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 </w:t>
            </w:r>
          </w:p>
        </w:tc>
      </w:tr>
      <w:tr>
        <w:trPr/>
        <w:tc>
          <w:tcPr>
            <w:tcW w:w="575" w:type="dxa"/>
            <w:tcBorders/>
            <w:shd w:fill="CCEEFF" w:val="clear"/>
            <w:vAlign w:val="center"/>
          </w:tcPr>
          <w:p>
            <w:pPr>
              <w:pStyle w:val="TableContents"/>
              <w:bidi w:val="0"/>
              <w:spacing w:before="0" w:after="0"/>
              <w:jc w:val="left"/>
              <w:rPr/>
            </w:pPr>
            <w:r>
              <w:rPr/>
              <w:t>3.4</w:t>
            </w:r>
          </w:p>
        </w:tc>
        <w:tc>
          <w:tcPr>
            <w:tcW w:w="9630" w:type="dxa"/>
            <w:tcBorders/>
            <w:shd w:fill="CCEEFF" w:val="clear"/>
            <w:vAlign w:val="center"/>
          </w:tcPr>
          <w:p>
            <w:pPr>
              <w:pStyle w:val="TableContents"/>
              <w:bidi w:val="0"/>
              <w:spacing w:before="0" w:after="0"/>
              <w:jc w:val="both"/>
              <w:rPr/>
            </w:pPr>
            <w:hyperlink r:id="rId7">
              <w:r>
                <w:rPr>
                  <w:rStyle w:val="InternetLink"/>
                </w:rPr>
                <w:t>Sixth Amended and Restated Bylaws of Nu Skin Enterprises, Inc. (incorporated by reference to Exhibit 3.1 to the Company’s Current Report on Form 8-K filed November 1, 2024).</w:t>
              </w:r>
            </w:hyperlink>
          </w:p>
        </w:tc>
      </w:tr>
      <w:tr>
        <w:trPr/>
        <w:tc>
          <w:tcPr>
            <w:tcW w:w="575"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 </w:t>
            </w:r>
          </w:p>
        </w:tc>
      </w:tr>
      <w:tr>
        <w:trPr/>
        <w:tc>
          <w:tcPr>
            <w:tcW w:w="575" w:type="dxa"/>
            <w:tcBorders/>
            <w:shd w:fill="CCEEFF" w:val="clear"/>
            <w:vAlign w:val="center"/>
          </w:tcPr>
          <w:p>
            <w:pPr>
              <w:pStyle w:val="TableContents"/>
              <w:bidi w:val="0"/>
              <w:spacing w:before="0" w:after="0"/>
              <w:jc w:val="left"/>
              <w:rPr/>
            </w:pPr>
            <w:r>
              <w:rPr/>
              <w:t>4.1</w:t>
            </w:r>
          </w:p>
        </w:tc>
        <w:tc>
          <w:tcPr>
            <w:tcW w:w="9630" w:type="dxa"/>
            <w:tcBorders/>
            <w:shd w:fill="CCEEFF" w:val="clear"/>
            <w:vAlign w:val="center"/>
          </w:tcPr>
          <w:p>
            <w:pPr>
              <w:pStyle w:val="TableContents"/>
              <w:bidi w:val="0"/>
              <w:spacing w:before="0" w:after="0"/>
              <w:jc w:val="both"/>
              <w:rPr/>
            </w:pPr>
            <w:hyperlink r:id="rId8">
              <w:r>
                <w:rPr>
                  <w:rStyle w:val="InternetLink"/>
                </w:rPr>
                <w:t>Specimen Form of Stock Certificate for Class A Common Stock (incorporated by reference to Exhibit 4.1 to the Company’s Annual Report on Form 10-K for the year ended December 31, 2022, filed February 16, 2023).</w:t>
              </w:r>
            </w:hyperlink>
          </w:p>
        </w:tc>
      </w:tr>
      <w:tr>
        <w:trPr/>
        <w:tc>
          <w:tcPr>
            <w:tcW w:w="575"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 </w:t>
            </w:r>
          </w:p>
        </w:tc>
      </w:tr>
      <w:tr>
        <w:trPr/>
        <w:tc>
          <w:tcPr>
            <w:tcW w:w="575" w:type="dxa"/>
            <w:tcBorders/>
            <w:shd w:fill="CCEEFF" w:val="clear"/>
            <w:vAlign w:val="center"/>
          </w:tcPr>
          <w:p>
            <w:pPr>
              <w:pStyle w:val="TableContents"/>
              <w:bidi w:val="0"/>
              <w:spacing w:before="0" w:after="0"/>
              <w:jc w:val="left"/>
              <w:rPr/>
            </w:pPr>
            <w:r>
              <w:rPr/>
              <w:t>4.2</w:t>
            </w:r>
          </w:p>
        </w:tc>
        <w:tc>
          <w:tcPr>
            <w:tcW w:w="9630" w:type="dxa"/>
            <w:tcBorders/>
            <w:shd w:fill="CCEEFF" w:val="clear"/>
            <w:vAlign w:val="center"/>
          </w:tcPr>
          <w:p>
            <w:pPr>
              <w:pStyle w:val="TableContents"/>
              <w:bidi w:val="0"/>
              <w:spacing w:before="0" w:after="0"/>
              <w:jc w:val="both"/>
              <w:rPr/>
            </w:pPr>
            <w:hyperlink r:id="rId9">
              <w:r>
                <w:rPr>
                  <w:rStyle w:val="InternetLink"/>
                </w:rPr>
                <w:t>Description of the Registrant’s Securities Registered Under Section 12 of the Securities Exchange Act of 1934 (incorporated by reference to Exhibit 4.2 to the Company’s Annual Report on Form 10-K for the year ended December 31, 2023, filed February 15, 2024).</w:t>
              </w:r>
            </w:hyperlink>
          </w:p>
        </w:tc>
      </w:tr>
      <w:tr>
        <w:trPr/>
        <w:tc>
          <w:tcPr>
            <w:tcW w:w="575"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 </w:t>
            </w:r>
          </w:p>
        </w:tc>
      </w:tr>
      <w:tr>
        <w:trPr/>
        <w:tc>
          <w:tcPr>
            <w:tcW w:w="575" w:type="dxa"/>
            <w:tcBorders/>
            <w:shd w:fill="CCEEFF" w:val="clear"/>
            <w:vAlign w:val="center"/>
          </w:tcPr>
          <w:p>
            <w:pPr>
              <w:pStyle w:val="TableContents"/>
              <w:bidi w:val="0"/>
              <w:spacing w:before="0" w:after="0"/>
              <w:jc w:val="left"/>
              <w:rPr/>
            </w:pPr>
            <w:r>
              <w:rPr/>
              <w:t>10.1</w:t>
            </w:r>
          </w:p>
        </w:tc>
        <w:tc>
          <w:tcPr>
            <w:tcW w:w="9630" w:type="dxa"/>
            <w:tcBorders/>
            <w:shd w:fill="CCEEFF" w:val="clear"/>
            <w:vAlign w:val="center"/>
          </w:tcPr>
          <w:p>
            <w:pPr>
              <w:pStyle w:val="TableContents"/>
              <w:bidi w:val="0"/>
              <w:spacing w:before="0" w:after="0"/>
              <w:jc w:val="both"/>
              <w:rPr/>
            </w:pPr>
            <w:hyperlink r:id="rId10">
              <w:r>
                <w:rPr>
                  <w:rStyle w:val="InternetLink"/>
                </w:rPr>
                <w:t>Amended and Restated Credit Agreement among the Company, various financial institutions, and Bank of America, N.A. as administrative agent, dated as of June 14, 2022 (incorporated by reference to Exhibit 10.1 to the Company’s Current Report on Form 8-K filed June 17, 2022).</w:t>
              </w:r>
            </w:hyperlink>
          </w:p>
        </w:tc>
      </w:tr>
      <w:tr>
        <w:trPr/>
        <w:tc>
          <w:tcPr>
            <w:tcW w:w="575"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 </w:t>
            </w:r>
          </w:p>
        </w:tc>
      </w:tr>
      <w:tr>
        <w:trPr/>
        <w:tc>
          <w:tcPr>
            <w:tcW w:w="575" w:type="dxa"/>
            <w:tcBorders/>
            <w:shd w:fill="CCEEFF" w:val="clear"/>
            <w:vAlign w:val="center"/>
          </w:tcPr>
          <w:p>
            <w:pPr>
              <w:pStyle w:val="TableContents"/>
              <w:bidi w:val="0"/>
              <w:spacing w:before="0" w:after="0"/>
              <w:jc w:val="left"/>
              <w:rPr/>
            </w:pPr>
            <w:r>
              <w:rPr/>
              <w:t>#10.2</w:t>
            </w:r>
          </w:p>
        </w:tc>
        <w:tc>
          <w:tcPr>
            <w:tcW w:w="9630" w:type="dxa"/>
            <w:tcBorders/>
            <w:shd w:fill="CCEEFF" w:val="clear"/>
            <w:vAlign w:val="center"/>
          </w:tcPr>
          <w:p>
            <w:pPr>
              <w:pStyle w:val="TableContents"/>
              <w:bidi w:val="0"/>
              <w:spacing w:before="0" w:after="0"/>
              <w:jc w:val="both"/>
              <w:rPr/>
            </w:pPr>
            <w:hyperlink r:id="rId11">
              <w:r>
                <w:rPr>
                  <w:rStyle w:val="InternetLink"/>
                </w:rPr>
                <w:t>Second Amended and Restated Nu Skin Enterprises, Inc. 2010 Omnibus Incentive Plan (“Second Amended and Restated 2010 Plan”) (incorporated by reference to Exhibit 10.1 to the Company’s Current Report on Form 8-K filed May 24, 2016).</w:t>
              </w:r>
            </w:hyperlink>
          </w:p>
        </w:tc>
      </w:tr>
      <w:tr>
        <w:trPr/>
        <w:tc>
          <w:tcPr>
            <w:tcW w:w="575"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 </w:t>
            </w:r>
          </w:p>
        </w:tc>
      </w:tr>
      <w:tr>
        <w:trPr/>
        <w:tc>
          <w:tcPr>
            <w:tcW w:w="575" w:type="dxa"/>
            <w:tcBorders/>
            <w:shd w:fill="CCEEFF" w:val="clear"/>
            <w:vAlign w:val="center"/>
          </w:tcPr>
          <w:p>
            <w:pPr>
              <w:pStyle w:val="TableContents"/>
              <w:bidi w:val="0"/>
              <w:spacing w:before="0" w:after="0"/>
              <w:jc w:val="left"/>
              <w:rPr/>
            </w:pPr>
            <w:r>
              <w:rPr/>
              <w:t>#10.3</w:t>
            </w:r>
          </w:p>
        </w:tc>
        <w:tc>
          <w:tcPr>
            <w:tcW w:w="9630" w:type="dxa"/>
            <w:tcBorders/>
            <w:shd w:fill="CCEEFF" w:val="clear"/>
            <w:vAlign w:val="center"/>
          </w:tcPr>
          <w:p>
            <w:pPr>
              <w:pStyle w:val="TableContents"/>
              <w:bidi w:val="0"/>
              <w:spacing w:before="0" w:after="0"/>
              <w:jc w:val="both"/>
              <w:rPr/>
            </w:pPr>
            <w:hyperlink r:id="rId12">
              <w:r>
                <w:rPr>
                  <w:rStyle w:val="InternetLink"/>
                </w:rPr>
                <w:t>Form of Second Amended and Restated 2010 Plan Performance Stock Option Grant Agreement (incorporated by reference to Exhibit 10.13 to the Company’s Annual Report on Form 10-K for the year ended December 31, 2019, filed February 13, 2020).</w:t>
              </w:r>
            </w:hyperlink>
          </w:p>
        </w:tc>
      </w:tr>
      <w:tr>
        <w:trPr/>
        <w:tc>
          <w:tcPr>
            <w:tcW w:w="575"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 </w:t>
            </w:r>
          </w:p>
        </w:tc>
      </w:tr>
      <w:tr>
        <w:trPr/>
        <w:tc>
          <w:tcPr>
            <w:tcW w:w="575" w:type="dxa"/>
            <w:tcBorders/>
            <w:shd w:fill="CCEEFF" w:val="clear"/>
            <w:vAlign w:val="center"/>
          </w:tcPr>
          <w:p>
            <w:pPr>
              <w:pStyle w:val="TableContents"/>
              <w:bidi w:val="0"/>
              <w:spacing w:before="0" w:after="0"/>
              <w:jc w:val="left"/>
              <w:rPr/>
            </w:pPr>
            <w:r>
              <w:rPr/>
              <w:t>#10.4</w:t>
            </w:r>
          </w:p>
        </w:tc>
        <w:tc>
          <w:tcPr>
            <w:tcW w:w="9630" w:type="dxa"/>
            <w:tcBorders/>
            <w:shd w:fill="CCEEFF" w:val="clear"/>
            <w:vAlign w:val="center"/>
          </w:tcPr>
          <w:p>
            <w:pPr>
              <w:pStyle w:val="TableContents"/>
              <w:bidi w:val="0"/>
              <w:spacing w:before="0" w:after="0"/>
              <w:jc w:val="both"/>
              <w:rPr/>
            </w:pPr>
            <w:hyperlink r:id="rId13">
              <w:r>
                <w:rPr>
                  <w:rStyle w:val="InternetLink"/>
                </w:rPr>
                <w:t>Third Amended and Restated 2010 Omnibus Incentive Plan (“Third Amended and Restated 2010 Plan”) (incorporated by reference to Exhibit 99.1 to the Company’s Registration Statement on Form S-8 filed June 3, 2020, file no. 333-238908).</w:t>
              </w:r>
            </w:hyperlink>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104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695"/>
        <w:gridCol w:w="9510"/>
      </w:tblGrid>
      <w:tr>
        <w:trPr/>
        <w:tc>
          <w:tcPr>
            <w:tcW w:w="695" w:type="dxa"/>
            <w:tcBorders/>
            <w:shd w:fill="CCEEFF" w:val="clear"/>
            <w:vAlign w:val="center"/>
          </w:tcPr>
          <w:p>
            <w:pPr>
              <w:pStyle w:val="TableContents"/>
              <w:bidi w:val="0"/>
              <w:spacing w:before="0" w:after="0"/>
              <w:jc w:val="left"/>
              <w:rPr/>
            </w:pPr>
            <w:r>
              <w:rPr/>
              <w:t>#10.5</w:t>
            </w:r>
          </w:p>
        </w:tc>
        <w:tc>
          <w:tcPr>
            <w:tcW w:w="9510" w:type="dxa"/>
            <w:tcBorders/>
            <w:shd w:fill="CCEEFF" w:val="clear"/>
            <w:vAlign w:val="center"/>
          </w:tcPr>
          <w:p>
            <w:pPr>
              <w:pStyle w:val="TableContents"/>
              <w:bidi w:val="0"/>
              <w:spacing w:before="0" w:after="0"/>
              <w:jc w:val="both"/>
              <w:rPr/>
            </w:pPr>
            <w:hyperlink r:id="rId14">
              <w:r>
                <w:rPr>
                  <w:rStyle w:val="InternetLink"/>
                </w:rPr>
                <w:t>Form of Third Amended and Restated 2010 Plan Restricted Stock Unit Grant Agreement (incorporated by reference to Exhibit 10.5 to the Company’s Annual Report on Form 10-K for the year ended December 31, 2023, filed February 15, 2024).</w:t>
              </w:r>
            </w:hyperlink>
          </w:p>
        </w:tc>
      </w:tr>
      <w:tr>
        <w:trPr/>
        <w:tc>
          <w:tcPr>
            <w:tcW w:w="695"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r>
              <w:rPr/>
              <w:t> </w:t>
            </w:r>
          </w:p>
        </w:tc>
      </w:tr>
      <w:tr>
        <w:trPr/>
        <w:tc>
          <w:tcPr>
            <w:tcW w:w="695" w:type="dxa"/>
            <w:tcBorders/>
            <w:shd w:fill="CCEEFF" w:val="clear"/>
            <w:vAlign w:val="center"/>
          </w:tcPr>
          <w:p>
            <w:pPr>
              <w:pStyle w:val="TableContents"/>
              <w:bidi w:val="0"/>
              <w:spacing w:before="0" w:after="0"/>
              <w:jc w:val="left"/>
              <w:rPr/>
            </w:pPr>
            <w:r>
              <w:rPr/>
              <w:t>#10.6</w:t>
            </w:r>
          </w:p>
        </w:tc>
        <w:tc>
          <w:tcPr>
            <w:tcW w:w="9510" w:type="dxa"/>
            <w:tcBorders/>
            <w:shd w:fill="CCEEFF" w:val="clear"/>
            <w:vAlign w:val="center"/>
          </w:tcPr>
          <w:p>
            <w:pPr>
              <w:pStyle w:val="TableContents"/>
              <w:bidi w:val="0"/>
              <w:spacing w:before="0" w:after="0"/>
              <w:jc w:val="both"/>
              <w:rPr/>
            </w:pPr>
            <w:hyperlink r:id="rId15">
              <w:r>
                <w:rPr>
                  <w:rStyle w:val="InternetLink"/>
                </w:rPr>
                <w:t>Form of Third Amended and Restated 2010 Plan Performance Restricted Stock Unit Grant Agreement (incorporated by reference to Exhibit 10.6 to the Company’s Annual Report on Form 10-K for the year ended December 31, 2023, filed February 15, 2024).</w:t>
              </w:r>
            </w:hyperlink>
          </w:p>
        </w:tc>
      </w:tr>
      <w:tr>
        <w:trPr/>
        <w:tc>
          <w:tcPr>
            <w:tcW w:w="695"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r>
              <w:rPr/>
              <w:t> </w:t>
            </w:r>
          </w:p>
        </w:tc>
      </w:tr>
      <w:tr>
        <w:trPr/>
        <w:tc>
          <w:tcPr>
            <w:tcW w:w="695" w:type="dxa"/>
            <w:tcBorders/>
            <w:shd w:fill="CCEEFF" w:val="clear"/>
            <w:vAlign w:val="center"/>
          </w:tcPr>
          <w:p>
            <w:pPr>
              <w:pStyle w:val="TableContents"/>
              <w:bidi w:val="0"/>
              <w:spacing w:before="0" w:after="0"/>
              <w:jc w:val="left"/>
              <w:rPr/>
            </w:pPr>
            <w:r>
              <w:rPr/>
              <w:t>#10.7</w:t>
            </w:r>
          </w:p>
        </w:tc>
        <w:tc>
          <w:tcPr>
            <w:tcW w:w="9510" w:type="dxa"/>
            <w:tcBorders/>
            <w:shd w:fill="CCEEFF" w:val="clear"/>
            <w:vAlign w:val="center"/>
          </w:tcPr>
          <w:p>
            <w:pPr>
              <w:pStyle w:val="TableContents"/>
              <w:bidi w:val="0"/>
              <w:spacing w:before="0" w:after="0"/>
              <w:jc w:val="both"/>
              <w:rPr/>
            </w:pPr>
            <w:hyperlink r:id="rId16">
              <w:r>
                <w:rPr>
                  <w:rStyle w:val="InternetLink"/>
                </w:rPr>
                <w:t>Form of Third Amended and Restated 2010 Plan Performance Stock Option Grant Agreement (incorporated by reference to Exhibit 10.14 to the Company’s Annual Report on Form 10-K for the year ended December 31, 2020, filed February 11, 2021).</w:t>
              </w:r>
            </w:hyperlink>
          </w:p>
        </w:tc>
      </w:tr>
      <w:tr>
        <w:trPr/>
        <w:tc>
          <w:tcPr>
            <w:tcW w:w="695"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r>
              <w:rPr/>
              <w:t> </w:t>
            </w:r>
          </w:p>
        </w:tc>
      </w:tr>
      <w:tr>
        <w:trPr/>
        <w:tc>
          <w:tcPr>
            <w:tcW w:w="695" w:type="dxa"/>
            <w:tcBorders/>
            <w:shd w:fill="CCEEFF" w:val="clear"/>
            <w:vAlign w:val="center"/>
          </w:tcPr>
          <w:p>
            <w:pPr>
              <w:pStyle w:val="TableContents"/>
              <w:bidi w:val="0"/>
              <w:spacing w:before="0" w:after="0"/>
              <w:jc w:val="left"/>
              <w:rPr/>
            </w:pPr>
            <w:r>
              <w:rPr/>
              <w:t>#10.8</w:t>
            </w:r>
          </w:p>
        </w:tc>
        <w:tc>
          <w:tcPr>
            <w:tcW w:w="9510" w:type="dxa"/>
            <w:tcBorders/>
            <w:shd w:fill="CCEEFF" w:val="clear"/>
            <w:vAlign w:val="center"/>
          </w:tcPr>
          <w:p>
            <w:pPr>
              <w:pStyle w:val="TableContents"/>
              <w:bidi w:val="0"/>
              <w:spacing w:before="0" w:after="0"/>
              <w:jc w:val="both"/>
              <w:rPr/>
            </w:pPr>
            <w:hyperlink r:id="rId17">
              <w:r>
                <w:rPr>
                  <w:rStyle w:val="InternetLink"/>
                </w:rPr>
                <w:t>2024 Omnibus Incentive Plan (“2024 Plan”) (incorporated by reference to Exhibit 10.1 to the Company’s Current Report on Form 8-K filed June 6, 2024).</w:t>
              </w:r>
            </w:hyperlink>
          </w:p>
        </w:tc>
      </w:tr>
      <w:tr>
        <w:trPr/>
        <w:tc>
          <w:tcPr>
            <w:tcW w:w="695"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r>
              <w:rPr/>
              <w:t> </w:t>
            </w:r>
          </w:p>
        </w:tc>
      </w:tr>
      <w:tr>
        <w:trPr/>
        <w:tc>
          <w:tcPr>
            <w:tcW w:w="695" w:type="dxa"/>
            <w:tcBorders/>
            <w:shd w:fill="CCEEFF" w:val="clear"/>
            <w:vAlign w:val="center"/>
          </w:tcPr>
          <w:p>
            <w:pPr>
              <w:pStyle w:val="TableContents"/>
              <w:bidi w:val="0"/>
              <w:spacing w:before="0" w:after="0"/>
              <w:jc w:val="left"/>
              <w:rPr/>
            </w:pPr>
            <w:r>
              <w:rPr/>
              <w:t>#10.9</w:t>
            </w:r>
          </w:p>
        </w:tc>
        <w:tc>
          <w:tcPr>
            <w:tcW w:w="9510" w:type="dxa"/>
            <w:tcBorders/>
            <w:shd w:fill="CCEEFF" w:val="clear"/>
            <w:vAlign w:val="center"/>
          </w:tcPr>
          <w:p>
            <w:pPr>
              <w:pStyle w:val="TableContents"/>
              <w:bidi w:val="0"/>
              <w:spacing w:before="0" w:after="0"/>
              <w:jc w:val="both"/>
              <w:rPr/>
            </w:pPr>
            <w:hyperlink r:id="rId18">
              <w:r>
                <w:rPr>
                  <w:rStyle w:val="InternetLink"/>
                </w:rPr>
                <w:t>Form of 2024 Plan Restricted Stock Unit Grant Agreement (incorporated by reference to Exhibit 10.9 to the Company’s Annual Report on Form 10-K for the year ended December 31, 2024, filed February 14, 2025).</w:t>
              </w:r>
            </w:hyperlink>
          </w:p>
        </w:tc>
      </w:tr>
      <w:tr>
        <w:trPr/>
        <w:tc>
          <w:tcPr>
            <w:tcW w:w="695"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r>
              <w:rPr/>
              <w:t> </w:t>
            </w:r>
          </w:p>
        </w:tc>
      </w:tr>
      <w:tr>
        <w:trPr/>
        <w:tc>
          <w:tcPr>
            <w:tcW w:w="695" w:type="dxa"/>
            <w:tcBorders/>
            <w:shd w:fill="CCEEFF" w:val="clear"/>
            <w:vAlign w:val="center"/>
          </w:tcPr>
          <w:p>
            <w:pPr>
              <w:pStyle w:val="TableContents"/>
              <w:bidi w:val="0"/>
              <w:spacing w:before="0" w:after="0"/>
              <w:jc w:val="left"/>
              <w:rPr/>
            </w:pPr>
            <w:r>
              <w:rPr/>
              <w:t>#10.10</w:t>
            </w:r>
          </w:p>
        </w:tc>
        <w:tc>
          <w:tcPr>
            <w:tcW w:w="9510" w:type="dxa"/>
            <w:tcBorders/>
            <w:shd w:fill="CCEEFF" w:val="clear"/>
            <w:vAlign w:val="center"/>
          </w:tcPr>
          <w:p>
            <w:pPr>
              <w:pStyle w:val="TableContents"/>
              <w:bidi w:val="0"/>
              <w:spacing w:before="0" w:after="0"/>
              <w:jc w:val="both"/>
              <w:rPr/>
            </w:pPr>
            <w:hyperlink r:id="rId19">
              <w:r>
                <w:rPr>
                  <w:rStyle w:val="InternetLink"/>
                </w:rPr>
                <w:t>Form of 2024 Plan Performance Restricted Stock Unit Grant Agreement (incorporated by reference to Exhibit 10.10 to the Company’s Annual Report on Form 10-K for the year ended December 31, 2024, filed February 14, 2025).</w:t>
              </w:r>
            </w:hyperlink>
          </w:p>
        </w:tc>
      </w:tr>
      <w:tr>
        <w:trPr/>
        <w:tc>
          <w:tcPr>
            <w:tcW w:w="695"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r>
              <w:rPr/>
              <w:t> </w:t>
            </w:r>
          </w:p>
        </w:tc>
      </w:tr>
      <w:tr>
        <w:trPr/>
        <w:tc>
          <w:tcPr>
            <w:tcW w:w="695" w:type="dxa"/>
            <w:tcBorders/>
            <w:shd w:fill="CCEEFF" w:val="clear"/>
            <w:vAlign w:val="center"/>
          </w:tcPr>
          <w:p>
            <w:pPr>
              <w:pStyle w:val="TableContents"/>
              <w:bidi w:val="0"/>
              <w:spacing w:before="0" w:after="0"/>
              <w:jc w:val="left"/>
              <w:rPr/>
            </w:pPr>
            <w:r>
              <w:rPr/>
              <w:t>#10.11</w:t>
            </w:r>
          </w:p>
        </w:tc>
        <w:tc>
          <w:tcPr>
            <w:tcW w:w="9510" w:type="dxa"/>
            <w:tcBorders/>
            <w:shd w:fill="CCEEFF" w:val="clear"/>
            <w:vAlign w:val="center"/>
          </w:tcPr>
          <w:p>
            <w:pPr>
              <w:pStyle w:val="TableContents"/>
              <w:bidi w:val="0"/>
              <w:spacing w:before="0" w:after="0"/>
              <w:jc w:val="both"/>
              <w:rPr/>
            </w:pPr>
            <w:hyperlink r:id="rId20">
              <w:r>
                <w:rPr>
                  <w:rStyle w:val="InternetLink"/>
                </w:rPr>
                <w:t>Amended and Restated 2024 Omnibus Incentive Plan (“Amended and Restated 2024 Plan”) (incorporated by reference to Exhibit 10.1 to the Company’s Current Report on Form 8-K filed May 30, 2025).</w:t>
              </w:r>
            </w:hyperlink>
          </w:p>
        </w:tc>
      </w:tr>
      <w:tr>
        <w:trPr/>
        <w:tc>
          <w:tcPr>
            <w:tcW w:w="695"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r>
              <w:rPr/>
              <w:t> </w:t>
            </w:r>
          </w:p>
        </w:tc>
      </w:tr>
      <w:tr>
        <w:trPr/>
        <w:tc>
          <w:tcPr>
            <w:tcW w:w="695" w:type="dxa"/>
            <w:tcBorders/>
            <w:shd w:fill="CCEEFF" w:val="clear"/>
            <w:vAlign w:val="center"/>
          </w:tcPr>
          <w:p>
            <w:pPr>
              <w:pStyle w:val="TableContents"/>
              <w:bidi w:val="0"/>
              <w:spacing w:before="0" w:after="0"/>
              <w:jc w:val="left"/>
              <w:rPr/>
            </w:pPr>
            <w:r>
              <w:rPr/>
              <w:t>#10.12</w:t>
            </w:r>
          </w:p>
        </w:tc>
        <w:tc>
          <w:tcPr>
            <w:tcW w:w="9510" w:type="dxa"/>
            <w:tcBorders/>
            <w:shd w:fill="CCEEFF" w:val="clear"/>
            <w:vAlign w:val="center"/>
          </w:tcPr>
          <w:p>
            <w:pPr>
              <w:pStyle w:val="TableContents"/>
              <w:bidi w:val="0"/>
              <w:spacing w:before="0" w:after="0"/>
              <w:jc w:val="both"/>
              <w:rPr/>
            </w:pPr>
            <w:hyperlink r:id="rId21">
              <w:r>
                <w:rPr>
                  <w:rStyle w:val="InternetLink"/>
                </w:rPr>
                <w:t>Form of Amended and Restated 2024 Plan Director Restricted Stock Unit Grant Agreement (incorporated by reference to Exhibit 10.2 to the Company’s Quarterly Report on Form 10-Q for the quarterly period ended June 30, 2025, filed August 8, 2025).</w:t>
              </w:r>
            </w:hyperlink>
          </w:p>
        </w:tc>
      </w:tr>
      <w:tr>
        <w:trPr/>
        <w:tc>
          <w:tcPr>
            <w:tcW w:w="695"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r>
              <w:rPr/>
              <w:t> </w:t>
            </w:r>
          </w:p>
        </w:tc>
      </w:tr>
      <w:tr>
        <w:trPr/>
        <w:tc>
          <w:tcPr>
            <w:tcW w:w="695" w:type="dxa"/>
            <w:tcBorders/>
            <w:shd w:fill="CCEEFF" w:val="clear"/>
            <w:vAlign w:val="center"/>
          </w:tcPr>
          <w:p>
            <w:pPr>
              <w:pStyle w:val="TableContents"/>
              <w:bidi w:val="0"/>
              <w:spacing w:before="0" w:after="0"/>
              <w:jc w:val="left"/>
              <w:rPr/>
            </w:pPr>
            <w:r>
              <w:rPr/>
              <w:t>#10.13</w:t>
            </w:r>
          </w:p>
        </w:tc>
        <w:tc>
          <w:tcPr>
            <w:tcW w:w="9510" w:type="dxa"/>
            <w:tcBorders/>
            <w:shd w:fill="CCEEFF" w:val="clear"/>
            <w:vAlign w:val="center"/>
          </w:tcPr>
          <w:p>
            <w:pPr>
              <w:pStyle w:val="TableContents"/>
              <w:bidi w:val="0"/>
              <w:spacing w:before="0" w:after="0"/>
              <w:jc w:val="both"/>
              <w:rPr/>
            </w:pPr>
            <w:hyperlink r:id="rId22">
              <w:r>
                <w:rPr>
                  <w:rStyle w:val="InternetLink"/>
                </w:rPr>
                <w:t>Nu Skin Enterprises, Inc. Amended and Restated 2009 Key Employee Death Benefit Plan (incorporated by reference to Exhibit 10.1 to the Company’s Quarterly Report on Form 10-Q for the quarterly period ended June 30, 2023, filed August 2, 2023).</w:t>
              </w:r>
            </w:hyperlink>
          </w:p>
        </w:tc>
      </w:tr>
      <w:tr>
        <w:trPr/>
        <w:tc>
          <w:tcPr>
            <w:tcW w:w="695"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r>
              <w:rPr/>
              <w:t> </w:t>
            </w:r>
          </w:p>
        </w:tc>
      </w:tr>
      <w:tr>
        <w:trPr/>
        <w:tc>
          <w:tcPr>
            <w:tcW w:w="695" w:type="dxa"/>
            <w:tcBorders/>
            <w:shd w:fill="CCEEFF" w:val="clear"/>
            <w:vAlign w:val="center"/>
          </w:tcPr>
          <w:p>
            <w:pPr>
              <w:pStyle w:val="TableContents"/>
              <w:bidi w:val="0"/>
              <w:spacing w:before="0" w:after="0"/>
              <w:jc w:val="left"/>
              <w:rPr/>
            </w:pPr>
            <w:r>
              <w:rPr/>
              <w:t>#10.14</w:t>
            </w:r>
          </w:p>
        </w:tc>
        <w:tc>
          <w:tcPr>
            <w:tcW w:w="9510" w:type="dxa"/>
            <w:tcBorders/>
            <w:shd w:fill="CCEEFF" w:val="clear"/>
            <w:vAlign w:val="center"/>
          </w:tcPr>
          <w:p>
            <w:pPr>
              <w:pStyle w:val="TableContents"/>
              <w:bidi w:val="0"/>
              <w:spacing w:before="0" w:after="0"/>
              <w:jc w:val="both"/>
              <w:rPr/>
            </w:pPr>
            <w:hyperlink r:id="rId23">
              <w:r>
                <w:rPr>
                  <w:rStyle w:val="InternetLink"/>
                </w:rPr>
                <w:t>Fourth Amended and Restated Nu Skin Enterprises, Inc. Deferred Compensation Plan, effective as of January 1, 2022 (incorporated by reference to Exhibit 10.18 to the Company’s Annual Report on Form 10-K for the year ended December 31, 2021, filed February 16, 2022).</w:t>
              </w:r>
            </w:hyperlink>
          </w:p>
        </w:tc>
      </w:tr>
      <w:tr>
        <w:trPr/>
        <w:tc>
          <w:tcPr>
            <w:tcW w:w="695"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r>
              <w:rPr/>
              <w:t> </w:t>
            </w:r>
          </w:p>
        </w:tc>
      </w:tr>
      <w:tr>
        <w:trPr/>
        <w:tc>
          <w:tcPr>
            <w:tcW w:w="695" w:type="dxa"/>
            <w:tcBorders/>
            <w:shd w:fill="CCEEFF" w:val="clear"/>
            <w:vAlign w:val="center"/>
          </w:tcPr>
          <w:p>
            <w:pPr>
              <w:pStyle w:val="TableContents"/>
              <w:bidi w:val="0"/>
              <w:spacing w:before="0" w:after="0"/>
              <w:jc w:val="left"/>
              <w:rPr/>
            </w:pPr>
            <w:r>
              <w:rPr/>
              <w:t>#10.15</w:t>
            </w:r>
          </w:p>
        </w:tc>
        <w:tc>
          <w:tcPr>
            <w:tcW w:w="9510" w:type="dxa"/>
            <w:tcBorders/>
            <w:shd w:fill="CCEEFF" w:val="clear"/>
            <w:vAlign w:val="center"/>
          </w:tcPr>
          <w:p>
            <w:pPr>
              <w:pStyle w:val="TableContents"/>
              <w:bidi w:val="0"/>
              <w:spacing w:before="0" w:after="0"/>
              <w:jc w:val="both"/>
              <w:rPr/>
            </w:pPr>
            <w:hyperlink r:id="rId24">
              <w:r>
                <w:rPr>
                  <w:rStyle w:val="InternetLink"/>
                </w:rPr>
                <w:t>Amendment 1 to Fourth Amended and Restated Nu Skin Enterprises, Inc. Deferred Compensation Plan (incorporated by reference to Exhibit 10.2 to the Company’s Quarterly Report on Form 10-Q for the quarterly period ended June 30, 2023, filed August 2, 2023).</w:t>
              </w:r>
            </w:hyperlink>
          </w:p>
        </w:tc>
      </w:tr>
      <w:tr>
        <w:trPr/>
        <w:tc>
          <w:tcPr>
            <w:tcW w:w="695"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r>
              <w:rPr/>
              <w:t> </w:t>
            </w:r>
          </w:p>
        </w:tc>
      </w:tr>
      <w:tr>
        <w:trPr/>
        <w:tc>
          <w:tcPr>
            <w:tcW w:w="695" w:type="dxa"/>
            <w:tcBorders/>
            <w:shd w:fill="CCEEFF" w:val="clear"/>
            <w:vAlign w:val="center"/>
          </w:tcPr>
          <w:p>
            <w:pPr>
              <w:pStyle w:val="TableContents"/>
              <w:bidi w:val="0"/>
              <w:spacing w:before="0" w:after="0"/>
              <w:jc w:val="left"/>
              <w:rPr/>
            </w:pPr>
            <w:r>
              <w:rPr/>
              <w:t>#10.16</w:t>
            </w:r>
          </w:p>
        </w:tc>
        <w:tc>
          <w:tcPr>
            <w:tcW w:w="9510" w:type="dxa"/>
            <w:tcBorders/>
            <w:shd w:fill="CCEEFF" w:val="clear"/>
            <w:vAlign w:val="center"/>
          </w:tcPr>
          <w:p>
            <w:pPr>
              <w:pStyle w:val="TableContents"/>
              <w:bidi w:val="0"/>
              <w:spacing w:before="0" w:after="0"/>
              <w:jc w:val="both"/>
              <w:rPr/>
            </w:pPr>
            <w:hyperlink r:id="rId25">
              <w:r>
                <w:rPr>
                  <w:rStyle w:val="InternetLink"/>
                </w:rPr>
                <w:t>Form of Indemnification Agreement between the Company and its Executive Officers and Directors (incorporated by reference to Exhibit 10.1 to the Company’s Quarterly Report on Form 10-Q for the quarterly period ended September 30, 2016, filed November 4, 2016).</w:t>
              </w:r>
            </w:hyperlink>
          </w:p>
        </w:tc>
      </w:tr>
      <w:tr>
        <w:trPr/>
        <w:tc>
          <w:tcPr>
            <w:tcW w:w="695"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r>
              <w:rPr/>
              <w:t> </w:t>
            </w:r>
          </w:p>
        </w:tc>
      </w:tr>
      <w:tr>
        <w:trPr/>
        <w:tc>
          <w:tcPr>
            <w:tcW w:w="695" w:type="dxa"/>
            <w:tcBorders/>
            <w:shd w:fill="CCEEFF" w:val="clear"/>
            <w:vAlign w:val="center"/>
          </w:tcPr>
          <w:p>
            <w:pPr>
              <w:pStyle w:val="TableContents"/>
              <w:bidi w:val="0"/>
              <w:spacing w:before="0" w:after="0"/>
              <w:jc w:val="left"/>
              <w:rPr/>
            </w:pPr>
            <w:r>
              <w:rPr/>
              <w:t>#10.17</w:t>
            </w:r>
          </w:p>
        </w:tc>
        <w:tc>
          <w:tcPr>
            <w:tcW w:w="9510" w:type="dxa"/>
            <w:tcBorders/>
            <w:shd w:fill="CCEEFF" w:val="clear"/>
            <w:vAlign w:val="center"/>
          </w:tcPr>
          <w:p>
            <w:pPr>
              <w:pStyle w:val="TableContents"/>
              <w:bidi w:val="0"/>
              <w:spacing w:before="0" w:after="0"/>
              <w:jc w:val="both"/>
              <w:rPr/>
            </w:pPr>
            <w:hyperlink r:id="rId26">
              <w:r>
                <w:rPr>
                  <w:rStyle w:val="InternetLink"/>
                </w:rPr>
                <w:t>Nu Skin Enterprises, Inc. Executive Severance Policy, amended and restated effective as of January 4, 2023 (incorporated by reference to Exhibit 10.16 to the Company’s Annual Report on Form 10-K for the year ended December 31, 2024, filed February 14, 2025).</w:t>
              </w:r>
            </w:hyperlink>
          </w:p>
        </w:tc>
      </w:tr>
      <w:tr>
        <w:trPr/>
        <w:tc>
          <w:tcPr>
            <w:tcW w:w="695"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r>
              <w:rPr/>
              <w:t> </w:t>
            </w:r>
          </w:p>
        </w:tc>
      </w:tr>
      <w:tr>
        <w:trPr/>
        <w:tc>
          <w:tcPr>
            <w:tcW w:w="695" w:type="dxa"/>
            <w:tcBorders/>
            <w:shd w:fill="CCEEFF" w:val="clear"/>
            <w:vAlign w:val="center"/>
          </w:tcPr>
          <w:p>
            <w:pPr>
              <w:pStyle w:val="TableContents"/>
              <w:bidi w:val="0"/>
              <w:spacing w:before="0" w:after="0"/>
              <w:jc w:val="left"/>
              <w:rPr/>
            </w:pPr>
            <w:r>
              <w:rPr/>
              <w:t>19.1</w:t>
            </w:r>
          </w:p>
        </w:tc>
        <w:tc>
          <w:tcPr>
            <w:tcW w:w="9510" w:type="dxa"/>
            <w:tcBorders/>
            <w:shd w:fill="CCEEFF" w:val="clear"/>
            <w:vAlign w:val="center"/>
          </w:tcPr>
          <w:p>
            <w:pPr>
              <w:pStyle w:val="TableContents"/>
              <w:bidi w:val="0"/>
              <w:spacing w:before="0" w:after="0"/>
              <w:jc w:val="both"/>
              <w:rPr/>
            </w:pPr>
            <w:hyperlink r:id="rId27">
              <w:r>
                <w:rPr>
                  <w:rStyle w:val="InternetLink"/>
                </w:rPr>
                <w:t>Nu Skin Enterprises, Inc. Securities Trading Policy (incorporated by reference to Exhibit 19.1 to the Company’s Annual Report on Form 10-K for the year ended December 31, 2024, filed February 14, 2025).</w:t>
              </w:r>
            </w:hyperlink>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105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730"/>
        <w:gridCol w:w="9475"/>
      </w:tblGrid>
      <w:tr>
        <w:trPr/>
        <w:tc>
          <w:tcPr>
            <w:tcW w:w="730" w:type="dxa"/>
            <w:tcBorders/>
            <w:shd w:fill="CCEEFF" w:val="clear"/>
            <w:vAlign w:val="center"/>
          </w:tcPr>
          <w:p>
            <w:pPr>
              <w:pStyle w:val="TableContents"/>
              <w:bidi w:val="0"/>
              <w:spacing w:before="0" w:after="0"/>
              <w:jc w:val="left"/>
              <w:rPr/>
            </w:pPr>
            <w:hyperlink w:anchor="ef20060638_ex21-1.htm">
              <w:r>
                <w:rPr>
                  <w:rStyle w:val="InternetLink"/>
                </w:rPr>
                <w:t>*21.1</w:t>
              </w:r>
            </w:hyperlink>
          </w:p>
        </w:tc>
        <w:tc>
          <w:tcPr>
            <w:tcW w:w="9475" w:type="dxa"/>
            <w:tcBorders/>
            <w:shd w:fill="CCEEFF" w:val="clear"/>
            <w:vAlign w:val="center"/>
          </w:tcPr>
          <w:p>
            <w:pPr>
              <w:pStyle w:val="TableContents"/>
              <w:bidi w:val="0"/>
              <w:spacing w:before="0" w:after="0"/>
              <w:jc w:val="both"/>
              <w:rPr/>
            </w:pPr>
            <w:r>
              <w:rPr/>
              <w:t>Subsidiaries of the Company.</w:t>
            </w:r>
          </w:p>
        </w:tc>
      </w:tr>
      <w:tr>
        <w:trPr/>
        <w:tc>
          <w:tcPr>
            <w:tcW w:w="730" w:type="dxa"/>
            <w:tcBorders/>
            <w:vAlign w:val="center"/>
          </w:tcPr>
          <w:p>
            <w:pPr>
              <w:pStyle w:val="TableContents"/>
              <w:bidi w:val="0"/>
              <w:spacing w:before="0" w:after="283"/>
              <w:jc w:val="left"/>
              <w:rPr/>
            </w:pPr>
            <w:r>
              <w:rPr/>
              <w:t> </w:t>
            </w:r>
          </w:p>
        </w:tc>
        <w:tc>
          <w:tcPr>
            <w:tcW w:w="9475" w:type="dxa"/>
            <w:tcBorders/>
            <w:vAlign w:val="center"/>
          </w:tcPr>
          <w:p>
            <w:pPr>
              <w:pStyle w:val="TableContents"/>
              <w:bidi w:val="0"/>
              <w:spacing w:before="0" w:after="283"/>
              <w:jc w:val="left"/>
              <w:rPr/>
            </w:pPr>
            <w:r>
              <w:rPr/>
              <w:t> </w:t>
            </w:r>
          </w:p>
        </w:tc>
      </w:tr>
      <w:tr>
        <w:trPr/>
        <w:tc>
          <w:tcPr>
            <w:tcW w:w="730" w:type="dxa"/>
            <w:tcBorders/>
            <w:shd w:fill="CCEEFF" w:val="clear"/>
            <w:vAlign w:val="center"/>
          </w:tcPr>
          <w:p>
            <w:pPr>
              <w:pStyle w:val="TableContents"/>
              <w:bidi w:val="0"/>
              <w:spacing w:before="0" w:after="0"/>
              <w:jc w:val="left"/>
              <w:rPr/>
            </w:pPr>
            <w:hyperlink w:anchor="ef20060638_ex23-1.htm">
              <w:r>
                <w:rPr>
                  <w:rStyle w:val="InternetLink"/>
                </w:rPr>
                <w:t>*23.1</w:t>
              </w:r>
            </w:hyperlink>
          </w:p>
        </w:tc>
        <w:tc>
          <w:tcPr>
            <w:tcW w:w="9475" w:type="dxa"/>
            <w:tcBorders/>
            <w:shd w:fill="CCEEFF" w:val="clear"/>
            <w:vAlign w:val="center"/>
          </w:tcPr>
          <w:p>
            <w:pPr>
              <w:pStyle w:val="TableContents"/>
              <w:bidi w:val="0"/>
              <w:spacing w:before="0" w:after="0"/>
              <w:jc w:val="both"/>
              <w:rPr/>
            </w:pPr>
            <w:r>
              <w:rPr/>
              <w:t>Consent of PricewaterhouseCoopers LLP.</w:t>
            </w:r>
          </w:p>
        </w:tc>
      </w:tr>
      <w:tr>
        <w:trPr/>
        <w:tc>
          <w:tcPr>
            <w:tcW w:w="730" w:type="dxa"/>
            <w:tcBorders/>
            <w:vAlign w:val="center"/>
          </w:tcPr>
          <w:p>
            <w:pPr>
              <w:pStyle w:val="TableContents"/>
              <w:bidi w:val="0"/>
              <w:spacing w:before="0" w:after="283"/>
              <w:jc w:val="left"/>
              <w:rPr/>
            </w:pPr>
            <w:r>
              <w:rPr/>
              <w:t> </w:t>
            </w:r>
          </w:p>
        </w:tc>
        <w:tc>
          <w:tcPr>
            <w:tcW w:w="9475" w:type="dxa"/>
            <w:tcBorders/>
            <w:vAlign w:val="center"/>
          </w:tcPr>
          <w:p>
            <w:pPr>
              <w:pStyle w:val="TableContents"/>
              <w:bidi w:val="0"/>
              <w:spacing w:before="0" w:after="283"/>
              <w:jc w:val="left"/>
              <w:rPr/>
            </w:pPr>
            <w:r>
              <w:rPr/>
              <w:t> </w:t>
            </w:r>
          </w:p>
        </w:tc>
      </w:tr>
      <w:tr>
        <w:trPr/>
        <w:tc>
          <w:tcPr>
            <w:tcW w:w="730" w:type="dxa"/>
            <w:tcBorders/>
            <w:shd w:fill="CCEEFF" w:val="clear"/>
            <w:vAlign w:val="center"/>
          </w:tcPr>
          <w:p>
            <w:pPr>
              <w:pStyle w:val="TableContents"/>
              <w:bidi w:val="0"/>
              <w:spacing w:before="0" w:after="0"/>
              <w:jc w:val="left"/>
              <w:rPr/>
            </w:pPr>
            <w:hyperlink w:anchor="ef20060638_ex31-1.htm">
              <w:r>
                <w:rPr>
                  <w:rStyle w:val="InternetLink"/>
                </w:rPr>
                <w:t>*31.1</w:t>
              </w:r>
            </w:hyperlink>
          </w:p>
        </w:tc>
        <w:tc>
          <w:tcPr>
            <w:tcW w:w="9475" w:type="dxa"/>
            <w:tcBorders/>
            <w:shd w:fill="CCEEFF" w:val="clear"/>
            <w:vAlign w:val="center"/>
          </w:tcPr>
          <w:p>
            <w:pPr>
              <w:pStyle w:val="TableContents"/>
              <w:bidi w:val="0"/>
              <w:spacing w:before="0" w:after="0"/>
              <w:jc w:val="both"/>
              <w:rPr/>
            </w:pPr>
            <w:r>
              <w:rPr/>
              <w:t>Certification by Ryan S. Napierski, Chief Executive Officer, pursuant to Rule 13a-14(a) of the Securities Exchange Act of 1934, as adopted pursuant to Section 302 of the Sarbanes-Oxley Act of 2002.</w:t>
            </w:r>
          </w:p>
        </w:tc>
      </w:tr>
      <w:tr>
        <w:trPr/>
        <w:tc>
          <w:tcPr>
            <w:tcW w:w="730" w:type="dxa"/>
            <w:tcBorders/>
            <w:vAlign w:val="center"/>
          </w:tcPr>
          <w:p>
            <w:pPr>
              <w:pStyle w:val="TableContents"/>
              <w:bidi w:val="0"/>
              <w:spacing w:before="0" w:after="283"/>
              <w:jc w:val="left"/>
              <w:rPr/>
            </w:pPr>
            <w:r>
              <w:rPr/>
              <w:t> </w:t>
            </w:r>
          </w:p>
        </w:tc>
        <w:tc>
          <w:tcPr>
            <w:tcW w:w="9475" w:type="dxa"/>
            <w:tcBorders/>
            <w:vAlign w:val="center"/>
          </w:tcPr>
          <w:p>
            <w:pPr>
              <w:pStyle w:val="TableContents"/>
              <w:bidi w:val="0"/>
              <w:spacing w:before="0" w:after="283"/>
              <w:jc w:val="left"/>
              <w:rPr/>
            </w:pPr>
            <w:r>
              <w:rPr/>
              <w:t> </w:t>
            </w:r>
          </w:p>
        </w:tc>
      </w:tr>
      <w:tr>
        <w:trPr/>
        <w:tc>
          <w:tcPr>
            <w:tcW w:w="730" w:type="dxa"/>
            <w:tcBorders/>
            <w:shd w:fill="CCEEFF" w:val="clear"/>
            <w:vAlign w:val="center"/>
          </w:tcPr>
          <w:p>
            <w:pPr>
              <w:pStyle w:val="TableContents"/>
              <w:bidi w:val="0"/>
              <w:spacing w:before="0" w:after="0"/>
              <w:jc w:val="left"/>
              <w:rPr/>
            </w:pPr>
            <w:hyperlink w:anchor="ef20060638_ex31-2.htm">
              <w:r>
                <w:rPr>
                  <w:rStyle w:val="InternetLink"/>
                </w:rPr>
                <w:t>*31.2</w:t>
              </w:r>
            </w:hyperlink>
          </w:p>
        </w:tc>
        <w:tc>
          <w:tcPr>
            <w:tcW w:w="9475" w:type="dxa"/>
            <w:tcBorders/>
            <w:shd w:fill="CCEEFF" w:val="clear"/>
            <w:vAlign w:val="center"/>
          </w:tcPr>
          <w:p>
            <w:pPr>
              <w:pStyle w:val="TableContents"/>
              <w:bidi w:val="0"/>
              <w:spacing w:before="0" w:after="0"/>
              <w:jc w:val="both"/>
              <w:rPr/>
            </w:pPr>
            <w:r>
              <w:rPr/>
              <w:t>Certification by James D. Thomas, Chief Financial Officer, pursuant to Rule 13a-14(a) of the Securities Exchange Act of 1934, as adopted pursuant to Section 302 of the Sarbanes-Oxley Act of 2002.</w:t>
            </w:r>
          </w:p>
        </w:tc>
      </w:tr>
      <w:tr>
        <w:trPr/>
        <w:tc>
          <w:tcPr>
            <w:tcW w:w="730" w:type="dxa"/>
            <w:tcBorders/>
            <w:vAlign w:val="center"/>
          </w:tcPr>
          <w:p>
            <w:pPr>
              <w:pStyle w:val="TableContents"/>
              <w:bidi w:val="0"/>
              <w:spacing w:before="0" w:after="283"/>
              <w:jc w:val="left"/>
              <w:rPr/>
            </w:pPr>
            <w:r>
              <w:rPr/>
              <w:t> </w:t>
            </w:r>
          </w:p>
        </w:tc>
        <w:tc>
          <w:tcPr>
            <w:tcW w:w="9475" w:type="dxa"/>
            <w:tcBorders/>
            <w:vAlign w:val="center"/>
          </w:tcPr>
          <w:p>
            <w:pPr>
              <w:pStyle w:val="TableContents"/>
              <w:bidi w:val="0"/>
              <w:spacing w:before="0" w:after="283"/>
              <w:jc w:val="left"/>
              <w:rPr/>
            </w:pPr>
            <w:r>
              <w:rPr/>
              <w:t> </w:t>
            </w:r>
          </w:p>
        </w:tc>
      </w:tr>
      <w:tr>
        <w:trPr/>
        <w:tc>
          <w:tcPr>
            <w:tcW w:w="730" w:type="dxa"/>
            <w:tcBorders/>
            <w:shd w:fill="CCEEFF" w:val="clear"/>
            <w:vAlign w:val="center"/>
          </w:tcPr>
          <w:p>
            <w:pPr>
              <w:pStyle w:val="TableContents"/>
              <w:bidi w:val="0"/>
              <w:spacing w:before="0" w:after="0"/>
              <w:jc w:val="left"/>
              <w:rPr/>
            </w:pPr>
            <w:hyperlink w:anchor="ef20060638_ex32-1.htm">
              <w:r>
                <w:rPr>
                  <w:rStyle w:val="InternetLink"/>
                </w:rPr>
                <w:t>*32.1</w:t>
              </w:r>
            </w:hyperlink>
          </w:p>
        </w:tc>
        <w:tc>
          <w:tcPr>
            <w:tcW w:w="9475" w:type="dxa"/>
            <w:tcBorders/>
            <w:shd w:fill="CCEEFF" w:val="clear"/>
            <w:vAlign w:val="center"/>
          </w:tcPr>
          <w:p>
            <w:pPr>
              <w:pStyle w:val="TableContents"/>
              <w:bidi w:val="0"/>
              <w:spacing w:before="0" w:after="0"/>
              <w:jc w:val="both"/>
              <w:rPr/>
            </w:pPr>
            <w:r>
              <w:rPr/>
              <w:t>Certification by Ryan S. Napierski, Chief Executive Officer, pursuant to Section 1350, Chapter 63 of Title 18, United States Code, as adopted pursuant to Section 906 of the Sarbanes-Oxley Act of 2002.</w:t>
            </w:r>
          </w:p>
        </w:tc>
      </w:tr>
      <w:tr>
        <w:trPr/>
        <w:tc>
          <w:tcPr>
            <w:tcW w:w="730" w:type="dxa"/>
            <w:tcBorders/>
            <w:vAlign w:val="center"/>
          </w:tcPr>
          <w:p>
            <w:pPr>
              <w:pStyle w:val="TableContents"/>
              <w:bidi w:val="0"/>
              <w:spacing w:before="0" w:after="283"/>
              <w:jc w:val="left"/>
              <w:rPr/>
            </w:pPr>
            <w:r>
              <w:rPr/>
              <w:t> </w:t>
            </w:r>
          </w:p>
        </w:tc>
        <w:tc>
          <w:tcPr>
            <w:tcW w:w="9475" w:type="dxa"/>
            <w:tcBorders/>
            <w:vAlign w:val="center"/>
          </w:tcPr>
          <w:p>
            <w:pPr>
              <w:pStyle w:val="TableContents"/>
              <w:bidi w:val="0"/>
              <w:spacing w:before="0" w:after="283"/>
              <w:jc w:val="left"/>
              <w:rPr/>
            </w:pPr>
            <w:r>
              <w:rPr/>
              <w:t> </w:t>
            </w:r>
          </w:p>
        </w:tc>
      </w:tr>
      <w:tr>
        <w:trPr/>
        <w:tc>
          <w:tcPr>
            <w:tcW w:w="730" w:type="dxa"/>
            <w:tcBorders/>
            <w:shd w:fill="CCEEFF" w:val="clear"/>
            <w:vAlign w:val="center"/>
          </w:tcPr>
          <w:p>
            <w:pPr>
              <w:pStyle w:val="TableContents"/>
              <w:bidi w:val="0"/>
              <w:spacing w:before="0" w:after="0"/>
              <w:jc w:val="left"/>
              <w:rPr/>
            </w:pPr>
            <w:hyperlink w:anchor="ef20060638_ex32-2.htm">
              <w:r>
                <w:rPr>
                  <w:rStyle w:val="InternetLink"/>
                </w:rPr>
                <w:t>*32.2</w:t>
              </w:r>
            </w:hyperlink>
          </w:p>
        </w:tc>
        <w:tc>
          <w:tcPr>
            <w:tcW w:w="9475" w:type="dxa"/>
            <w:tcBorders/>
            <w:shd w:fill="CCEEFF" w:val="clear"/>
            <w:vAlign w:val="center"/>
          </w:tcPr>
          <w:p>
            <w:pPr>
              <w:pStyle w:val="TableContents"/>
              <w:bidi w:val="0"/>
              <w:spacing w:before="0" w:after="0"/>
              <w:jc w:val="both"/>
              <w:rPr/>
            </w:pPr>
            <w:r>
              <w:rPr/>
              <w:t>Certification by James D. Thomas, Chief Financial Officer, pursuant to Section 1350, Chapter 63 of Title 18, United States Code, as adopted pursuant to Section 906 of the Sarbanes-Oxley Act of 2002.</w:t>
            </w:r>
          </w:p>
        </w:tc>
      </w:tr>
      <w:tr>
        <w:trPr/>
        <w:tc>
          <w:tcPr>
            <w:tcW w:w="730" w:type="dxa"/>
            <w:tcBorders/>
            <w:vAlign w:val="center"/>
          </w:tcPr>
          <w:p>
            <w:pPr>
              <w:pStyle w:val="TableContents"/>
              <w:bidi w:val="0"/>
              <w:spacing w:before="0" w:after="283"/>
              <w:jc w:val="left"/>
              <w:rPr/>
            </w:pPr>
            <w:r>
              <w:rPr/>
              <w:t> </w:t>
            </w:r>
          </w:p>
        </w:tc>
        <w:tc>
          <w:tcPr>
            <w:tcW w:w="9475" w:type="dxa"/>
            <w:tcBorders/>
            <w:vAlign w:val="center"/>
          </w:tcPr>
          <w:p>
            <w:pPr>
              <w:pStyle w:val="TableContents"/>
              <w:bidi w:val="0"/>
              <w:spacing w:before="0" w:after="283"/>
              <w:jc w:val="left"/>
              <w:rPr/>
            </w:pPr>
            <w:r>
              <w:rPr/>
              <w:t> </w:t>
            </w:r>
          </w:p>
        </w:tc>
      </w:tr>
      <w:tr>
        <w:trPr/>
        <w:tc>
          <w:tcPr>
            <w:tcW w:w="730" w:type="dxa"/>
            <w:tcBorders/>
            <w:shd w:fill="CCEEFF" w:val="clear"/>
            <w:vAlign w:val="center"/>
          </w:tcPr>
          <w:p>
            <w:pPr>
              <w:pStyle w:val="TableContents"/>
              <w:bidi w:val="0"/>
              <w:spacing w:before="0" w:after="0"/>
              <w:jc w:val="left"/>
              <w:rPr/>
            </w:pPr>
            <w:r>
              <w:rPr/>
              <w:t>97.1</w:t>
            </w:r>
          </w:p>
        </w:tc>
        <w:tc>
          <w:tcPr>
            <w:tcW w:w="9475" w:type="dxa"/>
            <w:tcBorders/>
            <w:shd w:fill="CCEEFF" w:val="clear"/>
            <w:vAlign w:val="center"/>
          </w:tcPr>
          <w:p>
            <w:pPr>
              <w:pStyle w:val="TableContents"/>
              <w:bidi w:val="0"/>
              <w:spacing w:before="0" w:after="0"/>
              <w:jc w:val="both"/>
              <w:rPr/>
            </w:pPr>
            <w:hyperlink r:id="rId28">
              <w:r>
                <w:rPr>
                  <w:rStyle w:val="InternetLink"/>
                </w:rPr>
                <w:t>Nu Skin Enterprises, Inc. Executive Officer Incentive Compensation Recovery Policy (incorporated by reference to Exhibit 97.1 to the Company’s Annual Report on Form 10-K for the year ended December 31, 2023, filed February 15, 2024).</w:t>
              </w:r>
            </w:hyperlink>
          </w:p>
        </w:tc>
      </w:tr>
      <w:tr>
        <w:trPr/>
        <w:tc>
          <w:tcPr>
            <w:tcW w:w="730" w:type="dxa"/>
            <w:tcBorders/>
            <w:vAlign w:val="center"/>
          </w:tcPr>
          <w:p>
            <w:pPr>
              <w:pStyle w:val="TableContents"/>
              <w:bidi w:val="0"/>
              <w:spacing w:before="0" w:after="283"/>
              <w:jc w:val="left"/>
              <w:rPr/>
            </w:pPr>
            <w:r>
              <w:rPr/>
              <w:t> </w:t>
            </w:r>
          </w:p>
        </w:tc>
        <w:tc>
          <w:tcPr>
            <w:tcW w:w="9475" w:type="dxa"/>
            <w:tcBorders/>
            <w:vAlign w:val="center"/>
          </w:tcPr>
          <w:p>
            <w:pPr>
              <w:pStyle w:val="TableContents"/>
              <w:bidi w:val="0"/>
              <w:spacing w:before="0" w:after="283"/>
              <w:jc w:val="left"/>
              <w:rPr/>
            </w:pPr>
            <w:r>
              <w:rPr/>
              <w:t> </w:t>
            </w:r>
          </w:p>
        </w:tc>
      </w:tr>
      <w:tr>
        <w:trPr/>
        <w:tc>
          <w:tcPr>
            <w:tcW w:w="730" w:type="dxa"/>
            <w:tcBorders/>
            <w:shd w:fill="CCEEFF" w:val="clear"/>
            <w:vAlign w:val="center"/>
          </w:tcPr>
          <w:p>
            <w:pPr>
              <w:pStyle w:val="TableContents"/>
              <w:bidi w:val="0"/>
              <w:spacing w:before="0" w:after="0"/>
              <w:jc w:val="left"/>
              <w:rPr/>
            </w:pPr>
            <w:r>
              <w:rPr/>
              <w:t>*101.INS</w:t>
            </w:r>
          </w:p>
        </w:tc>
        <w:tc>
          <w:tcPr>
            <w:tcW w:w="9475" w:type="dxa"/>
            <w:tcBorders/>
            <w:shd w:fill="CCEEFF" w:val="clear"/>
            <w:vAlign w:val="center"/>
          </w:tcPr>
          <w:p>
            <w:pPr>
              <w:pStyle w:val="TableContents"/>
              <w:bidi w:val="0"/>
              <w:spacing w:before="0" w:after="0"/>
              <w:jc w:val="both"/>
              <w:rPr/>
            </w:pPr>
            <w:r>
              <w:rPr/>
              <w:t>Inline XBRL Instance Document (the instance document does not appear in the Interactive Data File because its XBRL tags are embedded within the Inline XBRL document).</w:t>
            </w:r>
          </w:p>
        </w:tc>
      </w:tr>
      <w:tr>
        <w:trPr/>
        <w:tc>
          <w:tcPr>
            <w:tcW w:w="730" w:type="dxa"/>
            <w:tcBorders/>
            <w:vAlign w:val="center"/>
          </w:tcPr>
          <w:p>
            <w:pPr>
              <w:pStyle w:val="TableContents"/>
              <w:bidi w:val="0"/>
              <w:spacing w:before="0" w:after="283"/>
              <w:jc w:val="left"/>
              <w:rPr/>
            </w:pPr>
            <w:r>
              <w:rPr/>
              <w:t> </w:t>
            </w:r>
          </w:p>
        </w:tc>
        <w:tc>
          <w:tcPr>
            <w:tcW w:w="9475" w:type="dxa"/>
            <w:tcBorders/>
            <w:vAlign w:val="center"/>
          </w:tcPr>
          <w:p>
            <w:pPr>
              <w:pStyle w:val="TableContents"/>
              <w:bidi w:val="0"/>
              <w:spacing w:before="0" w:after="283"/>
              <w:jc w:val="left"/>
              <w:rPr/>
            </w:pPr>
            <w:r>
              <w:rPr/>
              <w:t> </w:t>
            </w:r>
          </w:p>
        </w:tc>
      </w:tr>
      <w:tr>
        <w:trPr/>
        <w:tc>
          <w:tcPr>
            <w:tcW w:w="730" w:type="dxa"/>
            <w:tcBorders/>
            <w:shd w:fill="CCEEFF" w:val="clear"/>
            <w:vAlign w:val="center"/>
          </w:tcPr>
          <w:p>
            <w:pPr>
              <w:pStyle w:val="TableContents"/>
              <w:bidi w:val="0"/>
              <w:spacing w:before="0" w:after="0"/>
              <w:jc w:val="left"/>
              <w:rPr/>
            </w:pPr>
            <w:r>
              <w:rPr/>
              <w:t>*101.SCH</w:t>
            </w:r>
          </w:p>
        </w:tc>
        <w:tc>
          <w:tcPr>
            <w:tcW w:w="9475" w:type="dxa"/>
            <w:tcBorders/>
            <w:shd w:fill="CCEEFF" w:val="clear"/>
            <w:vAlign w:val="center"/>
          </w:tcPr>
          <w:p>
            <w:pPr>
              <w:pStyle w:val="TableContents"/>
              <w:bidi w:val="0"/>
              <w:spacing w:before="0" w:after="0"/>
              <w:jc w:val="both"/>
              <w:rPr/>
            </w:pPr>
            <w:r>
              <w:rPr/>
              <w:t>Inline XBRL Taxonomy Extension Schema Document.</w:t>
            </w:r>
          </w:p>
        </w:tc>
      </w:tr>
      <w:tr>
        <w:trPr/>
        <w:tc>
          <w:tcPr>
            <w:tcW w:w="730" w:type="dxa"/>
            <w:tcBorders/>
            <w:vAlign w:val="center"/>
          </w:tcPr>
          <w:p>
            <w:pPr>
              <w:pStyle w:val="TableContents"/>
              <w:bidi w:val="0"/>
              <w:spacing w:before="0" w:after="283"/>
              <w:jc w:val="left"/>
              <w:rPr/>
            </w:pPr>
            <w:r>
              <w:rPr/>
              <w:t> </w:t>
            </w:r>
          </w:p>
        </w:tc>
        <w:tc>
          <w:tcPr>
            <w:tcW w:w="9475" w:type="dxa"/>
            <w:tcBorders/>
            <w:vAlign w:val="center"/>
          </w:tcPr>
          <w:p>
            <w:pPr>
              <w:pStyle w:val="TableContents"/>
              <w:bidi w:val="0"/>
              <w:spacing w:before="0" w:after="283"/>
              <w:jc w:val="left"/>
              <w:rPr/>
            </w:pPr>
            <w:r>
              <w:rPr/>
              <w:t> </w:t>
            </w:r>
          </w:p>
        </w:tc>
      </w:tr>
      <w:tr>
        <w:trPr/>
        <w:tc>
          <w:tcPr>
            <w:tcW w:w="730" w:type="dxa"/>
            <w:tcBorders/>
            <w:shd w:fill="CCEEFF" w:val="clear"/>
            <w:vAlign w:val="center"/>
          </w:tcPr>
          <w:p>
            <w:pPr>
              <w:pStyle w:val="TableContents"/>
              <w:bidi w:val="0"/>
              <w:spacing w:before="0" w:after="0"/>
              <w:jc w:val="left"/>
              <w:rPr/>
            </w:pPr>
            <w:r>
              <w:rPr/>
              <w:t>*101.CAL</w:t>
            </w:r>
          </w:p>
        </w:tc>
        <w:tc>
          <w:tcPr>
            <w:tcW w:w="9475" w:type="dxa"/>
            <w:tcBorders/>
            <w:shd w:fill="CCEEFF" w:val="clear"/>
            <w:vAlign w:val="center"/>
          </w:tcPr>
          <w:p>
            <w:pPr>
              <w:pStyle w:val="TableContents"/>
              <w:bidi w:val="0"/>
              <w:spacing w:before="0" w:after="0"/>
              <w:jc w:val="both"/>
              <w:rPr/>
            </w:pPr>
            <w:r>
              <w:rPr/>
              <w:t>Inline XBRL Taxonomy Extension Calculation Linkbase Document.</w:t>
            </w:r>
          </w:p>
        </w:tc>
      </w:tr>
      <w:tr>
        <w:trPr/>
        <w:tc>
          <w:tcPr>
            <w:tcW w:w="730" w:type="dxa"/>
            <w:tcBorders/>
            <w:vAlign w:val="center"/>
          </w:tcPr>
          <w:p>
            <w:pPr>
              <w:pStyle w:val="TableContents"/>
              <w:bidi w:val="0"/>
              <w:spacing w:before="0" w:after="283"/>
              <w:jc w:val="left"/>
              <w:rPr/>
            </w:pPr>
            <w:r>
              <w:rPr/>
              <w:t> </w:t>
            </w:r>
          </w:p>
        </w:tc>
        <w:tc>
          <w:tcPr>
            <w:tcW w:w="9475" w:type="dxa"/>
            <w:tcBorders/>
            <w:vAlign w:val="center"/>
          </w:tcPr>
          <w:p>
            <w:pPr>
              <w:pStyle w:val="TableContents"/>
              <w:bidi w:val="0"/>
              <w:spacing w:before="0" w:after="283"/>
              <w:jc w:val="left"/>
              <w:rPr/>
            </w:pPr>
            <w:r>
              <w:rPr/>
              <w:t> </w:t>
            </w:r>
          </w:p>
        </w:tc>
      </w:tr>
      <w:tr>
        <w:trPr/>
        <w:tc>
          <w:tcPr>
            <w:tcW w:w="730" w:type="dxa"/>
            <w:tcBorders/>
            <w:shd w:fill="CCEEFF" w:val="clear"/>
            <w:vAlign w:val="center"/>
          </w:tcPr>
          <w:p>
            <w:pPr>
              <w:pStyle w:val="TableContents"/>
              <w:bidi w:val="0"/>
              <w:spacing w:before="0" w:after="0"/>
              <w:jc w:val="left"/>
              <w:rPr/>
            </w:pPr>
            <w:r>
              <w:rPr/>
              <w:t>*101.DEF</w:t>
            </w:r>
          </w:p>
        </w:tc>
        <w:tc>
          <w:tcPr>
            <w:tcW w:w="9475" w:type="dxa"/>
            <w:tcBorders/>
            <w:shd w:fill="CCEEFF" w:val="clear"/>
            <w:vAlign w:val="center"/>
          </w:tcPr>
          <w:p>
            <w:pPr>
              <w:pStyle w:val="TableContents"/>
              <w:bidi w:val="0"/>
              <w:spacing w:before="0" w:after="0"/>
              <w:jc w:val="both"/>
              <w:rPr/>
            </w:pPr>
            <w:r>
              <w:rPr/>
              <w:t>Inline XBRL Taxonomy Extension Definition Linkbase Document.</w:t>
            </w:r>
          </w:p>
        </w:tc>
      </w:tr>
      <w:tr>
        <w:trPr/>
        <w:tc>
          <w:tcPr>
            <w:tcW w:w="730" w:type="dxa"/>
            <w:tcBorders/>
            <w:vAlign w:val="center"/>
          </w:tcPr>
          <w:p>
            <w:pPr>
              <w:pStyle w:val="TableContents"/>
              <w:bidi w:val="0"/>
              <w:spacing w:before="0" w:after="283"/>
              <w:jc w:val="left"/>
              <w:rPr/>
            </w:pPr>
            <w:r>
              <w:rPr/>
              <w:t> </w:t>
            </w:r>
          </w:p>
        </w:tc>
        <w:tc>
          <w:tcPr>
            <w:tcW w:w="9475" w:type="dxa"/>
            <w:tcBorders/>
            <w:vAlign w:val="center"/>
          </w:tcPr>
          <w:p>
            <w:pPr>
              <w:pStyle w:val="TableContents"/>
              <w:bidi w:val="0"/>
              <w:spacing w:before="0" w:after="283"/>
              <w:jc w:val="left"/>
              <w:rPr/>
            </w:pPr>
            <w:r>
              <w:rPr/>
              <w:t> </w:t>
            </w:r>
          </w:p>
        </w:tc>
      </w:tr>
      <w:tr>
        <w:trPr/>
        <w:tc>
          <w:tcPr>
            <w:tcW w:w="730" w:type="dxa"/>
            <w:tcBorders/>
            <w:shd w:fill="CCEEFF" w:val="clear"/>
            <w:vAlign w:val="center"/>
          </w:tcPr>
          <w:p>
            <w:pPr>
              <w:pStyle w:val="TableContents"/>
              <w:bidi w:val="0"/>
              <w:spacing w:before="0" w:after="0"/>
              <w:jc w:val="left"/>
              <w:rPr/>
            </w:pPr>
            <w:r>
              <w:rPr/>
              <w:t>*101.LAB</w:t>
            </w:r>
          </w:p>
        </w:tc>
        <w:tc>
          <w:tcPr>
            <w:tcW w:w="9475" w:type="dxa"/>
            <w:tcBorders/>
            <w:shd w:fill="CCEEFF" w:val="clear"/>
            <w:vAlign w:val="center"/>
          </w:tcPr>
          <w:p>
            <w:pPr>
              <w:pStyle w:val="TableContents"/>
              <w:bidi w:val="0"/>
              <w:spacing w:before="0" w:after="0"/>
              <w:jc w:val="both"/>
              <w:rPr/>
            </w:pPr>
            <w:r>
              <w:rPr/>
              <w:t>Inline XBRL Taxonomy Extension Label Linkbase Document.</w:t>
            </w:r>
          </w:p>
        </w:tc>
      </w:tr>
      <w:tr>
        <w:trPr/>
        <w:tc>
          <w:tcPr>
            <w:tcW w:w="730" w:type="dxa"/>
            <w:tcBorders/>
            <w:vAlign w:val="center"/>
          </w:tcPr>
          <w:p>
            <w:pPr>
              <w:pStyle w:val="TableContents"/>
              <w:bidi w:val="0"/>
              <w:spacing w:before="0" w:after="283"/>
              <w:jc w:val="left"/>
              <w:rPr/>
            </w:pPr>
            <w:r>
              <w:rPr/>
              <w:t> </w:t>
            </w:r>
          </w:p>
        </w:tc>
        <w:tc>
          <w:tcPr>
            <w:tcW w:w="9475" w:type="dxa"/>
            <w:tcBorders/>
            <w:vAlign w:val="center"/>
          </w:tcPr>
          <w:p>
            <w:pPr>
              <w:pStyle w:val="TableContents"/>
              <w:bidi w:val="0"/>
              <w:spacing w:before="0" w:after="283"/>
              <w:jc w:val="left"/>
              <w:rPr/>
            </w:pPr>
            <w:r>
              <w:rPr/>
              <w:t> </w:t>
            </w:r>
          </w:p>
        </w:tc>
      </w:tr>
      <w:tr>
        <w:trPr/>
        <w:tc>
          <w:tcPr>
            <w:tcW w:w="730" w:type="dxa"/>
            <w:tcBorders/>
            <w:shd w:fill="CCEEFF" w:val="clear"/>
            <w:vAlign w:val="center"/>
          </w:tcPr>
          <w:p>
            <w:pPr>
              <w:pStyle w:val="TableContents"/>
              <w:bidi w:val="0"/>
              <w:spacing w:before="0" w:after="0"/>
              <w:jc w:val="left"/>
              <w:rPr/>
            </w:pPr>
            <w:r>
              <w:rPr/>
              <w:t>*101.PRE</w:t>
            </w:r>
          </w:p>
        </w:tc>
        <w:tc>
          <w:tcPr>
            <w:tcW w:w="9475" w:type="dxa"/>
            <w:tcBorders/>
            <w:shd w:fill="CCEEFF" w:val="clear"/>
            <w:vAlign w:val="center"/>
          </w:tcPr>
          <w:p>
            <w:pPr>
              <w:pStyle w:val="TableContents"/>
              <w:bidi w:val="0"/>
              <w:spacing w:before="0" w:after="0"/>
              <w:jc w:val="both"/>
              <w:rPr/>
            </w:pPr>
            <w:r>
              <w:rPr/>
              <w:t>Inline XBRL Taxonomy Extension Presentation Linkbase Document.</w:t>
            </w:r>
          </w:p>
        </w:tc>
      </w:tr>
      <w:tr>
        <w:trPr/>
        <w:tc>
          <w:tcPr>
            <w:tcW w:w="730" w:type="dxa"/>
            <w:tcBorders/>
            <w:vAlign w:val="center"/>
          </w:tcPr>
          <w:p>
            <w:pPr>
              <w:pStyle w:val="TableContents"/>
              <w:bidi w:val="0"/>
              <w:spacing w:before="0" w:after="283"/>
              <w:jc w:val="left"/>
              <w:rPr/>
            </w:pPr>
            <w:r>
              <w:rPr/>
              <w:t> </w:t>
            </w:r>
          </w:p>
        </w:tc>
        <w:tc>
          <w:tcPr>
            <w:tcW w:w="9475" w:type="dxa"/>
            <w:tcBorders/>
            <w:vAlign w:val="center"/>
          </w:tcPr>
          <w:p>
            <w:pPr>
              <w:pStyle w:val="TableContents"/>
              <w:bidi w:val="0"/>
              <w:spacing w:before="0" w:after="283"/>
              <w:jc w:val="left"/>
              <w:rPr/>
            </w:pPr>
            <w:r>
              <w:rPr/>
              <w:t> </w:t>
            </w:r>
          </w:p>
        </w:tc>
      </w:tr>
      <w:tr>
        <w:trPr/>
        <w:tc>
          <w:tcPr>
            <w:tcW w:w="730" w:type="dxa"/>
            <w:tcBorders/>
            <w:shd w:fill="CCEEFF" w:val="clear"/>
            <w:vAlign w:val="center"/>
          </w:tcPr>
          <w:p>
            <w:pPr>
              <w:pStyle w:val="TableContents"/>
              <w:bidi w:val="0"/>
              <w:spacing w:before="0" w:after="0"/>
              <w:jc w:val="left"/>
              <w:rPr/>
            </w:pPr>
            <w:r>
              <w:rPr/>
              <w:t>*104</w:t>
            </w:r>
          </w:p>
        </w:tc>
        <w:tc>
          <w:tcPr>
            <w:tcW w:w="9475" w:type="dxa"/>
            <w:tcBorders/>
            <w:shd w:fill="CCEEFF" w:val="clear"/>
            <w:vAlign w:val="center"/>
          </w:tcPr>
          <w:p>
            <w:pPr>
              <w:pStyle w:val="TableContents"/>
              <w:bidi w:val="0"/>
              <w:spacing w:before="0" w:after="0"/>
              <w:jc w:val="both"/>
              <w:rPr/>
            </w:pPr>
            <w:r>
              <w:rPr/>
              <w:t>Cover Page Interactive Data File (formatted as inline XBRL and contained in Exhibit 101).</w:t>
            </w:r>
          </w:p>
        </w:tc>
      </w:tr>
    </w:tbl>
    <w:p>
      <w:pPr>
        <w:pStyle w:val="TextBody"/>
        <w:bidi w:val="0"/>
        <w:spacing w:before="0" w:after="0"/>
        <w:jc w:val="left"/>
        <w:rPr/>
      </w:pPr>
      <w:r>
        <w:rPr/>
      </w:r>
    </w:p>
    <w:tbl>
      <w:tblPr>
        <w:tblW w:w="2815" w:type="dxa"/>
        <w:jc w:val="left"/>
        <w:tblInd w:w="0" w:type="dxa"/>
        <w:tblLayout w:type="fixed"/>
        <w:tblCellMar>
          <w:top w:w="0" w:type="dxa"/>
          <w:left w:w="0" w:type="dxa"/>
          <w:bottom w:w="0" w:type="dxa"/>
          <w:right w:w="0" w:type="dxa"/>
        </w:tblCellMar>
      </w:tblPr>
      <w:tblGrid>
        <w:gridCol w:w="155"/>
        <w:gridCol w:w="2660"/>
      </w:tblGrid>
      <w:tr>
        <w:trPr/>
        <w:tc>
          <w:tcPr>
            <w:tcW w:w="155" w:type="dxa"/>
            <w:tcBorders/>
            <w:vAlign w:val="center"/>
          </w:tcPr>
          <w:p>
            <w:pPr>
              <w:pStyle w:val="TableContents"/>
              <w:bidi w:val="0"/>
              <w:spacing w:before="0" w:after="283"/>
              <w:jc w:val="left"/>
              <w:rPr>
                <w:color w:val="000000"/>
              </w:rPr>
            </w:pPr>
            <w:r>
              <w:rPr>
                <w:color w:val="000000"/>
              </w:rPr>
              <w:t>*</w:t>
            </w:r>
          </w:p>
        </w:tc>
        <w:tc>
          <w:tcPr>
            <w:tcW w:w="2660" w:type="dxa"/>
            <w:tcBorders/>
            <w:vAlign w:val="center"/>
          </w:tcPr>
          <w:p>
            <w:pPr>
              <w:pStyle w:val="TableContents"/>
              <w:bidi w:val="0"/>
              <w:spacing w:before="0" w:after="0"/>
              <w:jc w:val="left"/>
              <w:rPr>
                <w:color w:val="000000"/>
              </w:rPr>
            </w:pPr>
            <w:r>
              <w:rPr>
                <w:color w:val="000000"/>
              </w:rPr>
              <w:t>Filed or furnished herewith.</w:t>
            </w:r>
          </w:p>
        </w:tc>
      </w:tr>
    </w:tbl>
    <w:tbl>
      <w:tblPr>
        <w:tblW w:w="5875" w:type="dxa"/>
        <w:jc w:val="left"/>
        <w:tblInd w:w="0" w:type="dxa"/>
        <w:tblLayout w:type="fixed"/>
        <w:tblCellMar>
          <w:top w:w="0" w:type="dxa"/>
          <w:left w:w="0" w:type="dxa"/>
          <w:bottom w:w="0" w:type="dxa"/>
          <w:right w:w="0" w:type="dxa"/>
        </w:tblCellMar>
      </w:tblPr>
      <w:tblGrid>
        <w:gridCol w:w="155"/>
        <w:gridCol w:w="5720"/>
      </w:tblGrid>
      <w:tr>
        <w:trPr/>
        <w:tc>
          <w:tcPr>
            <w:tcW w:w="155" w:type="dxa"/>
            <w:tcBorders/>
            <w:vAlign w:val="center"/>
          </w:tcPr>
          <w:p>
            <w:pPr>
              <w:pStyle w:val="TableContents"/>
              <w:bidi w:val="0"/>
              <w:spacing w:before="0" w:after="283"/>
              <w:jc w:val="left"/>
              <w:rPr>
                <w:color w:val="000000"/>
              </w:rPr>
            </w:pPr>
            <w:r>
              <w:rPr>
                <w:color w:val="000000"/>
              </w:rPr>
              <w:t>#</w:t>
            </w:r>
          </w:p>
        </w:tc>
        <w:tc>
          <w:tcPr>
            <w:tcW w:w="5720" w:type="dxa"/>
            <w:tcBorders/>
            <w:vAlign w:val="center"/>
          </w:tcPr>
          <w:p>
            <w:pPr>
              <w:pStyle w:val="TableContents"/>
              <w:bidi w:val="0"/>
              <w:spacing w:before="0" w:after="0"/>
              <w:jc w:val="left"/>
              <w:rPr>
                <w:color w:val="000000"/>
              </w:rPr>
            </w:pPr>
            <w:r>
              <w:rPr>
                <w:color w:val="000000"/>
              </w:rPr>
              <w:t>Management contract or compensatory plan or arrangement.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9" w:name="FORM10-KSUMMARY"/>
      <w:bookmarkStart w:id="60" w:name="FORM10-KSUMMARY"/>
      <w:bookmarkEnd w:id="60"/>
    </w:p>
    <w:tbl>
      <w:tblPr>
        <w:tblW w:w="3730" w:type="dxa"/>
        <w:jc w:val="left"/>
        <w:tblInd w:w="0" w:type="dxa"/>
        <w:tblLayout w:type="fixed"/>
        <w:tblCellMar>
          <w:top w:w="0" w:type="dxa"/>
          <w:left w:w="0" w:type="dxa"/>
          <w:bottom w:w="0" w:type="dxa"/>
          <w:right w:w="0" w:type="dxa"/>
        </w:tblCellMar>
      </w:tblPr>
      <w:tblGrid>
        <w:gridCol w:w="1040"/>
        <w:gridCol w:w="2690"/>
      </w:tblGrid>
      <w:tr>
        <w:trPr/>
        <w:tc>
          <w:tcPr>
            <w:tcW w:w="1040" w:type="dxa"/>
            <w:tcBorders/>
            <w:vAlign w:val="center"/>
          </w:tcPr>
          <w:p>
            <w:pPr>
              <w:pStyle w:val="TableContents"/>
              <w:bidi w:val="0"/>
              <w:spacing w:before="0" w:after="283"/>
              <w:jc w:val="left"/>
              <w:rPr>
                <w:b/>
                <w:color w:val="000000"/>
              </w:rPr>
            </w:pPr>
            <w:r>
              <w:rPr>
                <w:b/>
                <w:color w:val="000000"/>
              </w:rPr>
              <w:t>ITEM 16.</w:t>
            </w:r>
          </w:p>
        </w:tc>
        <w:tc>
          <w:tcPr>
            <w:tcW w:w="2690" w:type="dxa"/>
            <w:tcBorders/>
            <w:vAlign w:val="center"/>
          </w:tcPr>
          <w:p>
            <w:pPr>
              <w:pStyle w:val="TableContents"/>
              <w:bidi w:val="0"/>
              <w:spacing w:before="0" w:after="0"/>
              <w:jc w:val="left"/>
              <w:rPr>
                <w:b/>
                <w:color w:val="000000"/>
                <w:u w:val="single"/>
              </w:rPr>
            </w:pPr>
            <w:r>
              <w:rPr>
                <w:b/>
                <w:color w:val="000000"/>
                <w:u w:val="single"/>
              </w:rPr>
              <w:t>FORM 10-K SUMMARY</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color w:val="000000"/>
        </w:rPr>
      </w:pPr>
      <w:r>
        <w:rPr>
          <w:color w:val="000000"/>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106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61" w:name="SIGNATURES"/>
      <w:bookmarkEnd w:id="61"/>
      <w:r>
        <w:rPr>
          <w:rFonts w:ascii="Times New Roman" w:hAnsi="Times New Roman"/>
          <w:b/>
          <w:color w:val="000000"/>
          <w:sz w:val="20"/>
          <w:shd w:fill="FFFFFF" w:val="clear"/>
        </w:rPr>
        <w:t>SIGNATURES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Section 13 or 15(d) of the Securities Exchange Act of 1934, the Registrant has duly caused this report to be signed on its behalf by the undersigned, thereunto duly authorized on February 12, 2026.</w:t>
      </w:r>
    </w:p>
    <w:p>
      <w:pPr>
        <w:pStyle w:val="TextBody"/>
        <w:bidi w:val="0"/>
        <w:spacing w:before="0" w:after="0"/>
        <w:jc w:val="left"/>
        <w:rPr/>
      </w:pPr>
      <w:r>
        <w:rPr/>
      </w:r>
    </w:p>
    <w:tbl>
      <w:tblPr>
        <w:tblW w:w="4075" w:type="dxa"/>
        <w:jc w:val="left"/>
        <w:tblInd w:w="0" w:type="dxa"/>
        <w:tblLayout w:type="fixed"/>
        <w:tblCellMar>
          <w:top w:w="0" w:type="dxa"/>
          <w:left w:w="0" w:type="dxa"/>
          <w:bottom w:w="0" w:type="dxa"/>
          <w:right w:w="0" w:type="dxa"/>
        </w:tblCellMar>
      </w:tblPr>
      <w:tblGrid>
        <w:gridCol w:w="75"/>
        <w:gridCol w:w="365"/>
        <w:gridCol w:w="3635"/>
      </w:tblGrid>
      <w:tr>
        <w:trPr/>
        <w:tc>
          <w:tcPr>
            <w:tcW w:w="75" w:type="dxa"/>
            <w:tcBorders/>
            <w:vAlign w:val="center"/>
          </w:tcPr>
          <w:p>
            <w:pPr>
              <w:pStyle w:val="TableContents"/>
              <w:bidi w:val="0"/>
              <w:spacing w:before="0" w:after="283"/>
              <w:jc w:val="left"/>
              <w:rPr/>
            </w:pPr>
            <w:r>
              <w:rPr/>
              <w:t> </w:t>
            </w:r>
          </w:p>
        </w:tc>
        <w:tc>
          <w:tcPr>
            <w:tcW w:w="4000" w:type="dxa"/>
            <w:gridSpan w:val="2"/>
            <w:tcBorders/>
            <w:vAlign w:val="center"/>
          </w:tcPr>
          <w:p>
            <w:pPr>
              <w:pStyle w:val="TableContents"/>
              <w:bidi w:val="0"/>
              <w:spacing w:before="0" w:after="0"/>
              <w:jc w:val="left"/>
              <w:rPr>
                <w:b/>
                <w:color w:val="000000"/>
              </w:rPr>
            </w:pPr>
            <w:r>
              <w:rPr>
                <w:b/>
                <w:color w:val="000000"/>
              </w:rPr>
              <w:t>NU SKIN ENTERPRISES, INC.</w:t>
            </w:r>
          </w:p>
        </w:tc>
      </w:tr>
      <w:tr>
        <w:trPr/>
        <w:tc>
          <w:tcPr>
            <w:tcW w:w="75" w:type="dxa"/>
            <w:tcBorders/>
            <w:vAlign w:val="center"/>
          </w:tcPr>
          <w:p>
            <w:pPr>
              <w:pStyle w:val="TableContents"/>
              <w:bidi w:val="0"/>
              <w:spacing w:before="0" w:after="283"/>
              <w:jc w:val="left"/>
              <w:rPr/>
            </w:pPr>
            <w:r>
              <w:rPr/>
              <w:t> </w:t>
            </w:r>
          </w:p>
        </w:tc>
        <w:tc>
          <w:tcPr>
            <w:tcW w:w="400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color w:val="000000"/>
              </w:rPr>
            </w:pPr>
            <w:r>
              <w:rPr>
                <w:color w:val="000000"/>
              </w:rPr>
              <w:t>By:</w:t>
            </w:r>
          </w:p>
        </w:tc>
        <w:tc>
          <w:tcPr>
            <w:tcW w:w="3635"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Ryan. S. Napierski</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jc w:val="left"/>
              <w:rPr>
                <w:color w:val="000000"/>
              </w:rPr>
            </w:pPr>
            <w:r>
              <w:rPr>
                <w:color w:val="000000"/>
              </w:rPr>
              <w:t>Ryan S. Napierski</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jc w:val="left"/>
              <w:rPr>
                <w:color w:val="000000"/>
              </w:rPr>
            </w:pPr>
            <w:r>
              <w:rPr>
                <w:color w:val="000000"/>
              </w:rPr>
              <w:t>President and Chief Executive Officer</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this report has been signed below by the following persons on behalf of the Registrant and in the capacities indicated on February 12, 2026.</w:t>
      </w:r>
    </w:p>
    <w:p>
      <w:pPr>
        <w:pStyle w:val="TextBody"/>
        <w:bidi w:val="0"/>
        <w:spacing w:before="0" w:after="0"/>
        <w:jc w:val="left"/>
        <w:rPr/>
      </w:pPr>
      <w:r>
        <w:rPr/>
      </w:r>
    </w:p>
    <w:tbl>
      <w:tblPr>
        <w:tblW w:w="8380" w:type="dxa"/>
        <w:jc w:val="left"/>
        <w:tblInd w:w="0" w:type="dxa"/>
        <w:tblLayout w:type="fixed"/>
        <w:tblCellMar>
          <w:top w:w="0" w:type="dxa"/>
          <w:left w:w="0" w:type="dxa"/>
          <w:bottom w:w="28" w:type="dxa"/>
          <w:right w:w="0" w:type="dxa"/>
        </w:tblCellMar>
      </w:tblPr>
      <w:tblGrid>
        <w:gridCol w:w="2420"/>
        <w:gridCol w:w="60"/>
        <w:gridCol w:w="5900"/>
      </w:tblGrid>
      <w:tr>
        <w:trPr/>
        <w:tc>
          <w:tcPr>
            <w:tcW w:w="2420" w:type="dxa"/>
            <w:tcBorders>
              <w:bottom w:val="single" w:sz="12" w:space="0" w:color="000000"/>
            </w:tcBorders>
            <w:vAlign w:val="center"/>
          </w:tcPr>
          <w:p>
            <w:pPr>
              <w:pStyle w:val="TableContents"/>
              <w:bidi w:val="0"/>
              <w:spacing w:before="0" w:after="0"/>
              <w:jc w:val="center"/>
              <w:rPr>
                <w:b/>
                <w:color w:val="000000"/>
              </w:rPr>
            </w:pPr>
            <w:r>
              <w:rPr>
                <w:b/>
                <w:color w:val="000000"/>
              </w:rPr>
              <w:t>Signatures</w:t>
            </w:r>
          </w:p>
        </w:tc>
        <w:tc>
          <w:tcPr>
            <w:tcW w:w="60" w:type="dxa"/>
            <w:tcBorders/>
            <w:tcMar>
              <w:bottom w:w="0" w:type="dxa"/>
            </w:tcMar>
            <w:vAlign w:val="center"/>
          </w:tcPr>
          <w:p>
            <w:pPr>
              <w:pStyle w:val="TableContents"/>
              <w:bidi w:val="0"/>
              <w:spacing w:before="0" w:after="283"/>
              <w:jc w:val="left"/>
              <w:rPr/>
            </w:pPr>
            <w:r>
              <w:rPr/>
              <w:t> </w:t>
            </w:r>
          </w:p>
        </w:tc>
        <w:tc>
          <w:tcPr>
            <w:tcW w:w="5900" w:type="dxa"/>
            <w:tcBorders>
              <w:bottom w:val="single" w:sz="12" w:space="0" w:color="000000"/>
            </w:tcBorders>
            <w:vAlign w:val="center"/>
          </w:tcPr>
          <w:p>
            <w:pPr>
              <w:pStyle w:val="TableContents"/>
              <w:bidi w:val="0"/>
              <w:spacing w:before="0" w:after="0"/>
              <w:jc w:val="center"/>
              <w:rPr>
                <w:b/>
                <w:color w:val="000000"/>
              </w:rPr>
            </w:pPr>
            <w:r>
              <w:rPr>
                <w:b/>
                <w:color w:val="000000"/>
              </w:rPr>
              <w:t>Capacity in Which Signed</w:t>
            </w:r>
          </w:p>
        </w:tc>
      </w:tr>
      <w:tr>
        <w:trPr/>
        <w:tc>
          <w:tcPr>
            <w:tcW w:w="24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0" w:type="dxa"/>
            <w:tcBorders/>
            <w:tcMar>
              <w:bottom w:w="0" w:type="dxa"/>
            </w:tcMar>
            <w:vAlign w:val="center"/>
          </w:tcPr>
          <w:p>
            <w:pPr>
              <w:pStyle w:val="TableContents"/>
              <w:bidi w:val="0"/>
              <w:spacing w:before="0" w:after="283"/>
              <w:jc w:val="left"/>
              <w:rPr/>
            </w:pPr>
            <w:r>
              <w:rPr/>
              <w:t> </w:t>
            </w:r>
          </w:p>
        </w:tc>
      </w:tr>
      <w:tr>
        <w:trPr/>
        <w:tc>
          <w:tcPr>
            <w:tcW w:w="24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0" w:type="dxa"/>
            <w:tcBorders/>
            <w:tcMar>
              <w:bottom w:w="0" w:type="dxa"/>
            </w:tcMar>
            <w:vAlign w:val="center"/>
          </w:tcPr>
          <w:p>
            <w:pPr>
              <w:pStyle w:val="TableContents"/>
              <w:bidi w:val="0"/>
              <w:spacing w:before="0" w:after="283"/>
              <w:jc w:val="left"/>
              <w:rPr/>
            </w:pPr>
            <w:r>
              <w:rPr/>
              <w:t> </w:t>
            </w:r>
          </w:p>
        </w:tc>
      </w:tr>
      <w:tr>
        <w:trPr/>
        <w:tc>
          <w:tcPr>
            <w:tcW w:w="2420" w:type="dxa"/>
            <w:tcBorders>
              <w:bottom w:val="single" w:sz="12" w:space="0" w:color="000000"/>
            </w:tcBorders>
            <w:vAlign w:val="center"/>
          </w:tcPr>
          <w:p>
            <w:pPr>
              <w:pStyle w:val="TableContents"/>
              <w:bidi w:val="0"/>
              <w:spacing w:before="0" w:after="0"/>
              <w:jc w:val="left"/>
              <w:rPr>
                <w:color w:val="000000"/>
              </w:rPr>
            </w:pPr>
            <w:r>
              <w:rPr>
                <w:color w:val="000000"/>
              </w:rPr>
              <w:t>/s/ Steven J. Lund</w:t>
            </w:r>
          </w:p>
        </w:tc>
        <w:tc>
          <w:tcPr>
            <w:tcW w:w="60" w:type="dxa"/>
            <w:tcBorders/>
            <w:tcMar>
              <w:bottom w:w="0" w:type="dxa"/>
            </w:tcMar>
            <w:vAlign w:val="center"/>
          </w:tcPr>
          <w:p>
            <w:pPr>
              <w:pStyle w:val="TableContents"/>
              <w:bidi w:val="0"/>
              <w:spacing w:before="0" w:after="283"/>
              <w:jc w:val="left"/>
              <w:rPr/>
            </w:pPr>
            <w:r>
              <w:rPr/>
              <w:t> </w:t>
            </w:r>
          </w:p>
        </w:tc>
        <w:tc>
          <w:tcPr>
            <w:tcW w:w="5900" w:type="dxa"/>
            <w:tcBorders/>
            <w:tcMar>
              <w:bottom w:w="0" w:type="dxa"/>
            </w:tcMar>
            <w:vAlign w:val="center"/>
          </w:tcPr>
          <w:p>
            <w:pPr>
              <w:pStyle w:val="TableContents"/>
              <w:bidi w:val="0"/>
              <w:spacing w:before="0" w:after="0"/>
              <w:jc w:val="left"/>
              <w:rPr>
                <w:color w:val="000000"/>
              </w:rPr>
            </w:pPr>
            <w:r>
              <w:rPr>
                <w:color w:val="000000"/>
              </w:rPr>
              <w:t>Executive Chairman of the Board</w:t>
            </w:r>
          </w:p>
        </w:tc>
      </w:tr>
      <w:tr>
        <w:trPr/>
        <w:tc>
          <w:tcPr>
            <w:tcW w:w="2420" w:type="dxa"/>
            <w:tcBorders/>
            <w:tcMar>
              <w:bottom w:w="0" w:type="dxa"/>
            </w:tcMar>
            <w:vAlign w:val="center"/>
          </w:tcPr>
          <w:p>
            <w:pPr>
              <w:pStyle w:val="TableContents"/>
              <w:bidi w:val="0"/>
              <w:spacing w:before="0" w:after="0"/>
              <w:jc w:val="left"/>
              <w:rPr>
                <w:color w:val="000000"/>
              </w:rPr>
            </w:pPr>
            <w:r>
              <w:rPr>
                <w:color w:val="000000"/>
              </w:rPr>
              <w:t>Steven J. Lund</w:t>
            </w:r>
          </w:p>
        </w:tc>
        <w:tc>
          <w:tcPr>
            <w:tcW w:w="60" w:type="dxa"/>
            <w:tcBorders/>
            <w:tcMar>
              <w:bottom w:w="0" w:type="dxa"/>
            </w:tcMar>
            <w:vAlign w:val="center"/>
          </w:tcPr>
          <w:p>
            <w:pPr>
              <w:pStyle w:val="TableContents"/>
              <w:bidi w:val="0"/>
              <w:spacing w:before="0" w:after="283"/>
              <w:jc w:val="left"/>
              <w:rPr/>
            </w:pPr>
            <w:r>
              <w:rPr/>
              <w:t> </w:t>
            </w:r>
          </w:p>
        </w:tc>
        <w:tc>
          <w:tcPr>
            <w:tcW w:w="5900" w:type="dxa"/>
            <w:tcBorders/>
            <w:tcMar>
              <w:bottom w:w="0" w:type="dxa"/>
            </w:tcMar>
            <w:vAlign w:val="center"/>
          </w:tcPr>
          <w:p>
            <w:pPr>
              <w:pStyle w:val="TableContents"/>
              <w:bidi w:val="0"/>
              <w:spacing w:before="0" w:after="283"/>
              <w:jc w:val="left"/>
              <w:rPr/>
            </w:pPr>
            <w:r>
              <w:rPr/>
              <w:t> </w:t>
            </w:r>
          </w:p>
        </w:tc>
      </w:tr>
      <w:tr>
        <w:trPr/>
        <w:tc>
          <w:tcPr>
            <w:tcW w:w="24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0" w:type="dxa"/>
            <w:tcBorders/>
            <w:tcMar>
              <w:bottom w:w="0" w:type="dxa"/>
            </w:tcMar>
            <w:vAlign w:val="center"/>
          </w:tcPr>
          <w:p>
            <w:pPr>
              <w:pStyle w:val="TableContents"/>
              <w:bidi w:val="0"/>
              <w:spacing w:before="0" w:after="283"/>
              <w:jc w:val="left"/>
              <w:rPr/>
            </w:pPr>
            <w:r>
              <w:rPr/>
              <w:t> </w:t>
            </w:r>
          </w:p>
        </w:tc>
      </w:tr>
      <w:tr>
        <w:trPr/>
        <w:tc>
          <w:tcPr>
            <w:tcW w:w="2420" w:type="dxa"/>
            <w:tcBorders>
              <w:bottom w:val="single" w:sz="12" w:space="0" w:color="000000"/>
            </w:tcBorders>
            <w:vAlign w:val="center"/>
          </w:tcPr>
          <w:p>
            <w:pPr>
              <w:pStyle w:val="TableContents"/>
              <w:bidi w:val="0"/>
              <w:spacing w:before="0" w:after="0"/>
              <w:jc w:val="left"/>
              <w:rPr>
                <w:color w:val="000000"/>
              </w:rPr>
            </w:pPr>
            <w:r>
              <w:rPr>
                <w:color w:val="000000"/>
              </w:rPr>
              <w:t>/s/ Ryan S. Napierski</w:t>
            </w:r>
          </w:p>
        </w:tc>
        <w:tc>
          <w:tcPr>
            <w:tcW w:w="60" w:type="dxa"/>
            <w:tcBorders/>
            <w:tcMar>
              <w:bottom w:w="0" w:type="dxa"/>
            </w:tcMar>
            <w:vAlign w:val="center"/>
          </w:tcPr>
          <w:p>
            <w:pPr>
              <w:pStyle w:val="TableContents"/>
              <w:bidi w:val="0"/>
              <w:spacing w:before="0" w:after="283"/>
              <w:jc w:val="left"/>
              <w:rPr/>
            </w:pPr>
            <w:r>
              <w:rPr/>
              <w:t> </w:t>
            </w:r>
          </w:p>
        </w:tc>
        <w:tc>
          <w:tcPr>
            <w:tcW w:w="5900" w:type="dxa"/>
            <w:tcBorders/>
            <w:tcMar>
              <w:bottom w:w="0" w:type="dxa"/>
            </w:tcMar>
            <w:vAlign w:val="center"/>
          </w:tcPr>
          <w:p>
            <w:pPr>
              <w:pStyle w:val="TableContents"/>
              <w:bidi w:val="0"/>
              <w:spacing w:before="0" w:after="0"/>
              <w:jc w:val="left"/>
              <w:rPr>
                <w:color w:val="000000"/>
              </w:rPr>
            </w:pPr>
            <w:r>
              <w:rPr>
                <w:color w:val="000000"/>
              </w:rPr>
              <w:t>President, Chief Executive Officer and Director</w:t>
            </w:r>
          </w:p>
        </w:tc>
      </w:tr>
      <w:tr>
        <w:trPr/>
        <w:tc>
          <w:tcPr>
            <w:tcW w:w="2420" w:type="dxa"/>
            <w:tcBorders/>
            <w:tcMar>
              <w:bottom w:w="0" w:type="dxa"/>
            </w:tcMar>
            <w:vAlign w:val="center"/>
          </w:tcPr>
          <w:p>
            <w:pPr>
              <w:pStyle w:val="TableContents"/>
              <w:bidi w:val="0"/>
              <w:spacing w:before="0" w:after="0"/>
              <w:jc w:val="left"/>
              <w:rPr>
                <w:color w:val="000000"/>
              </w:rPr>
            </w:pPr>
            <w:r>
              <w:rPr>
                <w:color w:val="000000"/>
              </w:rPr>
              <w:t>Ryan S. Napierski</w:t>
            </w:r>
          </w:p>
        </w:tc>
        <w:tc>
          <w:tcPr>
            <w:tcW w:w="60" w:type="dxa"/>
            <w:tcBorders/>
            <w:tcMar>
              <w:bottom w:w="0" w:type="dxa"/>
            </w:tcMar>
            <w:vAlign w:val="center"/>
          </w:tcPr>
          <w:p>
            <w:pPr>
              <w:pStyle w:val="TableContents"/>
              <w:bidi w:val="0"/>
              <w:spacing w:before="0" w:after="283"/>
              <w:jc w:val="left"/>
              <w:rPr/>
            </w:pPr>
            <w:r>
              <w:rPr/>
              <w:t> </w:t>
            </w:r>
          </w:p>
        </w:tc>
        <w:tc>
          <w:tcPr>
            <w:tcW w:w="5900" w:type="dxa"/>
            <w:tcBorders/>
            <w:tcMar>
              <w:bottom w:w="0" w:type="dxa"/>
            </w:tcMar>
            <w:vAlign w:val="center"/>
          </w:tcPr>
          <w:p>
            <w:pPr>
              <w:pStyle w:val="TableContents"/>
              <w:bidi w:val="0"/>
              <w:spacing w:before="0" w:after="0"/>
              <w:jc w:val="left"/>
              <w:rPr>
                <w:color w:val="000000"/>
              </w:rPr>
            </w:pPr>
            <w:r>
              <w:rPr>
                <w:color w:val="000000"/>
              </w:rPr>
              <w:t>(Principal Executive Officer)</w:t>
            </w:r>
          </w:p>
        </w:tc>
      </w:tr>
      <w:tr>
        <w:trPr/>
        <w:tc>
          <w:tcPr>
            <w:tcW w:w="2420" w:type="dxa"/>
            <w:tcBorders>
              <w:bottom w:val="single" w:sz="12" w:space="0" w:color="000000"/>
            </w:tcBorders>
            <w:vAlign w:val="center"/>
          </w:tcPr>
          <w:p>
            <w:pPr>
              <w:pStyle w:val="TableContents"/>
              <w:bidi w:val="0"/>
              <w:spacing w:before="0" w:after="0"/>
              <w:jc w:val="left"/>
              <w:rPr/>
            </w:pPr>
            <w:r>
              <w:rPr/>
              <w:t> </w:t>
            </w:r>
          </w:p>
          <w:p>
            <w:pPr>
              <w:pStyle w:val="TableContents"/>
              <w:bidi w:val="0"/>
              <w:spacing w:before="0" w:after="0"/>
              <w:jc w:val="left"/>
              <w:rPr>
                <w:color w:val="000000"/>
              </w:rPr>
            </w:pPr>
            <w:r>
              <w:rPr>
                <w:color w:val="000000"/>
              </w:rPr>
              <w:t>/s/ James D. Thomas</w:t>
            </w:r>
          </w:p>
        </w:tc>
        <w:tc>
          <w:tcPr>
            <w:tcW w:w="60" w:type="dxa"/>
            <w:tcBorders/>
            <w:tcMar>
              <w:bottom w:w="0" w:type="dxa"/>
            </w:tcMar>
            <w:vAlign w:val="center"/>
          </w:tcPr>
          <w:p>
            <w:pPr>
              <w:pStyle w:val="TableContents"/>
              <w:bidi w:val="0"/>
              <w:spacing w:before="0" w:after="283"/>
              <w:jc w:val="left"/>
              <w:rPr/>
            </w:pPr>
            <w:r>
              <w:rPr/>
              <w:t> </w:t>
            </w:r>
          </w:p>
        </w:tc>
        <w:tc>
          <w:tcPr>
            <w:tcW w:w="5900" w:type="dxa"/>
            <w:tcBorders/>
            <w:tcMar>
              <w:bottom w:w="0" w:type="dxa"/>
            </w:tcMar>
            <w:vAlign w:val="center"/>
          </w:tcPr>
          <w:p>
            <w:pPr>
              <w:pStyle w:val="TableContents"/>
              <w:bidi w:val="0"/>
              <w:spacing w:before="0" w:after="0"/>
              <w:jc w:val="left"/>
              <w:rPr>
                <w:color w:val="000000"/>
              </w:rPr>
            </w:pPr>
            <w:r>
              <w:rPr>
                <w:color w:val="000000"/>
              </w:rPr>
              <w:t>Chief Financial Officer</w:t>
            </w:r>
          </w:p>
        </w:tc>
      </w:tr>
      <w:tr>
        <w:trPr/>
        <w:tc>
          <w:tcPr>
            <w:tcW w:w="2420" w:type="dxa"/>
            <w:tcBorders/>
            <w:tcMar>
              <w:bottom w:w="0" w:type="dxa"/>
            </w:tcMar>
            <w:vAlign w:val="center"/>
          </w:tcPr>
          <w:p>
            <w:pPr>
              <w:pStyle w:val="TableContents"/>
              <w:bidi w:val="0"/>
              <w:spacing w:before="0" w:after="0"/>
              <w:jc w:val="left"/>
              <w:rPr>
                <w:color w:val="000000"/>
              </w:rPr>
            </w:pPr>
            <w:r>
              <w:rPr>
                <w:color w:val="000000"/>
              </w:rPr>
              <w:t>James D. Thomas</w:t>
            </w:r>
          </w:p>
        </w:tc>
        <w:tc>
          <w:tcPr>
            <w:tcW w:w="60" w:type="dxa"/>
            <w:tcBorders/>
            <w:tcMar>
              <w:bottom w:w="0" w:type="dxa"/>
            </w:tcMar>
            <w:vAlign w:val="center"/>
          </w:tcPr>
          <w:p>
            <w:pPr>
              <w:pStyle w:val="TableContents"/>
              <w:bidi w:val="0"/>
              <w:spacing w:before="0" w:after="283"/>
              <w:jc w:val="left"/>
              <w:rPr/>
            </w:pPr>
            <w:r>
              <w:rPr/>
              <w:t> </w:t>
            </w:r>
          </w:p>
        </w:tc>
        <w:tc>
          <w:tcPr>
            <w:tcW w:w="5900" w:type="dxa"/>
            <w:tcBorders/>
            <w:tcMar>
              <w:bottom w:w="0" w:type="dxa"/>
            </w:tcMar>
            <w:vAlign w:val="center"/>
          </w:tcPr>
          <w:p>
            <w:pPr>
              <w:pStyle w:val="TableContents"/>
              <w:bidi w:val="0"/>
              <w:spacing w:before="0" w:after="0"/>
              <w:jc w:val="left"/>
              <w:rPr>
                <w:color w:val="000000"/>
              </w:rPr>
            </w:pPr>
            <w:r>
              <w:rPr>
                <w:color w:val="000000"/>
              </w:rPr>
              <w:t>(Principal Financial Officer and Principal Accounting Officer)</w:t>
            </w:r>
          </w:p>
        </w:tc>
      </w:tr>
      <w:tr>
        <w:trPr/>
        <w:tc>
          <w:tcPr>
            <w:tcW w:w="24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0" w:type="dxa"/>
            <w:tcBorders/>
            <w:tcMar>
              <w:bottom w:w="0" w:type="dxa"/>
            </w:tcMar>
            <w:vAlign w:val="center"/>
          </w:tcPr>
          <w:p>
            <w:pPr>
              <w:pStyle w:val="TableContents"/>
              <w:bidi w:val="0"/>
              <w:spacing w:before="0" w:after="283"/>
              <w:jc w:val="left"/>
              <w:rPr/>
            </w:pPr>
            <w:r>
              <w:rPr/>
              <w:t> </w:t>
            </w:r>
          </w:p>
        </w:tc>
      </w:tr>
      <w:tr>
        <w:trPr/>
        <w:tc>
          <w:tcPr>
            <w:tcW w:w="2420" w:type="dxa"/>
            <w:tcBorders>
              <w:bottom w:val="single" w:sz="12" w:space="0" w:color="000000"/>
            </w:tcBorders>
            <w:vAlign w:val="center"/>
          </w:tcPr>
          <w:p>
            <w:pPr>
              <w:pStyle w:val="TableContents"/>
              <w:bidi w:val="0"/>
              <w:spacing w:before="0" w:after="0"/>
              <w:jc w:val="left"/>
              <w:rPr>
                <w:color w:val="000000"/>
              </w:rPr>
            </w:pPr>
            <w:r>
              <w:rPr>
                <w:color w:val="000000"/>
              </w:rPr>
              <w:t>/s/ Emma S. Battle</w:t>
            </w:r>
          </w:p>
        </w:tc>
        <w:tc>
          <w:tcPr>
            <w:tcW w:w="60" w:type="dxa"/>
            <w:tcBorders/>
            <w:tcMar>
              <w:bottom w:w="0" w:type="dxa"/>
            </w:tcMar>
            <w:vAlign w:val="center"/>
          </w:tcPr>
          <w:p>
            <w:pPr>
              <w:pStyle w:val="TableContents"/>
              <w:bidi w:val="0"/>
              <w:spacing w:before="0" w:after="283"/>
              <w:jc w:val="left"/>
              <w:rPr/>
            </w:pPr>
            <w:r>
              <w:rPr/>
              <w:t> </w:t>
            </w:r>
          </w:p>
        </w:tc>
        <w:tc>
          <w:tcPr>
            <w:tcW w:w="5900" w:type="dxa"/>
            <w:tcBorders/>
            <w:tcMar>
              <w:bottom w:w="0" w:type="dxa"/>
            </w:tcMar>
            <w:vAlign w:val="center"/>
          </w:tcPr>
          <w:p>
            <w:pPr>
              <w:pStyle w:val="TableContents"/>
              <w:bidi w:val="0"/>
              <w:spacing w:before="0" w:after="0"/>
              <w:jc w:val="left"/>
              <w:rPr>
                <w:color w:val="000000"/>
              </w:rPr>
            </w:pPr>
            <w:r>
              <w:rPr>
                <w:color w:val="000000"/>
              </w:rPr>
              <w:t>Director</w:t>
            </w:r>
          </w:p>
        </w:tc>
      </w:tr>
      <w:tr>
        <w:trPr/>
        <w:tc>
          <w:tcPr>
            <w:tcW w:w="2420" w:type="dxa"/>
            <w:tcBorders/>
            <w:tcMar>
              <w:bottom w:w="0" w:type="dxa"/>
            </w:tcMar>
            <w:vAlign w:val="center"/>
          </w:tcPr>
          <w:p>
            <w:pPr>
              <w:pStyle w:val="TableContents"/>
              <w:bidi w:val="0"/>
              <w:spacing w:before="0" w:after="0"/>
              <w:jc w:val="left"/>
              <w:rPr>
                <w:color w:val="000000"/>
              </w:rPr>
            </w:pPr>
            <w:r>
              <w:rPr>
                <w:color w:val="000000"/>
              </w:rPr>
              <w:t>Emma S. Battle</w:t>
            </w:r>
          </w:p>
        </w:tc>
        <w:tc>
          <w:tcPr>
            <w:tcW w:w="60" w:type="dxa"/>
            <w:tcBorders/>
            <w:tcMar>
              <w:bottom w:w="0" w:type="dxa"/>
            </w:tcMar>
            <w:vAlign w:val="center"/>
          </w:tcPr>
          <w:p>
            <w:pPr>
              <w:pStyle w:val="TableContents"/>
              <w:bidi w:val="0"/>
              <w:spacing w:before="0" w:after="283"/>
              <w:jc w:val="left"/>
              <w:rPr/>
            </w:pPr>
            <w:r>
              <w:rPr/>
              <w:t> </w:t>
            </w:r>
          </w:p>
        </w:tc>
        <w:tc>
          <w:tcPr>
            <w:tcW w:w="5900" w:type="dxa"/>
            <w:tcBorders/>
            <w:tcMar>
              <w:bottom w:w="0" w:type="dxa"/>
            </w:tcMar>
            <w:vAlign w:val="center"/>
          </w:tcPr>
          <w:p>
            <w:pPr>
              <w:pStyle w:val="TableContents"/>
              <w:bidi w:val="0"/>
              <w:spacing w:before="0" w:after="283"/>
              <w:jc w:val="left"/>
              <w:rPr/>
            </w:pPr>
            <w:r>
              <w:rPr/>
              <w:t> </w:t>
            </w:r>
          </w:p>
        </w:tc>
      </w:tr>
      <w:tr>
        <w:trPr/>
        <w:tc>
          <w:tcPr>
            <w:tcW w:w="2420" w:type="dxa"/>
            <w:tcBorders>
              <w:bottom w:val="single" w:sz="12" w:space="0" w:color="000000"/>
            </w:tcBorders>
            <w:vAlign w:val="center"/>
          </w:tcPr>
          <w:p>
            <w:pPr>
              <w:pStyle w:val="TableContents"/>
              <w:bidi w:val="0"/>
              <w:spacing w:before="0" w:after="0"/>
              <w:jc w:val="left"/>
              <w:rPr/>
            </w:pPr>
            <w:r>
              <w:rPr/>
              <w:t> </w:t>
            </w:r>
          </w:p>
          <w:p>
            <w:pPr>
              <w:pStyle w:val="TableContents"/>
              <w:bidi w:val="0"/>
              <w:spacing w:before="0" w:after="0"/>
              <w:jc w:val="left"/>
              <w:rPr>
                <w:color w:val="000000"/>
              </w:rPr>
            </w:pPr>
            <w:r>
              <w:rPr>
                <w:color w:val="000000"/>
              </w:rPr>
              <w:t>/s/ Daniel W. Campbell</w:t>
            </w:r>
          </w:p>
        </w:tc>
        <w:tc>
          <w:tcPr>
            <w:tcW w:w="60" w:type="dxa"/>
            <w:tcBorders/>
            <w:tcMar>
              <w:bottom w:w="0" w:type="dxa"/>
            </w:tcMar>
            <w:vAlign w:val="center"/>
          </w:tcPr>
          <w:p>
            <w:pPr>
              <w:pStyle w:val="TableContents"/>
              <w:bidi w:val="0"/>
              <w:spacing w:before="0" w:after="283"/>
              <w:jc w:val="left"/>
              <w:rPr/>
            </w:pPr>
            <w:r>
              <w:rPr/>
              <w:t> </w:t>
            </w:r>
          </w:p>
        </w:tc>
        <w:tc>
          <w:tcPr>
            <w:tcW w:w="5900" w:type="dxa"/>
            <w:tcBorders/>
            <w:tcMar>
              <w:bottom w:w="0" w:type="dxa"/>
            </w:tcMar>
            <w:vAlign w:val="center"/>
          </w:tcPr>
          <w:p>
            <w:pPr>
              <w:pStyle w:val="TableContents"/>
              <w:bidi w:val="0"/>
              <w:spacing w:before="0" w:after="0"/>
              <w:jc w:val="left"/>
              <w:rPr>
                <w:color w:val="000000"/>
              </w:rPr>
            </w:pPr>
            <w:r>
              <w:rPr>
                <w:color w:val="000000"/>
              </w:rPr>
              <w:t>Director</w:t>
            </w:r>
          </w:p>
        </w:tc>
      </w:tr>
      <w:tr>
        <w:trPr/>
        <w:tc>
          <w:tcPr>
            <w:tcW w:w="2420" w:type="dxa"/>
            <w:tcBorders/>
            <w:tcMar>
              <w:bottom w:w="0" w:type="dxa"/>
            </w:tcMar>
            <w:vAlign w:val="center"/>
          </w:tcPr>
          <w:p>
            <w:pPr>
              <w:pStyle w:val="TableContents"/>
              <w:bidi w:val="0"/>
              <w:spacing w:before="0" w:after="0"/>
              <w:jc w:val="left"/>
              <w:rPr>
                <w:color w:val="000000"/>
              </w:rPr>
            </w:pPr>
            <w:r>
              <w:rPr>
                <w:color w:val="000000"/>
              </w:rPr>
              <w:t>Daniel W. Campbell</w:t>
            </w:r>
          </w:p>
        </w:tc>
        <w:tc>
          <w:tcPr>
            <w:tcW w:w="60" w:type="dxa"/>
            <w:tcBorders/>
            <w:tcMar>
              <w:bottom w:w="0" w:type="dxa"/>
            </w:tcMar>
            <w:vAlign w:val="center"/>
          </w:tcPr>
          <w:p>
            <w:pPr>
              <w:pStyle w:val="TableContents"/>
              <w:bidi w:val="0"/>
              <w:spacing w:before="0" w:after="283"/>
              <w:jc w:val="left"/>
              <w:rPr/>
            </w:pPr>
            <w:r>
              <w:rPr/>
              <w:t> </w:t>
            </w:r>
          </w:p>
        </w:tc>
        <w:tc>
          <w:tcPr>
            <w:tcW w:w="5900" w:type="dxa"/>
            <w:tcBorders/>
            <w:tcMar>
              <w:bottom w:w="0" w:type="dxa"/>
            </w:tcMar>
            <w:vAlign w:val="center"/>
          </w:tcPr>
          <w:p>
            <w:pPr>
              <w:pStyle w:val="TableContents"/>
              <w:bidi w:val="0"/>
              <w:spacing w:before="0" w:after="283"/>
              <w:jc w:val="left"/>
              <w:rPr/>
            </w:pPr>
            <w:r>
              <w:rPr/>
              <w:t> </w:t>
            </w:r>
          </w:p>
        </w:tc>
      </w:tr>
      <w:tr>
        <w:trPr/>
        <w:tc>
          <w:tcPr>
            <w:tcW w:w="24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0" w:type="dxa"/>
            <w:tcBorders/>
            <w:tcMar>
              <w:bottom w:w="0" w:type="dxa"/>
            </w:tcMar>
            <w:vAlign w:val="center"/>
          </w:tcPr>
          <w:p>
            <w:pPr>
              <w:pStyle w:val="TableContents"/>
              <w:bidi w:val="0"/>
              <w:spacing w:before="0" w:after="283"/>
              <w:jc w:val="left"/>
              <w:rPr/>
            </w:pPr>
            <w:r>
              <w:rPr/>
              <w:t> </w:t>
            </w:r>
          </w:p>
        </w:tc>
      </w:tr>
      <w:tr>
        <w:trPr/>
        <w:tc>
          <w:tcPr>
            <w:tcW w:w="2420" w:type="dxa"/>
            <w:tcBorders>
              <w:bottom w:val="single" w:sz="12" w:space="0" w:color="000000"/>
            </w:tcBorders>
            <w:vAlign w:val="center"/>
          </w:tcPr>
          <w:p>
            <w:pPr>
              <w:pStyle w:val="TableContents"/>
              <w:bidi w:val="0"/>
              <w:spacing w:before="0" w:after="0"/>
              <w:jc w:val="left"/>
              <w:rPr>
                <w:color w:val="000000"/>
              </w:rPr>
            </w:pPr>
            <w:r>
              <w:rPr>
                <w:color w:val="000000"/>
              </w:rPr>
              <w:t>/s/ Laura Nathanson</w:t>
            </w:r>
          </w:p>
        </w:tc>
        <w:tc>
          <w:tcPr>
            <w:tcW w:w="60" w:type="dxa"/>
            <w:tcBorders/>
            <w:tcMar>
              <w:bottom w:w="0" w:type="dxa"/>
            </w:tcMar>
            <w:vAlign w:val="center"/>
          </w:tcPr>
          <w:p>
            <w:pPr>
              <w:pStyle w:val="TableContents"/>
              <w:bidi w:val="0"/>
              <w:spacing w:before="0" w:after="283"/>
              <w:jc w:val="left"/>
              <w:rPr/>
            </w:pPr>
            <w:r>
              <w:rPr/>
              <w:t> </w:t>
            </w:r>
          </w:p>
        </w:tc>
        <w:tc>
          <w:tcPr>
            <w:tcW w:w="5900" w:type="dxa"/>
            <w:tcBorders/>
            <w:tcMar>
              <w:bottom w:w="0" w:type="dxa"/>
            </w:tcMar>
            <w:vAlign w:val="center"/>
          </w:tcPr>
          <w:p>
            <w:pPr>
              <w:pStyle w:val="TableContents"/>
              <w:bidi w:val="0"/>
              <w:spacing w:before="0" w:after="0"/>
              <w:jc w:val="left"/>
              <w:rPr>
                <w:color w:val="000000"/>
              </w:rPr>
            </w:pPr>
            <w:r>
              <w:rPr>
                <w:color w:val="000000"/>
              </w:rPr>
              <w:t>Director</w:t>
            </w:r>
          </w:p>
        </w:tc>
      </w:tr>
      <w:tr>
        <w:trPr/>
        <w:tc>
          <w:tcPr>
            <w:tcW w:w="2420" w:type="dxa"/>
            <w:tcBorders/>
            <w:tcMar>
              <w:bottom w:w="0" w:type="dxa"/>
            </w:tcMar>
            <w:vAlign w:val="center"/>
          </w:tcPr>
          <w:p>
            <w:pPr>
              <w:pStyle w:val="TableContents"/>
              <w:bidi w:val="0"/>
              <w:spacing w:before="0" w:after="0"/>
              <w:jc w:val="left"/>
              <w:rPr>
                <w:color w:val="000000"/>
              </w:rPr>
            </w:pPr>
            <w:r>
              <w:rPr>
                <w:color w:val="000000"/>
              </w:rPr>
              <w:t>Laura Nathanson</w:t>
            </w:r>
          </w:p>
        </w:tc>
        <w:tc>
          <w:tcPr>
            <w:tcW w:w="60" w:type="dxa"/>
            <w:tcBorders/>
            <w:tcMar>
              <w:bottom w:w="0" w:type="dxa"/>
            </w:tcMar>
            <w:vAlign w:val="center"/>
          </w:tcPr>
          <w:p>
            <w:pPr>
              <w:pStyle w:val="TableContents"/>
              <w:bidi w:val="0"/>
              <w:spacing w:before="0" w:after="283"/>
              <w:jc w:val="left"/>
              <w:rPr/>
            </w:pPr>
            <w:r>
              <w:rPr/>
              <w:t> </w:t>
            </w:r>
          </w:p>
        </w:tc>
        <w:tc>
          <w:tcPr>
            <w:tcW w:w="5900" w:type="dxa"/>
            <w:tcBorders/>
            <w:tcMar>
              <w:bottom w:w="0" w:type="dxa"/>
            </w:tcMar>
            <w:vAlign w:val="center"/>
          </w:tcPr>
          <w:p>
            <w:pPr>
              <w:pStyle w:val="TableContents"/>
              <w:bidi w:val="0"/>
              <w:spacing w:before="0" w:after="283"/>
              <w:jc w:val="left"/>
              <w:rPr/>
            </w:pPr>
            <w:r>
              <w:rPr/>
              <w:t> </w:t>
            </w:r>
          </w:p>
        </w:tc>
      </w:tr>
      <w:tr>
        <w:trPr/>
        <w:tc>
          <w:tcPr>
            <w:tcW w:w="24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0" w:type="dxa"/>
            <w:tcBorders/>
            <w:tcMar>
              <w:bottom w:w="0" w:type="dxa"/>
            </w:tcMar>
            <w:vAlign w:val="center"/>
          </w:tcPr>
          <w:p>
            <w:pPr>
              <w:pStyle w:val="TableContents"/>
              <w:bidi w:val="0"/>
              <w:spacing w:before="0" w:after="283"/>
              <w:jc w:val="left"/>
              <w:rPr/>
            </w:pPr>
            <w:r>
              <w:rPr/>
              <w:t> </w:t>
            </w:r>
          </w:p>
        </w:tc>
      </w:tr>
      <w:tr>
        <w:trPr/>
        <w:tc>
          <w:tcPr>
            <w:tcW w:w="2420" w:type="dxa"/>
            <w:tcBorders>
              <w:bottom w:val="single" w:sz="12" w:space="0" w:color="000000"/>
            </w:tcBorders>
            <w:vAlign w:val="center"/>
          </w:tcPr>
          <w:p>
            <w:pPr>
              <w:pStyle w:val="TableContents"/>
              <w:bidi w:val="0"/>
              <w:spacing w:before="0" w:after="0"/>
              <w:jc w:val="left"/>
              <w:rPr>
                <w:color w:val="000000"/>
              </w:rPr>
            </w:pPr>
            <w:r>
              <w:rPr>
                <w:color w:val="000000"/>
              </w:rPr>
              <w:t>/s/ Thomas R. Pisano</w:t>
            </w:r>
          </w:p>
        </w:tc>
        <w:tc>
          <w:tcPr>
            <w:tcW w:w="60" w:type="dxa"/>
            <w:tcBorders/>
            <w:tcMar>
              <w:bottom w:w="0" w:type="dxa"/>
            </w:tcMar>
            <w:vAlign w:val="center"/>
          </w:tcPr>
          <w:p>
            <w:pPr>
              <w:pStyle w:val="TableContents"/>
              <w:bidi w:val="0"/>
              <w:spacing w:before="0" w:after="283"/>
              <w:jc w:val="left"/>
              <w:rPr/>
            </w:pPr>
            <w:r>
              <w:rPr/>
              <w:t> </w:t>
            </w:r>
          </w:p>
        </w:tc>
        <w:tc>
          <w:tcPr>
            <w:tcW w:w="5900" w:type="dxa"/>
            <w:tcBorders/>
            <w:tcMar>
              <w:bottom w:w="0" w:type="dxa"/>
            </w:tcMar>
            <w:vAlign w:val="center"/>
          </w:tcPr>
          <w:p>
            <w:pPr>
              <w:pStyle w:val="TableContents"/>
              <w:bidi w:val="0"/>
              <w:spacing w:before="0" w:after="0"/>
              <w:jc w:val="left"/>
              <w:rPr>
                <w:color w:val="000000"/>
              </w:rPr>
            </w:pPr>
            <w:r>
              <w:rPr>
                <w:color w:val="000000"/>
              </w:rPr>
              <w:t>Director</w:t>
            </w:r>
          </w:p>
        </w:tc>
      </w:tr>
      <w:tr>
        <w:trPr/>
        <w:tc>
          <w:tcPr>
            <w:tcW w:w="2420" w:type="dxa"/>
            <w:tcBorders/>
            <w:tcMar>
              <w:bottom w:w="0" w:type="dxa"/>
            </w:tcMar>
            <w:vAlign w:val="center"/>
          </w:tcPr>
          <w:p>
            <w:pPr>
              <w:pStyle w:val="TableContents"/>
              <w:bidi w:val="0"/>
              <w:spacing w:before="0" w:after="0"/>
              <w:jc w:val="left"/>
              <w:rPr>
                <w:color w:val="000000"/>
              </w:rPr>
            </w:pPr>
            <w:r>
              <w:rPr>
                <w:color w:val="000000"/>
              </w:rPr>
              <w:t>Thomas R. Pisano</w:t>
            </w:r>
          </w:p>
        </w:tc>
        <w:tc>
          <w:tcPr>
            <w:tcW w:w="60" w:type="dxa"/>
            <w:tcBorders/>
            <w:tcMar>
              <w:bottom w:w="0" w:type="dxa"/>
            </w:tcMar>
            <w:vAlign w:val="center"/>
          </w:tcPr>
          <w:p>
            <w:pPr>
              <w:pStyle w:val="TableContents"/>
              <w:bidi w:val="0"/>
              <w:spacing w:before="0" w:after="283"/>
              <w:jc w:val="left"/>
              <w:rPr/>
            </w:pPr>
            <w:r>
              <w:rPr/>
              <w:t> </w:t>
            </w:r>
          </w:p>
        </w:tc>
        <w:tc>
          <w:tcPr>
            <w:tcW w:w="5900" w:type="dxa"/>
            <w:tcBorders/>
            <w:tcMar>
              <w:bottom w:w="0" w:type="dxa"/>
            </w:tcMar>
            <w:vAlign w:val="center"/>
          </w:tcPr>
          <w:p>
            <w:pPr>
              <w:pStyle w:val="TableContents"/>
              <w:bidi w:val="0"/>
              <w:spacing w:before="0" w:after="283"/>
              <w:jc w:val="left"/>
              <w:rPr/>
            </w:pPr>
            <w:r>
              <w:rPr/>
              <w:t> </w:t>
            </w:r>
          </w:p>
        </w:tc>
      </w:tr>
      <w:tr>
        <w:trPr/>
        <w:tc>
          <w:tcPr>
            <w:tcW w:w="24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0" w:type="dxa"/>
            <w:tcBorders/>
            <w:tcMar>
              <w:bottom w:w="0" w:type="dxa"/>
            </w:tcMar>
            <w:vAlign w:val="center"/>
          </w:tcPr>
          <w:p>
            <w:pPr>
              <w:pStyle w:val="TableContents"/>
              <w:bidi w:val="0"/>
              <w:spacing w:before="0" w:after="283"/>
              <w:jc w:val="left"/>
              <w:rPr/>
            </w:pPr>
            <w:r>
              <w:rPr/>
              <w:t> </w:t>
            </w:r>
          </w:p>
        </w:tc>
      </w:tr>
      <w:tr>
        <w:trPr/>
        <w:tc>
          <w:tcPr>
            <w:tcW w:w="2420" w:type="dxa"/>
            <w:tcBorders>
              <w:bottom w:val="single" w:sz="12" w:space="0" w:color="000000"/>
            </w:tcBorders>
            <w:vAlign w:val="center"/>
          </w:tcPr>
          <w:p>
            <w:pPr>
              <w:pStyle w:val="TableContents"/>
              <w:bidi w:val="0"/>
              <w:spacing w:before="0" w:after="0"/>
              <w:jc w:val="left"/>
              <w:rPr>
                <w:color w:val="000000"/>
              </w:rPr>
            </w:pPr>
            <w:r>
              <w:rPr>
                <w:color w:val="000000"/>
              </w:rPr>
              <w:t>/s/ James M. Winett</w:t>
            </w:r>
          </w:p>
        </w:tc>
        <w:tc>
          <w:tcPr>
            <w:tcW w:w="60" w:type="dxa"/>
            <w:tcBorders/>
            <w:tcMar>
              <w:bottom w:w="0" w:type="dxa"/>
            </w:tcMar>
            <w:vAlign w:val="center"/>
          </w:tcPr>
          <w:p>
            <w:pPr>
              <w:pStyle w:val="TableContents"/>
              <w:bidi w:val="0"/>
              <w:spacing w:before="0" w:after="283"/>
              <w:jc w:val="left"/>
              <w:rPr/>
            </w:pPr>
            <w:r>
              <w:rPr/>
              <w:t> </w:t>
            </w:r>
          </w:p>
        </w:tc>
        <w:tc>
          <w:tcPr>
            <w:tcW w:w="5900" w:type="dxa"/>
            <w:tcBorders/>
            <w:tcMar>
              <w:bottom w:w="0" w:type="dxa"/>
            </w:tcMar>
            <w:vAlign w:val="center"/>
          </w:tcPr>
          <w:p>
            <w:pPr>
              <w:pStyle w:val="TableContents"/>
              <w:bidi w:val="0"/>
              <w:spacing w:before="0" w:after="0"/>
              <w:jc w:val="left"/>
              <w:rPr>
                <w:color w:val="000000"/>
              </w:rPr>
            </w:pPr>
            <w:r>
              <w:rPr>
                <w:color w:val="000000"/>
              </w:rPr>
              <w:t>Director</w:t>
            </w:r>
          </w:p>
        </w:tc>
      </w:tr>
      <w:tr>
        <w:trPr/>
        <w:tc>
          <w:tcPr>
            <w:tcW w:w="2420" w:type="dxa"/>
            <w:tcBorders/>
            <w:tcMar>
              <w:bottom w:w="0" w:type="dxa"/>
            </w:tcMar>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James M. Winett</w:t>
            </w:r>
          </w:p>
        </w:tc>
        <w:tc>
          <w:tcPr>
            <w:tcW w:w="60" w:type="dxa"/>
            <w:tcBorders/>
            <w:tcMar>
              <w:bottom w:w="0" w:type="dxa"/>
            </w:tcMar>
            <w:vAlign w:val="center"/>
          </w:tcPr>
          <w:p>
            <w:pPr>
              <w:pStyle w:val="TableContents"/>
              <w:bidi w:val="0"/>
              <w:spacing w:before="0" w:after="283"/>
              <w:jc w:val="left"/>
              <w:rPr/>
            </w:pPr>
            <w:r>
              <w:rPr/>
              <w:t> </w:t>
            </w:r>
          </w:p>
        </w:tc>
        <w:tc>
          <w:tcPr>
            <w:tcW w:w="5900" w:type="dxa"/>
            <w:tcBorders/>
            <w:tcMar>
              <w:bottom w:w="0" w:type="dxa"/>
            </w:tcMar>
            <w:vAlign w:val="center"/>
          </w:tcPr>
          <w:p>
            <w:pPr>
              <w:pStyle w:val="TableContents"/>
              <w:bidi w:val="0"/>
              <w:spacing w:before="0" w:after="283"/>
              <w:jc w:val="left"/>
              <w:rPr/>
            </w:pPr>
            <w:r>
              <w:rPr/>
              <w:t> </w:t>
            </w:r>
          </w:p>
        </w:tc>
      </w:tr>
      <w:tr>
        <w:trPr/>
        <w:tc>
          <w:tcPr>
            <w:tcW w:w="24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0" w:type="dxa"/>
            <w:tcBorders/>
            <w:tcMar>
              <w:bottom w:w="0" w:type="dxa"/>
            </w:tcMar>
            <w:vAlign w:val="center"/>
          </w:tcPr>
          <w:p>
            <w:pPr>
              <w:pStyle w:val="TableContents"/>
              <w:bidi w:val="0"/>
              <w:spacing w:before="0" w:after="283"/>
              <w:jc w:val="left"/>
              <w:rPr/>
            </w:pPr>
            <w:r>
              <w:rPr/>
              <w:t> </w:t>
            </w:r>
          </w:p>
        </w:tc>
      </w:tr>
      <w:tr>
        <w:trPr/>
        <w:tc>
          <w:tcPr>
            <w:tcW w:w="2420" w:type="dxa"/>
            <w:tcBorders>
              <w:bottom w:val="single" w:sz="12" w:space="0" w:color="000000"/>
            </w:tcBorders>
            <w:vAlign w:val="center"/>
          </w:tcPr>
          <w:p>
            <w:pPr>
              <w:pStyle w:val="TableContents"/>
              <w:bidi w:val="0"/>
              <w:spacing w:before="0" w:after="0"/>
              <w:jc w:val="left"/>
              <w:rPr>
                <w:color w:val="000000"/>
              </w:rPr>
            </w:pPr>
            <w:r>
              <w:rPr>
                <w:color w:val="000000"/>
              </w:rPr>
              <w:t>/s/ Edwina D. Woodbury</w:t>
            </w:r>
          </w:p>
        </w:tc>
        <w:tc>
          <w:tcPr>
            <w:tcW w:w="60" w:type="dxa"/>
            <w:tcBorders/>
            <w:tcMar>
              <w:bottom w:w="0" w:type="dxa"/>
            </w:tcMar>
            <w:vAlign w:val="center"/>
          </w:tcPr>
          <w:p>
            <w:pPr>
              <w:pStyle w:val="TableContents"/>
              <w:bidi w:val="0"/>
              <w:spacing w:before="0" w:after="283"/>
              <w:jc w:val="left"/>
              <w:rPr/>
            </w:pPr>
            <w:r>
              <w:rPr/>
              <w:t> </w:t>
            </w:r>
          </w:p>
        </w:tc>
        <w:tc>
          <w:tcPr>
            <w:tcW w:w="5900" w:type="dxa"/>
            <w:tcBorders/>
            <w:tcMar>
              <w:bottom w:w="0" w:type="dxa"/>
            </w:tcMar>
            <w:vAlign w:val="center"/>
          </w:tcPr>
          <w:p>
            <w:pPr>
              <w:pStyle w:val="TableContents"/>
              <w:bidi w:val="0"/>
              <w:spacing w:before="0" w:after="0"/>
              <w:jc w:val="left"/>
              <w:rPr>
                <w:color w:val="000000"/>
              </w:rPr>
            </w:pPr>
            <w:r>
              <w:rPr>
                <w:color w:val="000000"/>
              </w:rPr>
              <w:t>Director</w:t>
            </w:r>
          </w:p>
        </w:tc>
      </w:tr>
      <w:tr>
        <w:trPr/>
        <w:tc>
          <w:tcPr>
            <w:tcW w:w="2420" w:type="dxa"/>
            <w:tcBorders/>
            <w:tcMar>
              <w:bottom w:w="0" w:type="dxa"/>
            </w:tcMar>
            <w:vAlign w:val="center"/>
          </w:tcPr>
          <w:p>
            <w:pPr>
              <w:pStyle w:val="TableContents"/>
              <w:bidi w:val="0"/>
              <w:spacing w:before="0" w:after="0"/>
              <w:jc w:val="left"/>
              <w:rPr>
                <w:color w:val="000000"/>
              </w:rPr>
            </w:pPr>
            <w:r>
              <w:rPr>
                <w:color w:val="000000"/>
              </w:rPr>
              <w:t>Edwina D. Woodbury</w:t>
            </w:r>
          </w:p>
        </w:tc>
        <w:tc>
          <w:tcPr>
            <w:tcW w:w="60" w:type="dxa"/>
            <w:tcBorders/>
            <w:tcMar>
              <w:bottom w:w="0" w:type="dxa"/>
            </w:tcMar>
            <w:vAlign w:val="center"/>
          </w:tcPr>
          <w:p>
            <w:pPr>
              <w:pStyle w:val="TableContents"/>
              <w:bidi w:val="0"/>
              <w:spacing w:before="0" w:after="283"/>
              <w:jc w:val="left"/>
              <w:rPr/>
            </w:pPr>
            <w:r>
              <w:rPr/>
              <w:t> </w:t>
            </w:r>
          </w:p>
        </w:tc>
        <w:tc>
          <w:tcPr>
            <w:tcW w:w="5900" w:type="dxa"/>
            <w:tcBorders/>
            <w:tcMar>
              <w:bottom w:w="0" w:type="dxa"/>
            </w:tcMar>
            <w:vAlign w:val="center"/>
          </w:tcPr>
          <w:p>
            <w:pPr>
              <w:pStyle w:val="TableContents"/>
              <w:bidi w:val="0"/>
              <w:spacing w:before="0" w:after="283"/>
              <w:jc w:val="left"/>
              <w:rPr/>
            </w:pPr>
            <w:r>
              <w:rPr/>
              <w:t> </w:t>
            </w:r>
          </w:p>
        </w:tc>
      </w:tr>
      <w:tr>
        <w:trPr/>
        <w:tc>
          <w:tcPr>
            <w:tcW w:w="24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0" w:type="dxa"/>
            <w:tcBorders/>
            <w:tcMar>
              <w:bottom w:w="0" w:type="dxa"/>
            </w:tcMar>
            <w:vAlign w:val="center"/>
          </w:tcPr>
          <w:p>
            <w:pPr>
              <w:pStyle w:val="TableContents"/>
              <w:bidi w:val="0"/>
              <w:spacing w:before="0" w:after="283"/>
              <w:jc w:val="left"/>
              <w:rPr/>
            </w:pPr>
            <w:r>
              <w:rPr/>
              <w:t> </w:t>
            </w:r>
          </w:p>
        </w:tc>
      </w:tr>
      <w:tr>
        <w:trPr/>
        <w:tc>
          <w:tcPr>
            <w:tcW w:w="2420" w:type="dxa"/>
            <w:tcBorders>
              <w:bottom w:val="single" w:sz="12" w:space="0" w:color="000000"/>
            </w:tcBorders>
            <w:vAlign w:val="center"/>
          </w:tcPr>
          <w:p>
            <w:pPr>
              <w:pStyle w:val="TableContents"/>
              <w:bidi w:val="0"/>
              <w:spacing w:before="0" w:after="0"/>
              <w:jc w:val="left"/>
              <w:rPr>
                <w:color w:val="000000"/>
              </w:rPr>
            </w:pPr>
            <w:r>
              <w:rPr>
                <w:color w:val="000000"/>
              </w:rPr>
              <w:t>/s/ Mark A. Zorko</w:t>
            </w:r>
          </w:p>
        </w:tc>
        <w:tc>
          <w:tcPr>
            <w:tcW w:w="60" w:type="dxa"/>
            <w:tcBorders/>
            <w:tcMar>
              <w:bottom w:w="0" w:type="dxa"/>
            </w:tcMar>
            <w:vAlign w:val="center"/>
          </w:tcPr>
          <w:p>
            <w:pPr>
              <w:pStyle w:val="TableContents"/>
              <w:bidi w:val="0"/>
              <w:spacing w:before="0" w:after="283"/>
              <w:jc w:val="left"/>
              <w:rPr/>
            </w:pPr>
            <w:r>
              <w:rPr/>
              <w:t> </w:t>
            </w:r>
          </w:p>
        </w:tc>
        <w:tc>
          <w:tcPr>
            <w:tcW w:w="5900" w:type="dxa"/>
            <w:tcBorders/>
            <w:tcMar>
              <w:bottom w:w="0" w:type="dxa"/>
            </w:tcMar>
            <w:vAlign w:val="center"/>
          </w:tcPr>
          <w:p>
            <w:pPr>
              <w:pStyle w:val="TableContents"/>
              <w:bidi w:val="0"/>
              <w:spacing w:before="0" w:after="0"/>
              <w:jc w:val="left"/>
              <w:rPr>
                <w:color w:val="000000"/>
              </w:rPr>
            </w:pPr>
            <w:r>
              <w:rPr>
                <w:color w:val="000000"/>
              </w:rPr>
              <w:t>Director</w:t>
            </w:r>
          </w:p>
        </w:tc>
      </w:tr>
      <w:tr>
        <w:trPr/>
        <w:tc>
          <w:tcPr>
            <w:tcW w:w="2420" w:type="dxa"/>
            <w:tcBorders/>
            <w:tcMar>
              <w:bottom w:w="0" w:type="dxa"/>
            </w:tcMar>
            <w:vAlign w:val="center"/>
          </w:tcPr>
          <w:p>
            <w:pPr>
              <w:pStyle w:val="TableContents"/>
              <w:bidi w:val="0"/>
              <w:spacing w:before="0" w:after="0"/>
              <w:jc w:val="left"/>
              <w:rPr>
                <w:color w:val="000000"/>
              </w:rPr>
            </w:pPr>
            <w:r>
              <w:rPr>
                <w:color w:val="000000"/>
              </w:rPr>
              <w:t>Mark A. Zorko</w:t>
            </w:r>
          </w:p>
        </w:tc>
        <w:tc>
          <w:tcPr>
            <w:tcW w:w="60" w:type="dxa"/>
            <w:tcBorders/>
            <w:tcMar>
              <w:bottom w:w="0" w:type="dxa"/>
            </w:tcMar>
            <w:vAlign w:val="center"/>
          </w:tcPr>
          <w:p>
            <w:pPr>
              <w:pStyle w:val="TableContents"/>
              <w:bidi w:val="0"/>
              <w:spacing w:before="0" w:after="283"/>
              <w:jc w:val="left"/>
              <w:rPr/>
            </w:pPr>
            <w:r>
              <w:rPr/>
              <w:t> </w:t>
            </w:r>
          </w:p>
        </w:tc>
        <w:tc>
          <w:tcPr>
            <w:tcW w:w="590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107</w:t>
      </w:r>
    </w:p>
    <w:p>
      <w:pPr>
        <w:pStyle w:val="HorizontalLine"/>
        <w:bidi w:val="0"/>
        <w:jc w:val="left"/>
        <w:rPr/>
      </w:pPr>
      <w:r>
        <w:rPr/>
      </w:r>
    </w:p>
    <w:p>
      <w:pPr>
        <w:pStyle w:val="HorizontalLine"/>
        <w:pBdr>
          <w:bottom w:val="single" w:sz="12" w:space="0" w:color="808080"/>
        </w:pBdr>
        <w:bidi w:val="0"/>
        <w:jc w:val="left"/>
        <w:rPr/>
      </w:pPr>
      <w:r>
        <w:rPr/>
      </w:r>
      <w:bookmarkStart w:id="62" w:name="ef20060638_ex21-1.htm"/>
      <w:bookmarkStart w:id="63" w:name="ksef20060638_ex211"/>
      <w:bookmarkStart w:id="64" w:name="ef20060638_ex21-1.htm"/>
      <w:bookmarkStart w:id="65" w:name="ksef20060638_ex211"/>
      <w:bookmarkEnd w:id="64"/>
      <w:bookmarkEnd w:id="6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21.1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SUBSIDIARIES OF THE REGISTRANT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Beauty Biosciences LLC , a Texas limited liability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Big Planet, Inc., a Delaware corporation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Corner Canyon Canada, Inc., an Ontario corporation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Corner Canyon Manufacturing, Inc., a Utah corporation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Elevate Nutraceuticals LLC, a Utah limited liability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Grōv Technologies, LLC, a Utah limited liability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Grow Solutions Tech LLC, a Utah limited liability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Guangdong Xingchuang Daily-Use &amp; Health Products Co. Ltd., a Chinese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Ingredient Innovations International Company, a Delaware corporation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Innuvate Health Sciences LLC, a Utah limited liability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LifeDNA, Inc., a Delaware corporation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L&amp;W Holdings, Inc., a Utah corporation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Mavely Seller LLC, a Delaware limited liability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NOX Technologies, Inc., a Delaware corporation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NSE Asia Products, Pte. Ltd., a Singapore corporation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NSE Investments, Inc., a Delaware corporation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NSE Products Europe BV, a Belgium private limited liability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NSE Products, Inc., a Delaware corporation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NSEMC, Inc., a Delaware corporation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Berry, LLC, a Utah limited liability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(China) Daily-Use &amp; Health Products Co., Ltd., a Chinese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(Malaysia) Sdn. Bhd., a Malaysia corporation</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Argentina, Inc., a Utah corporation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Asia Holdings, Pte. Ltd., a Singapore corporation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Asia Investment, Inc., a Delaware corporation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Beauty and Wellness Co. Ltd., a Chinese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Brazil, Ltda., a Brazil limited liability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Canada, Inc., a Utah corporation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Colombia, Inc., a Delaware corporation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Czech Republic, s.r.o., a Czech Republic limited liability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Eastern Europe Kft., a Hungary limited liability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El Salvador, S.A. de C.V., an El Salvador corporation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Enterprises (Thailand) Limited, a Delaware corporation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Enterprises (Thailand) Limited, a Thailand corporation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Enterprises Australia, Inc., a Utah corporation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Enterprises Chile Ltda., a Chile limited liability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Enterprises de Venezuela, C.A., a Venezuela corporation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Enterprises Hong Kong, LLC, a Delaware limited liability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Enterprises New Zealand, Inc., a Utah corporation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Enterprises Philippines, LLC, a Delaware limited liability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Enterprises Poland Sp. z o.o., a Poland limited liability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Enterprises Singapore Pte. Ltd., a Singapore corporation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Enterprises South Africa (Proprietary) Limited, a South Africa proprietary limited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Enterprises SRL, a Romania limited liability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Enterprises Ukraine, LLC, a Ukraine limited liability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Enterprises United States, Inc., a Delaware corporation</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Enterprises Vietnam Limited Liability Company, a Vietnam limited liability company</w:t>
      </w:r>
      <w:bookmarkStart w:id="66" w:name="z_Hlk61441325"/>
      <w:bookmarkEnd w:id="66"/>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France, SRL, a France limited liability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Germany, GmbH, a Germany limited liability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Honduras, S.A., a Honduras corporation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India Private Limited, an India private limited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International Management Group, Inc., a Utah corporation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International, Inc., a Utah corporation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Islandi ehf., an Iceland private limited liability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Israel, Inc., a Delaware corporation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Italy, Srl, an Italy limited liability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Japan Company, Limited, a Japan corporation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Korea Ltd., a Korea corporation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Malaysia Holdings Sdn. Bhd., a Malaysia corporation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Mexico, S.A. de C.V., a Mexico corporation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Netherlands, B.V., a Netherlands private limited liability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New Caledonia EURL, a France limited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Norway AS, a Norway private limited liability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Peru S.A.C., a Peru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Scandinavia A/S, a Denmark stock-based corporation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Services Costa Rica S.A., a Costa Rica corporation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Slovakia s.r.o., a Slovak Republic limited liability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Taiwan, LLC, a Utah limited liability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 Skin United Kingdom Ltd, a United Kingdom private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NuSkin Belgium, NV, a Belgium limited liability company</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NuSkin Pharmanex (B) Sdn. Bhd, a Brunei corporation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Pharmanex (Huzhou) Health Products Co., Ltd., a Chinese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Pharmanex, LLC, a Delaware limited liability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PT. Nu Skin Distribution Indonesia, an Indonesia corporation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PT. Nusa Selaras Indonesia, an Indonesia corporation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RHYZ Analytical, Inc., a Utah corporation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RHYZ Inc., a Delaware corporation</w:t>
      </w:r>
      <w:bookmarkStart w:id="67" w:name="z_Hlk61441352"/>
      <w:bookmarkEnd w:id="67"/>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Rhyz India Private Limited, an India private limited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Shanghai NU Town E-commerce Co. Ltd., a Chinese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Treviso, LLC, a Utah limited liability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Vertical Eden LLC, a Utah limited liability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68" w:name="z_Hlk30518246"/>
      <w:bookmarkEnd w:id="68"/>
      <w:r>
        <w:rPr>
          <w:rFonts w:ascii="Times New Roman" w:hAnsi="Times New Roman"/>
          <w:color w:val="000000"/>
          <w:sz w:val="20"/>
        </w:rPr>
        <w:t>Wasatch Product Development, LLC, a Utah limited liability company</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xml:space="preserve">  </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69" w:name="ef20060638_ex23-1.htm"/>
      <w:bookmarkStart w:id="70" w:name="ksef20060638_ex231"/>
      <w:bookmarkStart w:id="71" w:name="ef20060638_ex23-1.htm"/>
      <w:bookmarkStart w:id="72" w:name="ksef20060638_ex231"/>
      <w:bookmarkEnd w:id="71"/>
      <w:bookmarkEnd w:id="72"/>
      <w:r>
        <w:br w:type="page"/>
      </w:r>
    </w:p>
    <w:p>
      <w:pPr>
        <w:pStyle w:val="TextBody"/>
        <w:bidi w:val="0"/>
        <w:spacing w:before="0" w:after="0"/>
        <w:jc w:val="right"/>
        <w:rPr>
          <w:rFonts w:ascii="Times New Roman" w:hAnsi="Times New Roman"/>
          <w:b/>
          <w:color w:val="000000"/>
          <w:sz w:val="20"/>
        </w:rPr>
      </w:pPr>
      <w:bookmarkStart w:id="73" w:name="z_1fob9te"/>
      <w:bookmarkEnd w:id="73"/>
      <w:r>
        <w:rPr>
          <w:rFonts w:ascii="Times New Roman" w:hAnsi="Times New Roman"/>
          <w:b/>
          <w:color w:val="000000"/>
          <w:sz w:val="20"/>
        </w:rPr>
        <w:t>Exhibit 23.1</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CONSENT OF INDEPENDENT REGISTERED PUBLIC ACCOUNTING FIRM</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bookmarkStart w:id="74" w:name="z_3znysh7"/>
      <w:bookmarkEnd w:id="74"/>
      <w:r>
        <w:rPr>
          <w:rFonts w:ascii="Times New Roman" w:hAnsi="Times New Roman"/>
          <w:color w:val="000000"/>
          <w:sz w:val="20"/>
        </w:rPr>
        <w:t>We hereby consent to the incorporation by reference in the Registration Statements on Form S-8 (Nos. 333-130304, 333-167690, 333-190508, 333-211617, 333-238908, 333-252976, 333-280044, and 333-287723) of Nu Skin Enterprises, Inc. of our report dated February 12, 2026 relating to the financial statements and the effectiveness of internal control over financial reporting, which appears in this Form 10-K.</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bookmarkStart w:id="75" w:name="z_2et92p0"/>
      <w:bookmarkEnd w:id="75"/>
      <w:r>
        <w:rPr>
          <w:rFonts w:ascii="Times New Roman" w:hAnsi="Times New Roman"/>
          <w:color w:val="000000"/>
          <w:sz w:val="20"/>
        </w:rPr>
        <w:t>/s/ PricewaterhouseCoopers LLP</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Salt Lake City, Utah</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February 12, 2026</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right"/>
        <w:rPr/>
      </w:pPr>
      <w:r>
        <w:rPr/>
      </w:r>
      <w:bookmarkStart w:id="76" w:name="ef20060638_ex31-1.htm"/>
      <w:bookmarkStart w:id="77" w:name="ksef20060638_ex311"/>
      <w:bookmarkStart w:id="78" w:name="ef20060638_ex31-1.htm"/>
      <w:bookmarkStart w:id="79" w:name="ksef20060638_ex311"/>
      <w:bookmarkEnd w:id="78"/>
      <w:bookmarkEnd w:id="79"/>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302 CERTIFICATION OF CHIEF EXECUTIVE OFFICER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 Ryan. S. Napierski, certify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0" w:name="zc22aa973f93d453e939736fc2fd0f5cf"/>
      <w:bookmarkStart w:id="81" w:name="zc22aa973f93d453e939736fc2fd0f5cf"/>
      <w:bookmarkEnd w:id="81"/>
    </w:p>
    <w:tbl>
      <w:tblPr>
        <w:tblW w:w="7645" w:type="dxa"/>
        <w:jc w:val="left"/>
        <w:tblInd w:w="0" w:type="dxa"/>
        <w:tblLayout w:type="fixed"/>
        <w:tblCellMar>
          <w:top w:w="0" w:type="dxa"/>
          <w:left w:w="0" w:type="dxa"/>
          <w:bottom w:w="0" w:type="dxa"/>
          <w:right w:w="0" w:type="dxa"/>
        </w:tblCellMar>
      </w:tblPr>
      <w:tblGrid>
        <w:gridCol w:w="215"/>
        <w:gridCol w:w="7430"/>
      </w:tblGrid>
      <w:tr>
        <w:trPr/>
        <w:tc>
          <w:tcPr>
            <w:tcW w:w="215" w:type="dxa"/>
            <w:tcBorders/>
            <w:vAlign w:val="center"/>
          </w:tcPr>
          <w:p>
            <w:pPr>
              <w:pStyle w:val="TableContents"/>
              <w:bidi w:val="0"/>
              <w:spacing w:before="0" w:after="283"/>
              <w:jc w:val="left"/>
              <w:rPr>
                <w:color w:val="000000"/>
              </w:rPr>
            </w:pPr>
            <w:r>
              <w:rPr>
                <w:color w:val="000000"/>
              </w:rPr>
              <w:t>1.</w:t>
            </w:r>
          </w:p>
        </w:tc>
        <w:tc>
          <w:tcPr>
            <w:tcW w:w="7430" w:type="dxa"/>
            <w:tcBorders/>
            <w:vAlign w:val="center"/>
          </w:tcPr>
          <w:p>
            <w:pPr>
              <w:pStyle w:val="TableContents"/>
              <w:bidi w:val="0"/>
              <w:spacing w:before="0" w:after="0"/>
              <w:jc w:val="both"/>
              <w:rPr>
                <w:color w:val="000000"/>
              </w:rPr>
            </w:pPr>
            <w:r>
              <w:rPr>
                <w:color w:val="000000"/>
              </w:rPr>
              <w:t>I have reviewed this annual report on Form 10-K of Nu Skin Enterprises, Inc.;</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2" w:name="zf30edb5bf4094e04b7093f9fa965d4de"/>
      <w:bookmarkStart w:id="83" w:name="zf30edb5bf4094e04b7093f9fa965d4de"/>
      <w:bookmarkEnd w:id="83"/>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color w:val="000000"/>
              </w:rPr>
            </w:pPr>
            <w:r>
              <w:rPr>
                <w:color w:val="000000"/>
              </w:rPr>
              <w:t>2.</w:t>
            </w:r>
          </w:p>
        </w:tc>
        <w:tc>
          <w:tcPr>
            <w:tcW w:w="10031" w:type="dxa"/>
            <w:tcBorders/>
            <w:vAlign w:val="center"/>
          </w:tcPr>
          <w:p>
            <w:pPr>
              <w:pStyle w:val="TableContents"/>
              <w:bidi w:val="0"/>
              <w:spacing w:before="0" w:after="0"/>
              <w:jc w:val="both"/>
              <w:rPr>
                <w:color w:val="000000"/>
              </w:rPr>
            </w:pPr>
            <w:r>
              <w:rPr>
                <w:color w:val="00000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4" w:name="z6ca5b031ce7f443b95ef50b0608ce80a"/>
      <w:bookmarkStart w:id="85" w:name="z6ca5b031ce7f443b95ef50b0608ce80a"/>
      <w:bookmarkEnd w:id="85"/>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color w:val="000000"/>
              </w:rPr>
            </w:pPr>
            <w:r>
              <w:rPr>
                <w:color w:val="000000"/>
              </w:rPr>
              <w:t>3.</w:t>
            </w:r>
          </w:p>
        </w:tc>
        <w:tc>
          <w:tcPr>
            <w:tcW w:w="10028" w:type="dxa"/>
            <w:tcBorders/>
            <w:vAlign w:val="center"/>
          </w:tcPr>
          <w:p>
            <w:pPr>
              <w:pStyle w:val="TableContents"/>
              <w:bidi w:val="0"/>
              <w:spacing w:before="0" w:after="0"/>
              <w:jc w:val="both"/>
              <w:rPr>
                <w:color w:val="000000"/>
              </w:rPr>
            </w:pPr>
            <w:r>
              <w:rPr>
                <w:color w:val="00000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6" w:name="z46a7e843980f4ee798f1521e00deb1d6"/>
      <w:bookmarkStart w:id="87" w:name="z46a7e843980f4ee798f1521e00deb1d6"/>
      <w:bookmarkEnd w:id="87"/>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color w:val="000000"/>
              </w:rPr>
            </w:pPr>
            <w:r>
              <w:rPr>
                <w:color w:val="000000"/>
              </w:rPr>
              <w:t>4.</w:t>
            </w:r>
          </w:p>
        </w:tc>
        <w:tc>
          <w:tcPr>
            <w:tcW w:w="10032" w:type="dxa"/>
            <w:tcBorders/>
            <w:vAlign w:val="center"/>
          </w:tcPr>
          <w:p>
            <w:pPr>
              <w:pStyle w:val="TableContents"/>
              <w:bidi w:val="0"/>
              <w:spacing w:before="0" w:after="0"/>
              <w:jc w:val="both"/>
              <w:rPr>
                <w:color w:val="000000"/>
              </w:rPr>
            </w:pPr>
            <w:r>
              <w:rPr>
                <w:color w:val="00000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8" w:name="z0469e2d9716c4798a4103dde92380ecf"/>
      <w:bookmarkStart w:id="89" w:name="z0469e2d9716c4798a4103dde92380ecf"/>
      <w:bookmarkEnd w:id="89"/>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pPr>
            <w:r>
              <w:rPr/>
            </w:r>
          </w:p>
        </w:tc>
        <w:tc>
          <w:tcPr>
            <w:tcW w:w="220" w:type="dxa"/>
            <w:tcBorders/>
            <w:vAlign w:val="center"/>
          </w:tcPr>
          <w:p>
            <w:pPr>
              <w:pStyle w:val="TableContents"/>
              <w:bidi w:val="0"/>
              <w:spacing w:before="0" w:after="283"/>
              <w:jc w:val="left"/>
              <w:rPr>
                <w:color w:val="000000"/>
              </w:rPr>
            </w:pPr>
            <w:r>
              <w:rPr>
                <w:color w:val="000000"/>
              </w:rPr>
              <w:t>(a)</w:t>
            </w:r>
          </w:p>
        </w:tc>
        <w:tc>
          <w:tcPr>
            <w:tcW w:w="9947" w:type="dxa"/>
            <w:tcBorders/>
            <w:vAlign w:val="center"/>
          </w:tcPr>
          <w:p>
            <w:pPr>
              <w:pStyle w:val="TableContents"/>
              <w:bidi w:val="0"/>
              <w:spacing w:before="0" w:after="0"/>
              <w:jc w:val="both"/>
              <w:rPr>
                <w:color w:val="000000"/>
              </w:rPr>
            </w:pPr>
            <w:r>
              <w:rPr>
                <w:color w:val="00000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0" w:name="z0ce967c83e73487fba66b3e43af802d3"/>
      <w:bookmarkStart w:id="91" w:name="z0ce967c83e73487fba66b3e43af802d3"/>
      <w:bookmarkEnd w:id="91"/>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left"/>
              <w:rPr>
                <w:color w:val="000000"/>
              </w:rPr>
            </w:pPr>
            <w:r>
              <w:rPr>
                <w:color w:val="000000"/>
              </w:rPr>
              <w:t>(b)</w:t>
            </w:r>
          </w:p>
        </w:tc>
        <w:tc>
          <w:tcPr>
            <w:tcW w:w="9932" w:type="dxa"/>
            <w:tcBorders/>
            <w:vAlign w:val="center"/>
          </w:tcPr>
          <w:p>
            <w:pPr>
              <w:pStyle w:val="TableContents"/>
              <w:bidi w:val="0"/>
              <w:spacing w:before="0" w:after="0"/>
              <w:jc w:val="both"/>
              <w:rPr>
                <w:color w:val="000000"/>
              </w:rPr>
            </w:pPr>
            <w:r>
              <w:rPr>
                <w:color w:val="00000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2" w:name="z359328814c6f4a3299b6826870111b6b"/>
      <w:bookmarkStart w:id="93" w:name="z359328814c6f4a3299b6826870111b6b"/>
      <w:bookmarkEnd w:id="93"/>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pPr>
            <w:r>
              <w:rPr/>
            </w:r>
          </w:p>
        </w:tc>
        <w:tc>
          <w:tcPr>
            <w:tcW w:w="226" w:type="dxa"/>
            <w:tcBorders/>
            <w:vAlign w:val="center"/>
          </w:tcPr>
          <w:p>
            <w:pPr>
              <w:pStyle w:val="TableContents"/>
              <w:bidi w:val="0"/>
              <w:spacing w:before="0" w:after="283"/>
              <w:jc w:val="left"/>
              <w:rPr>
                <w:color w:val="000000"/>
              </w:rPr>
            </w:pPr>
            <w:r>
              <w:rPr>
                <w:color w:val="000000"/>
              </w:rPr>
              <w:t>(c)</w:t>
            </w:r>
          </w:p>
        </w:tc>
        <w:tc>
          <w:tcPr>
            <w:tcW w:w="9941" w:type="dxa"/>
            <w:tcBorders/>
            <w:vAlign w:val="center"/>
          </w:tcPr>
          <w:p>
            <w:pPr>
              <w:pStyle w:val="TableContents"/>
              <w:bidi w:val="0"/>
              <w:spacing w:before="0" w:after="0"/>
              <w:jc w:val="both"/>
              <w:rPr>
                <w:color w:val="000000"/>
              </w:rPr>
            </w:pPr>
            <w:r>
              <w:rPr>
                <w:color w:val="00000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4" w:name="z994f08aad1174f76ae7552cfcd6a8aff"/>
      <w:bookmarkStart w:id="95" w:name="z994f08aad1174f76ae7552cfcd6a8aff"/>
      <w:bookmarkEnd w:id="95"/>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left"/>
              <w:rPr>
                <w:color w:val="000000"/>
              </w:rPr>
            </w:pPr>
            <w:r>
              <w:rPr>
                <w:color w:val="000000"/>
              </w:rPr>
              <w:t>(d)</w:t>
            </w:r>
          </w:p>
        </w:tc>
        <w:tc>
          <w:tcPr>
            <w:tcW w:w="9932" w:type="dxa"/>
            <w:tcBorders/>
            <w:vAlign w:val="center"/>
          </w:tcPr>
          <w:p>
            <w:pPr>
              <w:pStyle w:val="TableContents"/>
              <w:bidi w:val="0"/>
              <w:spacing w:before="0" w:after="0"/>
              <w:jc w:val="both"/>
              <w:rPr>
                <w:color w:val="000000"/>
              </w:rPr>
            </w:pPr>
            <w:r>
              <w:rPr>
                <w:color w:val="00000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6" w:name="z0f7a48bfcae44edc97aa5713ba456098"/>
      <w:bookmarkStart w:id="97" w:name="z0f7a48bfcae44edc97aa5713ba456098"/>
      <w:bookmarkEnd w:id="97"/>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color w:val="000000"/>
              </w:rPr>
            </w:pPr>
            <w:r>
              <w:rPr>
                <w:color w:val="000000"/>
              </w:rPr>
              <w:t>5.</w:t>
            </w:r>
          </w:p>
        </w:tc>
        <w:tc>
          <w:tcPr>
            <w:tcW w:w="10029" w:type="dxa"/>
            <w:tcBorders/>
            <w:vAlign w:val="center"/>
          </w:tcPr>
          <w:p>
            <w:pPr>
              <w:pStyle w:val="TableContents"/>
              <w:bidi w:val="0"/>
              <w:spacing w:before="0" w:after="0"/>
              <w:jc w:val="both"/>
              <w:rPr>
                <w:color w:val="000000"/>
              </w:rPr>
            </w:pPr>
            <w:r>
              <w:rPr>
                <w:color w:val="00000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8" w:name="z8c40239577914d1f9ad99102e29c7745"/>
      <w:bookmarkStart w:id="99" w:name="z8c40239577914d1f9ad99102e29c7745"/>
      <w:bookmarkEnd w:id="99"/>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pPr>
            <w:r>
              <w:rPr/>
            </w:r>
          </w:p>
        </w:tc>
        <w:tc>
          <w:tcPr>
            <w:tcW w:w="228" w:type="dxa"/>
            <w:tcBorders/>
            <w:vAlign w:val="center"/>
          </w:tcPr>
          <w:p>
            <w:pPr>
              <w:pStyle w:val="TableContents"/>
              <w:bidi w:val="0"/>
              <w:spacing w:before="0" w:after="283"/>
              <w:jc w:val="left"/>
              <w:rPr>
                <w:color w:val="000000"/>
              </w:rPr>
            </w:pPr>
            <w:r>
              <w:rPr>
                <w:color w:val="000000"/>
              </w:rPr>
              <w:t>(a)</w:t>
            </w:r>
          </w:p>
        </w:tc>
        <w:tc>
          <w:tcPr>
            <w:tcW w:w="9939" w:type="dxa"/>
            <w:tcBorders/>
            <w:vAlign w:val="center"/>
          </w:tcPr>
          <w:p>
            <w:pPr>
              <w:pStyle w:val="TableContents"/>
              <w:bidi w:val="0"/>
              <w:spacing w:before="0" w:after="0"/>
              <w:jc w:val="both"/>
              <w:rPr>
                <w:color w:val="000000"/>
              </w:rPr>
            </w:pPr>
            <w:r>
              <w:rPr>
                <w:color w:val="00000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0" w:name="z5002b498a1834b28809138b0c908c5da"/>
      <w:bookmarkStart w:id="101" w:name="z5002b498a1834b28809138b0c908c5da"/>
      <w:bookmarkEnd w:id="101"/>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pPr>
            <w:r>
              <w:rPr/>
            </w:r>
          </w:p>
        </w:tc>
        <w:tc>
          <w:tcPr>
            <w:tcW w:w="259" w:type="dxa"/>
            <w:tcBorders/>
            <w:vAlign w:val="center"/>
          </w:tcPr>
          <w:p>
            <w:pPr>
              <w:pStyle w:val="TableContents"/>
              <w:bidi w:val="0"/>
              <w:spacing w:before="0" w:after="283"/>
              <w:jc w:val="left"/>
              <w:rPr>
                <w:color w:val="000000"/>
              </w:rPr>
            </w:pPr>
            <w:r>
              <w:rPr>
                <w:color w:val="000000"/>
              </w:rPr>
              <w:t>(b)</w:t>
            </w:r>
          </w:p>
        </w:tc>
        <w:tc>
          <w:tcPr>
            <w:tcW w:w="9908" w:type="dxa"/>
            <w:tcBorders/>
            <w:vAlign w:val="center"/>
          </w:tcPr>
          <w:p>
            <w:pPr>
              <w:pStyle w:val="TableContents"/>
              <w:bidi w:val="0"/>
              <w:spacing w:before="0" w:after="0"/>
              <w:jc w:val="both"/>
              <w:rPr>
                <w:color w:val="000000"/>
              </w:rPr>
            </w:pPr>
            <w:r>
              <w:rPr>
                <w:color w:val="00000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2" w:name="za68dbe80ee3c49f3b475404f6366c12d"/>
      <w:bookmarkStart w:id="103" w:name="za68dbe80ee3c49f3b475404f6366c12d"/>
      <w:bookmarkEnd w:id="103"/>
    </w:p>
    <w:tbl>
      <w:tblPr>
        <w:tblW w:w="4690" w:type="dxa"/>
        <w:jc w:val="left"/>
        <w:tblInd w:w="0" w:type="dxa"/>
        <w:tblLayout w:type="fixed"/>
        <w:tblCellMar>
          <w:top w:w="0" w:type="dxa"/>
          <w:left w:w="0" w:type="dxa"/>
          <w:bottom w:w="0" w:type="dxa"/>
          <w:right w:w="0" w:type="dxa"/>
        </w:tblCellMar>
      </w:tblPr>
      <w:tblGrid>
        <w:gridCol w:w="2345"/>
        <w:gridCol w:w="2285"/>
        <w:gridCol w:w="60"/>
      </w:tblGrid>
      <w:tr>
        <w:trPr/>
        <w:tc>
          <w:tcPr>
            <w:tcW w:w="2345" w:type="dxa"/>
            <w:tcBorders/>
            <w:vAlign w:val="center"/>
          </w:tcPr>
          <w:p>
            <w:pPr>
              <w:pStyle w:val="TableContents"/>
              <w:bidi w:val="0"/>
              <w:spacing w:before="0" w:after="0"/>
              <w:jc w:val="left"/>
              <w:rPr/>
            </w:pPr>
            <w:r>
              <w:rPr/>
              <w:t>Date: February 12, 2026</w:t>
            </w:r>
          </w:p>
        </w:tc>
        <w:tc>
          <w:tcPr>
            <w:tcW w:w="2285" w:type="dxa"/>
            <w:tcBorders>
              <w:bottom w:val="single" w:sz="12" w:space="0" w:color="000000"/>
            </w:tcBorders>
            <w:tcMar>
              <w:bottom w:w="28" w:type="dxa"/>
            </w:tcMar>
            <w:vAlign w:val="center"/>
          </w:tcPr>
          <w:p>
            <w:pPr>
              <w:pStyle w:val="TableContents"/>
              <w:bidi w:val="0"/>
              <w:spacing w:before="0" w:after="0"/>
              <w:jc w:val="left"/>
              <w:rPr/>
            </w:pPr>
            <w:r>
              <w:rPr/>
              <w:t xml:space="preserve">/s/ </w:t>
            </w:r>
            <w:r>
              <w:rPr>
                <w:color w:val="000000"/>
              </w:rPr>
              <w:t>Ryan. S. Napierski</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firstLine="2"/>
              <w:jc w:val="left"/>
              <w:rPr>
                <w:color w:val="000000"/>
              </w:rPr>
            </w:pPr>
            <w:r>
              <w:rPr>
                <w:color w:val="000000"/>
              </w:rPr>
              <w:t>Ryan. S. Napierski</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jc w:val="left"/>
              <w:rPr/>
            </w:pPr>
            <w:r>
              <w:rPr/>
              <w:t>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04" w:name="ef20060638_ex31-2.htm"/>
      <w:bookmarkStart w:id="105" w:name="ksef20060638_ex312"/>
      <w:bookmarkStart w:id="106" w:name="ef20060638_ex31-2.htm"/>
      <w:bookmarkStart w:id="107" w:name="ksef20060638_ex312"/>
      <w:bookmarkEnd w:id="106"/>
      <w:bookmarkEnd w:id="107"/>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302 CERTIFICATION OF CHIEF FINANCIAL OFFICER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 James D. Thomas, certify that:</w:t>
      </w:r>
    </w:p>
    <w:p>
      <w:pPr>
        <w:pStyle w:val="TextBody"/>
        <w:bidi w:val="0"/>
        <w:spacing w:before="0" w:after="0"/>
        <w:jc w:val="left"/>
        <w:rPr/>
      </w:pPr>
      <w:r>
        <w:rPr/>
      </w:r>
    </w:p>
    <w:tbl>
      <w:tblPr>
        <w:tblW w:w="7645" w:type="dxa"/>
        <w:jc w:val="left"/>
        <w:tblInd w:w="0" w:type="dxa"/>
        <w:tblLayout w:type="fixed"/>
        <w:tblCellMar>
          <w:top w:w="0" w:type="dxa"/>
          <w:left w:w="0" w:type="dxa"/>
          <w:bottom w:w="0" w:type="dxa"/>
          <w:right w:w="0" w:type="dxa"/>
        </w:tblCellMar>
      </w:tblPr>
      <w:tblGrid>
        <w:gridCol w:w="215"/>
        <w:gridCol w:w="7430"/>
      </w:tblGrid>
      <w:tr>
        <w:trPr/>
        <w:tc>
          <w:tcPr>
            <w:tcW w:w="215" w:type="dxa"/>
            <w:tcBorders/>
            <w:vAlign w:val="center"/>
          </w:tcPr>
          <w:p>
            <w:pPr>
              <w:pStyle w:val="TableContents"/>
              <w:bidi w:val="0"/>
              <w:spacing w:before="0" w:after="283"/>
              <w:jc w:val="left"/>
              <w:rPr>
                <w:color w:val="000000"/>
              </w:rPr>
            </w:pPr>
            <w:r>
              <w:rPr>
                <w:color w:val="000000"/>
              </w:rPr>
              <w:t>1.</w:t>
            </w:r>
          </w:p>
        </w:tc>
        <w:tc>
          <w:tcPr>
            <w:tcW w:w="7430" w:type="dxa"/>
            <w:tcBorders/>
            <w:vAlign w:val="center"/>
          </w:tcPr>
          <w:p>
            <w:pPr>
              <w:pStyle w:val="TableContents"/>
              <w:bidi w:val="0"/>
              <w:spacing w:before="0" w:after="0"/>
              <w:jc w:val="both"/>
              <w:rPr>
                <w:color w:val="000000"/>
              </w:rPr>
            </w:pPr>
            <w:r>
              <w:rPr>
                <w:color w:val="000000"/>
              </w:rPr>
              <w:t>I have reviewed this annual report on Form 10-K of Nu Skin Enterprises, Inc.;</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color w:val="000000"/>
              </w:rPr>
            </w:pPr>
            <w:r>
              <w:rPr>
                <w:color w:val="000000"/>
              </w:rPr>
              <w:t>2.</w:t>
            </w:r>
          </w:p>
        </w:tc>
        <w:tc>
          <w:tcPr>
            <w:tcW w:w="10031" w:type="dxa"/>
            <w:tcBorders/>
            <w:vAlign w:val="center"/>
          </w:tcPr>
          <w:p>
            <w:pPr>
              <w:pStyle w:val="TableContents"/>
              <w:bidi w:val="0"/>
              <w:spacing w:before="0" w:after="0"/>
              <w:jc w:val="both"/>
              <w:rPr>
                <w:color w:val="000000"/>
              </w:rPr>
            </w:pPr>
            <w:r>
              <w:rPr>
                <w:color w:val="00000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color w:val="000000"/>
              </w:rPr>
            </w:pPr>
            <w:r>
              <w:rPr>
                <w:color w:val="000000"/>
              </w:rPr>
              <w:t>3.</w:t>
            </w:r>
          </w:p>
        </w:tc>
        <w:tc>
          <w:tcPr>
            <w:tcW w:w="10028" w:type="dxa"/>
            <w:tcBorders/>
            <w:vAlign w:val="center"/>
          </w:tcPr>
          <w:p>
            <w:pPr>
              <w:pStyle w:val="TableContents"/>
              <w:bidi w:val="0"/>
              <w:spacing w:before="0" w:after="0"/>
              <w:jc w:val="both"/>
              <w:rPr>
                <w:color w:val="000000"/>
              </w:rPr>
            </w:pPr>
            <w:r>
              <w:rPr>
                <w:color w:val="00000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color w:val="000000"/>
              </w:rPr>
            </w:pPr>
            <w:r>
              <w:rPr>
                <w:color w:val="000000"/>
              </w:rPr>
              <w:t>4.</w:t>
            </w:r>
          </w:p>
        </w:tc>
        <w:tc>
          <w:tcPr>
            <w:tcW w:w="10032" w:type="dxa"/>
            <w:tcBorders/>
            <w:vAlign w:val="center"/>
          </w:tcPr>
          <w:p>
            <w:pPr>
              <w:pStyle w:val="TableContents"/>
              <w:bidi w:val="0"/>
              <w:spacing w:before="0" w:after="0"/>
              <w:jc w:val="both"/>
              <w:rPr>
                <w:color w:val="000000"/>
              </w:rPr>
            </w:pPr>
            <w:r>
              <w:rPr>
                <w:color w:val="00000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pPr>
            <w:r>
              <w:rPr/>
            </w:r>
          </w:p>
        </w:tc>
        <w:tc>
          <w:tcPr>
            <w:tcW w:w="220" w:type="dxa"/>
            <w:tcBorders/>
            <w:vAlign w:val="center"/>
          </w:tcPr>
          <w:p>
            <w:pPr>
              <w:pStyle w:val="TableContents"/>
              <w:bidi w:val="0"/>
              <w:spacing w:before="0" w:after="283"/>
              <w:jc w:val="left"/>
              <w:rPr>
                <w:color w:val="000000"/>
              </w:rPr>
            </w:pPr>
            <w:r>
              <w:rPr>
                <w:color w:val="000000"/>
              </w:rPr>
              <w:t>(a)</w:t>
            </w:r>
          </w:p>
        </w:tc>
        <w:tc>
          <w:tcPr>
            <w:tcW w:w="9947" w:type="dxa"/>
            <w:tcBorders/>
            <w:vAlign w:val="center"/>
          </w:tcPr>
          <w:p>
            <w:pPr>
              <w:pStyle w:val="TableContents"/>
              <w:bidi w:val="0"/>
              <w:spacing w:before="0" w:after="0"/>
              <w:jc w:val="both"/>
              <w:rPr>
                <w:color w:val="000000"/>
              </w:rPr>
            </w:pPr>
            <w:r>
              <w:rPr>
                <w:color w:val="00000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left"/>
              <w:rPr>
                <w:color w:val="000000"/>
              </w:rPr>
            </w:pPr>
            <w:r>
              <w:rPr>
                <w:color w:val="000000"/>
              </w:rPr>
              <w:t>(b)</w:t>
            </w:r>
          </w:p>
        </w:tc>
        <w:tc>
          <w:tcPr>
            <w:tcW w:w="9932" w:type="dxa"/>
            <w:tcBorders/>
            <w:vAlign w:val="center"/>
          </w:tcPr>
          <w:p>
            <w:pPr>
              <w:pStyle w:val="TableContents"/>
              <w:bidi w:val="0"/>
              <w:spacing w:before="0" w:after="0"/>
              <w:jc w:val="both"/>
              <w:rPr>
                <w:color w:val="000000"/>
              </w:rPr>
            </w:pPr>
            <w:r>
              <w:rPr>
                <w:color w:val="00000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pPr>
            <w:r>
              <w:rPr/>
            </w:r>
          </w:p>
        </w:tc>
        <w:tc>
          <w:tcPr>
            <w:tcW w:w="226" w:type="dxa"/>
            <w:tcBorders/>
            <w:vAlign w:val="center"/>
          </w:tcPr>
          <w:p>
            <w:pPr>
              <w:pStyle w:val="TableContents"/>
              <w:bidi w:val="0"/>
              <w:spacing w:before="0" w:after="283"/>
              <w:jc w:val="left"/>
              <w:rPr>
                <w:color w:val="000000"/>
              </w:rPr>
            </w:pPr>
            <w:r>
              <w:rPr>
                <w:color w:val="000000"/>
              </w:rPr>
              <w:t>(c)</w:t>
            </w:r>
          </w:p>
        </w:tc>
        <w:tc>
          <w:tcPr>
            <w:tcW w:w="9941" w:type="dxa"/>
            <w:tcBorders/>
            <w:vAlign w:val="center"/>
          </w:tcPr>
          <w:p>
            <w:pPr>
              <w:pStyle w:val="TableContents"/>
              <w:bidi w:val="0"/>
              <w:spacing w:before="0" w:after="0"/>
              <w:jc w:val="both"/>
              <w:rPr>
                <w:color w:val="000000"/>
              </w:rPr>
            </w:pPr>
            <w:r>
              <w:rPr>
                <w:color w:val="00000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left"/>
              <w:rPr>
                <w:color w:val="000000"/>
              </w:rPr>
            </w:pPr>
            <w:r>
              <w:rPr>
                <w:color w:val="000000"/>
              </w:rPr>
              <w:t>(d)</w:t>
            </w:r>
          </w:p>
        </w:tc>
        <w:tc>
          <w:tcPr>
            <w:tcW w:w="9932" w:type="dxa"/>
            <w:tcBorders/>
            <w:vAlign w:val="center"/>
          </w:tcPr>
          <w:p>
            <w:pPr>
              <w:pStyle w:val="TableContents"/>
              <w:bidi w:val="0"/>
              <w:spacing w:before="0" w:after="0"/>
              <w:jc w:val="both"/>
              <w:rPr>
                <w:color w:val="000000"/>
              </w:rPr>
            </w:pPr>
            <w:r>
              <w:rPr>
                <w:color w:val="00000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color w:val="000000"/>
              </w:rPr>
            </w:pPr>
            <w:r>
              <w:rPr>
                <w:color w:val="000000"/>
              </w:rPr>
              <w:t>5.</w:t>
            </w:r>
          </w:p>
        </w:tc>
        <w:tc>
          <w:tcPr>
            <w:tcW w:w="10029" w:type="dxa"/>
            <w:tcBorders/>
            <w:vAlign w:val="center"/>
          </w:tcPr>
          <w:p>
            <w:pPr>
              <w:pStyle w:val="TableContents"/>
              <w:bidi w:val="0"/>
              <w:spacing w:before="0" w:after="0"/>
              <w:jc w:val="both"/>
              <w:rPr>
                <w:color w:val="000000"/>
              </w:rPr>
            </w:pPr>
            <w:r>
              <w:rPr>
                <w:color w:val="00000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pPr>
            <w:r>
              <w:rPr/>
            </w:r>
          </w:p>
        </w:tc>
        <w:tc>
          <w:tcPr>
            <w:tcW w:w="228" w:type="dxa"/>
            <w:tcBorders/>
            <w:vAlign w:val="center"/>
          </w:tcPr>
          <w:p>
            <w:pPr>
              <w:pStyle w:val="TableContents"/>
              <w:bidi w:val="0"/>
              <w:spacing w:before="0" w:after="283"/>
              <w:jc w:val="left"/>
              <w:rPr>
                <w:color w:val="000000"/>
              </w:rPr>
            </w:pPr>
            <w:r>
              <w:rPr>
                <w:color w:val="000000"/>
              </w:rPr>
              <w:t>(a)</w:t>
            </w:r>
          </w:p>
        </w:tc>
        <w:tc>
          <w:tcPr>
            <w:tcW w:w="9939" w:type="dxa"/>
            <w:tcBorders/>
            <w:vAlign w:val="center"/>
          </w:tcPr>
          <w:p>
            <w:pPr>
              <w:pStyle w:val="TableContents"/>
              <w:bidi w:val="0"/>
              <w:spacing w:before="0" w:after="0"/>
              <w:jc w:val="both"/>
              <w:rPr>
                <w:color w:val="000000"/>
              </w:rPr>
            </w:pPr>
            <w:r>
              <w:rPr>
                <w:color w:val="00000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pPr>
            <w:r>
              <w:rPr/>
            </w:r>
          </w:p>
        </w:tc>
        <w:tc>
          <w:tcPr>
            <w:tcW w:w="259" w:type="dxa"/>
            <w:tcBorders/>
            <w:vAlign w:val="center"/>
          </w:tcPr>
          <w:p>
            <w:pPr>
              <w:pStyle w:val="TableContents"/>
              <w:bidi w:val="0"/>
              <w:spacing w:before="0" w:after="283"/>
              <w:jc w:val="left"/>
              <w:rPr>
                <w:color w:val="000000"/>
              </w:rPr>
            </w:pPr>
            <w:r>
              <w:rPr>
                <w:color w:val="000000"/>
              </w:rPr>
              <w:t>(b)</w:t>
            </w:r>
          </w:p>
        </w:tc>
        <w:tc>
          <w:tcPr>
            <w:tcW w:w="9908" w:type="dxa"/>
            <w:tcBorders/>
            <w:vAlign w:val="center"/>
          </w:tcPr>
          <w:p>
            <w:pPr>
              <w:pStyle w:val="TableContents"/>
              <w:bidi w:val="0"/>
              <w:spacing w:before="0" w:after="0"/>
              <w:jc w:val="both"/>
              <w:rPr>
                <w:color w:val="000000"/>
              </w:rPr>
            </w:pPr>
            <w:r>
              <w:rPr>
                <w:color w:val="00000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tbl>
      <w:tblPr>
        <w:tblW w:w="4615" w:type="dxa"/>
        <w:jc w:val="left"/>
        <w:tblInd w:w="0" w:type="dxa"/>
        <w:tblLayout w:type="fixed"/>
        <w:tblCellMar>
          <w:top w:w="0" w:type="dxa"/>
          <w:left w:w="0" w:type="dxa"/>
          <w:bottom w:w="0" w:type="dxa"/>
          <w:right w:w="0" w:type="dxa"/>
        </w:tblCellMar>
      </w:tblPr>
      <w:tblGrid>
        <w:gridCol w:w="2345"/>
        <w:gridCol w:w="2210"/>
        <w:gridCol w:w="60"/>
      </w:tblGrid>
      <w:tr>
        <w:trPr/>
        <w:tc>
          <w:tcPr>
            <w:tcW w:w="2345" w:type="dxa"/>
            <w:tcBorders/>
            <w:vAlign w:val="center"/>
          </w:tcPr>
          <w:p>
            <w:pPr>
              <w:pStyle w:val="TableContents"/>
              <w:bidi w:val="0"/>
              <w:spacing w:before="0" w:after="0"/>
              <w:jc w:val="left"/>
              <w:rPr/>
            </w:pPr>
            <w:r>
              <w:rPr/>
              <w:t>Date: February 12, 2026</w:t>
            </w:r>
          </w:p>
        </w:tc>
        <w:tc>
          <w:tcPr>
            <w:tcW w:w="2210" w:type="dxa"/>
            <w:tcBorders>
              <w:bottom w:val="single" w:sz="12" w:space="0" w:color="000000"/>
            </w:tcBorders>
            <w:tcMar>
              <w:bottom w:w="28" w:type="dxa"/>
            </w:tcMar>
            <w:vAlign w:val="center"/>
          </w:tcPr>
          <w:p>
            <w:pPr>
              <w:pStyle w:val="TableContents"/>
              <w:bidi w:val="0"/>
              <w:spacing w:before="0" w:after="0"/>
              <w:jc w:val="left"/>
              <w:rPr/>
            </w:pPr>
            <w:r>
              <w:rPr/>
              <w:t>/s/ James D. Thomas</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jc w:val="left"/>
              <w:rPr/>
            </w:pPr>
            <w:r>
              <w:rPr/>
              <w:t>James D. Thomas</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jc w:val="left"/>
              <w:rPr/>
            </w:pPr>
            <w:r>
              <w:rPr/>
              <w:t>Chief Financial Officer</w:t>
            </w:r>
          </w:p>
        </w:tc>
        <w:tc>
          <w:tcPr>
            <w:tcW w:w="60" w:type="dxa"/>
            <w:tcBorders/>
            <w:vAlign w:val="center"/>
          </w:tcPr>
          <w:p>
            <w:pPr>
              <w:pStyle w:val="TableContents"/>
              <w:bidi w:val="0"/>
              <w:spacing w:before="0" w:after="283"/>
              <w:jc w:val="left"/>
              <w:rPr/>
            </w:pPr>
            <w:r>
              <w:rPr/>
              <w:t> </w:t>
            </w:r>
          </w:p>
        </w:tc>
      </w:tr>
    </w:tbl>
    <w:p>
      <w:pPr>
        <w:pStyle w:val="TextBody"/>
        <w:bidi w:val="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08" w:name="ef20060638_ex32-1.htm"/>
      <w:bookmarkStart w:id="109" w:name="ksef20060638_ex321"/>
      <w:bookmarkStart w:id="110" w:name="ef20060638_ex32-1.htm"/>
      <w:bookmarkStart w:id="111" w:name="ksef20060638_ex321"/>
      <w:bookmarkEnd w:id="110"/>
      <w:bookmarkEnd w:id="111"/>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906 CERTIFICATION OF CHIEF EXECUTIVE OFFICER</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18 U.S.C. SECTION 1350, AS ADOPTED PURSUANT TO</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connection with the annual report of Nu Skin Enterprises, Inc. (the “Company”) on Form 10-K for the period ended December 31, 2025 (the “Report”), I, Ryan. S. Napierski, Chief Executive Officer of the Company, certify, pursuant to 18 U.S.C. §1350, as adopted pursuant to Section 906 of the Sarbanes-Oxley Act of 2002, that to the best of my knowledge:</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pPr>
            <w:r>
              <w:rPr/>
            </w:r>
          </w:p>
        </w:tc>
        <w:tc>
          <w:tcPr>
            <w:tcW w:w="192" w:type="dxa"/>
            <w:tcBorders/>
            <w:vAlign w:val="center"/>
          </w:tcPr>
          <w:p>
            <w:pPr>
              <w:pStyle w:val="TableContents"/>
              <w:bidi w:val="0"/>
              <w:spacing w:before="0" w:after="283"/>
              <w:jc w:val="left"/>
              <w:rPr/>
            </w:pPr>
            <w:r>
              <w:rPr/>
              <w:t>1.</w:t>
            </w:r>
          </w:p>
        </w:tc>
        <w:tc>
          <w:tcPr>
            <w:tcW w:w="9975" w:type="dxa"/>
            <w:tcBorders/>
            <w:vAlign w:val="center"/>
          </w:tcPr>
          <w:p>
            <w:pPr>
              <w:pStyle w:val="TableContents"/>
              <w:bidi w:val="0"/>
              <w:spacing w:before="0" w:after="0"/>
              <w:jc w:val="both"/>
              <w:rPr/>
            </w:pPr>
            <w:r>
              <w:rPr/>
              <w:t>The Report fully complies with the requirements of Section 13(a) or 15(d) of the Securities Exchange Act of 1934;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pPr>
            <w:r>
              <w:rPr/>
            </w:r>
          </w:p>
        </w:tc>
        <w:tc>
          <w:tcPr>
            <w:tcW w:w="182" w:type="dxa"/>
            <w:tcBorders/>
            <w:vAlign w:val="center"/>
          </w:tcPr>
          <w:p>
            <w:pPr>
              <w:pStyle w:val="TableContents"/>
              <w:bidi w:val="0"/>
              <w:spacing w:before="0" w:after="283"/>
              <w:jc w:val="left"/>
              <w:rPr/>
            </w:pPr>
            <w:r>
              <w:rPr/>
              <w:t>2.</w:t>
            </w:r>
          </w:p>
        </w:tc>
        <w:tc>
          <w:tcPr>
            <w:tcW w:w="9985" w:type="dxa"/>
            <w:tcBorders/>
            <w:vAlign w:val="center"/>
          </w:tcPr>
          <w:p>
            <w:pPr>
              <w:pStyle w:val="TableContents"/>
              <w:bidi w:val="0"/>
              <w:spacing w:before="0" w:after="0"/>
              <w:jc w:val="both"/>
              <w:rPr/>
            </w:pPr>
            <w:r>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tbl>
      <w:tblPr>
        <w:tblW w:w="4690" w:type="dxa"/>
        <w:jc w:val="left"/>
        <w:tblInd w:w="0" w:type="dxa"/>
        <w:tblLayout w:type="fixed"/>
        <w:tblCellMar>
          <w:top w:w="0" w:type="dxa"/>
          <w:left w:w="0" w:type="dxa"/>
          <w:bottom w:w="0" w:type="dxa"/>
          <w:right w:w="0" w:type="dxa"/>
        </w:tblCellMar>
      </w:tblPr>
      <w:tblGrid>
        <w:gridCol w:w="2345"/>
        <w:gridCol w:w="2285"/>
        <w:gridCol w:w="60"/>
      </w:tblGrid>
      <w:tr>
        <w:trPr/>
        <w:tc>
          <w:tcPr>
            <w:tcW w:w="2345" w:type="dxa"/>
            <w:tcBorders/>
            <w:vAlign w:val="center"/>
          </w:tcPr>
          <w:p>
            <w:pPr>
              <w:pStyle w:val="TableContents"/>
              <w:bidi w:val="0"/>
              <w:spacing w:before="0" w:after="0"/>
              <w:jc w:val="left"/>
              <w:rPr/>
            </w:pPr>
            <w:r>
              <w:rPr/>
              <w:t>Date: February 12, 2026</w:t>
            </w:r>
          </w:p>
        </w:tc>
        <w:tc>
          <w:tcPr>
            <w:tcW w:w="2285" w:type="dxa"/>
            <w:tcBorders>
              <w:bottom w:val="single" w:sz="12" w:space="0" w:color="000000"/>
            </w:tcBorders>
            <w:tcMar>
              <w:bottom w:w="28" w:type="dxa"/>
            </w:tcMar>
            <w:vAlign w:val="center"/>
          </w:tcPr>
          <w:p>
            <w:pPr>
              <w:pStyle w:val="TableContents"/>
              <w:bidi w:val="0"/>
              <w:spacing w:before="0" w:after="0"/>
              <w:jc w:val="left"/>
              <w:rPr/>
            </w:pPr>
            <w:r>
              <w:rPr/>
              <w:t xml:space="preserve">/s/ </w:t>
            </w:r>
            <w:r>
              <w:rPr>
                <w:color w:val="000000"/>
              </w:rPr>
              <w:t>Ryan. S. Napierski</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jc w:val="left"/>
              <w:rPr>
                <w:color w:val="000000"/>
              </w:rPr>
            </w:pPr>
            <w:r>
              <w:rPr>
                <w:color w:val="000000"/>
              </w:rPr>
              <w:t>Ryan. S. Napierski</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jc w:val="left"/>
              <w:rPr/>
            </w:pPr>
            <w:r>
              <w:rPr/>
              <w:t>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12" w:name="ef20060638_ex32-2.htm"/>
      <w:bookmarkStart w:id="113" w:name="ksef20060638_ex322"/>
      <w:bookmarkStart w:id="114" w:name="ef20060638_ex32-2.htm"/>
      <w:bookmarkStart w:id="115" w:name="ksef20060638_ex322"/>
      <w:bookmarkEnd w:id="114"/>
      <w:bookmarkEnd w:id="11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906 CERTIFICATION OF CHIEF FINANCIAL OFFICER</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18 U.S.C. SECTION 1350, AS ADOPTED PURSUANT TO</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connection with the annual report of Nu Skin Enterprises, Inc. (the “Company”) on Form 10-K for the period ended December 31, 2025 (the “Report”), I, James D. Thomas, Chief Financial Officer of the Company, certify, pursuant to 18 U.S.C. §1350, as adopted pursuant to Section 906 of the Sarbanes-Oxley Act of 2002, that to the best of my knowledge:</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pPr>
            <w:r>
              <w:rPr/>
            </w:r>
          </w:p>
        </w:tc>
        <w:tc>
          <w:tcPr>
            <w:tcW w:w="192" w:type="dxa"/>
            <w:tcBorders/>
            <w:vAlign w:val="center"/>
          </w:tcPr>
          <w:p>
            <w:pPr>
              <w:pStyle w:val="TableContents"/>
              <w:bidi w:val="0"/>
              <w:spacing w:before="0" w:after="283"/>
              <w:jc w:val="left"/>
              <w:rPr/>
            </w:pPr>
            <w:r>
              <w:rPr/>
              <w:t>1.</w:t>
            </w:r>
          </w:p>
        </w:tc>
        <w:tc>
          <w:tcPr>
            <w:tcW w:w="9975" w:type="dxa"/>
            <w:tcBorders/>
            <w:vAlign w:val="center"/>
          </w:tcPr>
          <w:p>
            <w:pPr>
              <w:pStyle w:val="TableContents"/>
              <w:bidi w:val="0"/>
              <w:spacing w:before="0" w:after="0"/>
              <w:jc w:val="both"/>
              <w:rPr/>
            </w:pPr>
            <w:r>
              <w:rPr/>
              <w:t>The Report fully complies with the requirements of Section 13(a) or 15(d) of the Securities Exchange Act of 1934;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pPr>
            <w:r>
              <w:rPr/>
            </w:r>
          </w:p>
        </w:tc>
        <w:tc>
          <w:tcPr>
            <w:tcW w:w="182" w:type="dxa"/>
            <w:tcBorders/>
            <w:vAlign w:val="center"/>
          </w:tcPr>
          <w:p>
            <w:pPr>
              <w:pStyle w:val="TableContents"/>
              <w:bidi w:val="0"/>
              <w:spacing w:before="0" w:after="283"/>
              <w:jc w:val="left"/>
              <w:rPr/>
            </w:pPr>
            <w:r>
              <w:rPr/>
              <w:t>2.</w:t>
            </w:r>
          </w:p>
        </w:tc>
        <w:tc>
          <w:tcPr>
            <w:tcW w:w="9985" w:type="dxa"/>
            <w:tcBorders/>
            <w:vAlign w:val="center"/>
          </w:tcPr>
          <w:p>
            <w:pPr>
              <w:pStyle w:val="TableContents"/>
              <w:bidi w:val="0"/>
              <w:spacing w:before="0" w:after="0"/>
              <w:jc w:val="both"/>
              <w:rPr/>
            </w:pPr>
            <w:r>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tbl>
      <w:tblPr>
        <w:tblW w:w="4615" w:type="dxa"/>
        <w:jc w:val="left"/>
        <w:tblInd w:w="0" w:type="dxa"/>
        <w:tblLayout w:type="fixed"/>
        <w:tblCellMar>
          <w:top w:w="0" w:type="dxa"/>
          <w:left w:w="0" w:type="dxa"/>
          <w:bottom w:w="0" w:type="dxa"/>
          <w:right w:w="0" w:type="dxa"/>
        </w:tblCellMar>
      </w:tblPr>
      <w:tblGrid>
        <w:gridCol w:w="2345"/>
        <w:gridCol w:w="2210"/>
        <w:gridCol w:w="60"/>
      </w:tblGrid>
      <w:tr>
        <w:trPr/>
        <w:tc>
          <w:tcPr>
            <w:tcW w:w="2345" w:type="dxa"/>
            <w:tcBorders/>
            <w:vAlign w:val="center"/>
          </w:tcPr>
          <w:p>
            <w:pPr>
              <w:pStyle w:val="TableContents"/>
              <w:bidi w:val="0"/>
              <w:spacing w:before="0" w:after="0"/>
              <w:jc w:val="left"/>
              <w:rPr/>
            </w:pPr>
            <w:r>
              <w:rPr/>
              <w:t>Date: February 12, 2026</w:t>
            </w:r>
          </w:p>
        </w:tc>
        <w:tc>
          <w:tcPr>
            <w:tcW w:w="2210" w:type="dxa"/>
            <w:tcBorders>
              <w:bottom w:val="single" w:sz="12" w:space="0" w:color="000000"/>
            </w:tcBorders>
            <w:tcMar>
              <w:bottom w:w="28" w:type="dxa"/>
            </w:tcMar>
            <w:vAlign w:val="center"/>
          </w:tcPr>
          <w:p>
            <w:pPr>
              <w:pStyle w:val="TableContents"/>
              <w:bidi w:val="0"/>
              <w:spacing w:before="0" w:after="0"/>
              <w:jc w:val="left"/>
              <w:rPr/>
            </w:pPr>
            <w:r>
              <w:rPr/>
              <w:t>/s/ James D. Thomas</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jc w:val="left"/>
              <w:rPr/>
            </w:pPr>
            <w:r>
              <w:rPr/>
              <w:t>James D. Thomas</w:t>
            </w:r>
          </w:p>
        </w:tc>
        <w:tc>
          <w:tcPr>
            <w:tcW w:w="6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jc w:val="left"/>
              <w:rPr/>
            </w:pPr>
            <w:r>
              <w:rPr/>
              <w:t>Chief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21561/000114036125000113/ef20041017_ex2-1.htm" TargetMode="External"/><Relationship Id="rId4" Type="http://schemas.openxmlformats.org/officeDocument/2006/relationships/hyperlink" Target="https://www.sec.gov/Archives/edgar/data/1021561/0000950109-96-005995.txt" TargetMode="External"/><Relationship Id="rId5" Type="http://schemas.openxmlformats.org/officeDocument/2006/relationships/hyperlink" Target="https://www.sec.gov/Archives/edgar/data/1021561/000102156110000024/ex3-2.htm" TargetMode="External"/><Relationship Id="rId6" Type="http://schemas.openxmlformats.org/officeDocument/2006/relationships/hyperlink" Target="https://www.sec.gov/Archives/edgar/data/1021561/000103393205000011/ex3-3.htm" TargetMode="External"/><Relationship Id="rId7" Type="http://schemas.openxmlformats.org/officeDocument/2006/relationships/hyperlink" Target="https://www.sec.gov/Archives/edgar/data/1021561/000114036124045001/ef20037801_ex3-1.htm" TargetMode="External"/><Relationship Id="rId8" Type="http://schemas.openxmlformats.org/officeDocument/2006/relationships/hyperlink" Target="https://www.sec.gov/Archives/edgar/data/1021561/000114036123007348/brhc10046901_ex4-1.htm" TargetMode="External"/><Relationship Id="rId9" Type="http://schemas.openxmlformats.org/officeDocument/2006/relationships/hyperlink" Target="https://www.sec.gov/Archives/edgar/data/1021561/000114036124008111/ef20015265_ex4-2.htm" TargetMode="External"/><Relationship Id="rId10" Type="http://schemas.openxmlformats.org/officeDocument/2006/relationships/hyperlink" Target="https://www.sec.gov/Archives/edgar/data/1021561/000114036122023342/brhc10038831_ex10-1.htm" TargetMode="External"/><Relationship Id="rId11" Type="http://schemas.openxmlformats.org/officeDocument/2006/relationships/hyperlink" Target="https://www.sec.gov/Archives/edgar/data/1021561/000102156116000134/ex10-1.htm" TargetMode="External"/><Relationship Id="rId12" Type="http://schemas.openxmlformats.org/officeDocument/2006/relationships/hyperlink" Target="https://www.sec.gov/Archives/edgar/data/1021561/000114036120002997/exhibit10_13.htm" TargetMode="External"/><Relationship Id="rId13" Type="http://schemas.openxmlformats.org/officeDocument/2006/relationships/hyperlink" Target="https://www.sec.gov/Archives/edgar/data/1021561/000114036120012979/ex99_1.htm" TargetMode="External"/><Relationship Id="rId14" Type="http://schemas.openxmlformats.org/officeDocument/2006/relationships/hyperlink" Target="https://www.sec.gov/Archives/edgar/data/1021561/000114036124008111/ef20015265_ex10-5.htm" TargetMode="External"/><Relationship Id="rId15" Type="http://schemas.openxmlformats.org/officeDocument/2006/relationships/hyperlink" Target="https://www.sec.gov/Archives/edgar/data/1021561/000114036124008111/ef20015265_ex10-6.htm" TargetMode="External"/><Relationship Id="rId16" Type="http://schemas.openxmlformats.org/officeDocument/2006/relationships/hyperlink" Target="https://www.sec.gov/Archives/edgar/data/1021561/000114036121004212/brhc10019752_ex10-14.htm" TargetMode="External"/><Relationship Id="rId17" Type="http://schemas.openxmlformats.org/officeDocument/2006/relationships/hyperlink" Target="https://www.sec.gov/Archives/edgar/data/1021561/000114036124029122/ef20030699_ex10-1.htm" TargetMode="External"/><Relationship Id="rId18" Type="http://schemas.openxmlformats.org/officeDocument/2006/relationships/hyperlink" Target="https://www.sec.gov/Archives/edgar/data/1021561/000114036125004907/ef20039018_ex10-9.htm" TargetMode="External"/><Relationship Id="rId19" Type="http://schemas.openxmlformats.org/officeDocument/2006/relationships/hyperlink" Target="https://www.sec.gov/Archives/edgar/data/1021561/000114036125004907/ef20039018_ex10-10.htm" TargetMode="External"/><Relationship Id="rId20" Type="http://schemas.openxmlformats.org/officeDocument/2006/relationships/hyperlink" Target="https://www.sec.gov/Archives/edgar/data/1021561/000114036125020939/ef20049959_ex10-1.htm" TargetMode="External"/><Relationship Id="rId21" Type="http://schemas.openxmlformats.org/officeDocument/2006/relationships/hyperlink" Target="https://www.sec.gov/Archives/edgar/data/1021561/000114036125029673/ef20050377_ex10-2.htm" TargetMode="External"/><Relationship Id="rId22" Type="http://schemas.openxmlformats.org/officeDocument/2006/relationships/hyperlink" Target="https://www.sec.gov/Archives/edgar/data/1021561/000114036123037437/brhc20056518_ex10-1.htm" TargetMode="External"/><Relationship Id="rId23" Type="http://schemas.openxmlformats.org/officeDocument/2006/relationships/hyperlink" Target="https://www.sec.gov/Archives/edgar/data/1021561/000114036122005656/brhc10033829_ex10-18.htm" TargetMode="External"/><Relationship Id="rId24" Type="http://schemas.openxmlformats.org/officeDocument/2006/relationships/hyperlink" Target="https://www.sec.gov/Archives/edgar/data/1021561/000114036123037437/brhc20056518_ex10-2.htm" TargetMode="External"/><Relationship Id="rId25" Type="http://schemas.openxmlformats.org/officeDocument/2006/relationships/hyperlink" Target="https://www.sec.gov/Archives/edgar/data/1021561/000102156116000188/ex10-1.htm" TargetMode="External"/><Relationship Id="rId26" Type="http://schemas.openxmlformats.org/officeDocument/2006/relationships/hyperlink" Target="https://www.sec.gov/Archives/edgar/data/1021561/000114036125004907/ef20039018_ex10-16.htm" TargetMode="External"/><Relationship Id="rId27" Type="http://schemas.openxmlformats.org/officeDocument/2006/relationships/hyperlink" Target="https://www.sec.gov/Archives/edgar/data/1021561/000114036125004907/ef20039018_ex19-1.htm" TargetMode="External"/><Relationship Id="rId28" Type="http://schemas.openxmlformats.org/officeDocument/2006/relationships/hyperlink" Target="https://www.sec.gov/Archives/edgar/data/1021561/000114036124008111/ef20015265_ex97-1.htm"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75359</Words>
  <Characters>421509</Characters>
  <CharactersWithSpaces>498369</CharactersWithSpaces>
  <Paragraphs>12661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