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tbl>
      <w:tblPr>
        <w:tblW w:w="6785" w:type="dxa"/>
        <w:jc w:val="left"/>
        <w:tblInd w:w="0" w:type="dxa"/>
        <w:tblLayout w:type="fixed"/>
        <w:tblCellMar>
          <w:top w:w="0" w:type="dxa"/>
          <w:left w:w="0" w:type="dxa"/>
          <w:bottom w:w="0" w:type="dxa"/>
          <w:right w:w="0" w:type="dxa"/>
        </w:tblCellMar>
      </w:tblPr>
      <w:tblGrid>
        <w:gridCol w:w="60"/>
        <w:gridCol w:w="6665"/>
        <w:gridCol w:w="60"/>
      </w:tblGrid>
      <w:tr>
        <w:trPr/>
        <w:tc>
          <w:tcPr>
            <w:tcW w:w="60" w:type="dxa"/>
            <w:tcBorders/>
            <w:vAlign w:val="center"/>
          </w:tcPr>
          <w:p>
            <w:pPr>
              <w:pStyle w:val="TableContents"/>
              <w:bidi w:val="0"/>
              <w:spacing w:before="0" w:after="283"/>
              <w:jc w:val="left"/>
              <w:rPr/>
            </w:pPr>
            <w:r>
              <w:rPr/>
              <w:t> </w:t>
            </w:r>
          </w:p>
        </w:tc>
        <w:tc>
          <w:tcPr>
            <w:tcW w:w="66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August 10, 2026</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center"/>
              <w:rPr/>
            </w:pPr>
            <w:r>
              <w:rPr/>
              <w:t xml:space="preserve">Date of Report (Date of earliest event reported)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NU SKIN ENTERPRISES,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center"/>
              <w:rPr/>
            </w:pPr>
            <w:r>
              <w:rPr/>
              <w:t xml:space="preserve">(Exact name of registrant as specified in its charter)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9030" w:type="dxa"/>
        <w:jc w:val="left"/>
        <w:tblInd w:w="0" w:type="dxa"/>
        <w:tblLayout w:type="fixed"/>
        <w:tblCellMar>
          <w:top w:w="0" w:type="dxa"/>
          <w:left w:w="0" w:type="dxa"/>
          <w:bottom w:w="28" w:type="dxa"/>
          <w:right w:w="0" w:type="dxa"/>
        </w:tblCellMar>
      </w:tblPr>
      <w:tblGrid>
        <w:gridCol w:w="3575"/>
        <w:gridCol w:w="60"/>
        <w:gridCol w:w="2210"/>
        <w:gridCol w:w="60"/>
        <w:gridCol w:w="312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001-12421</w:t>
            </w:r>
          </w:p>
        </w:tc>
        <w:tc>
          <w:tcPr>
            <w:tcW w:w="60" w:type="dxa"/>
            <w:tcBorders/>
            <w:tcMar>
              <w:bottom w:w="0" w:type="dxa"/>
            </w:tcMar>
            <w:vAlign w:val="center"/>
          </w:tcPr>
          <w:p>
            <w:pPr>
              <w:pStyle w:val="TableContents"/>
              <w:bidi w:val="0"/>
              <w:spacing w:before="0" w:after="283"/>
              <w:jc w:val="left"/>
              <w:rPr/>
            </w:pPr>
            <w:r>
              <w:rPr/>
              <w:t> </w:t>
            </w:r>
          </w:p>
        </w:tc>
        <w:tc>
          <w:tcPr>
            <w:tcW w:w="312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87-0565309</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spacing w:before="0" w:after="0"/>
        <w:jc w:val="left"/>
        <w:rPr>
          <w:sz w:val="20"/>
        </w:rPr>
      </w:pPr>
      <w:r>
        <w:rPr>
          <w:sz w:val="20"/>
        </w:rPr>
      </w:r>
    </w:p>
    <w:tbl>
      <w:tblPr>
        <w:tblW w:w="5225" w:type="dxa"/>
        <w:jc w:val="left"/>
        <w:tblInd w:w="0" w:type="dxa"/>
        <w:tblLayout w:type="fixed"/>
        <w:tblCellMar>
          <w:top w:w="0" w:type="dxa"/>
          <w:left w:w="0" w:type="dxa"/>
          <w:bottom w:w="0" w:type="dxa"/>
          <w:right w:w="0" w:type="dxa"/>
        </w:tblCellMar>
      </w:tblPr>
      <w:tblGrid>
        <w:gridCol w:w="75"/>
        <w:gridCol w:w="5075"/>
        <w:gridCol w:w="75"/>
      </w:tblGrid>
      <w:tr>
        <w:trPr/>
        <w:tc>
          <w:tcPr>
            <w:tcW w:w="75"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75 West Center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Provo, Utah 84601</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pPr>
            <w:r>
              <w:rPr/>
              <w:t xml:space="preserve">(Address of principal executive offices and zip code)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(801) 345-1000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pPr>
            <w:r>
              <w:rPr/>
              <w:t xml:space="preserve">(Registrant’s telephone number, including area code)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 (c))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400" w:type="dxa"/>
        <w:jc w:val="left"/>
        <w:tblInd w:w="-15" w:type="dxa"/>
        <w:tblLayout w:type="fixed"/>
        <w:tblCellMar>
          <w:top w:w="28" w:type="dxa"/>
          <w:left w:w="28" w:type="dxa"/>
          <w:bottom w:w="28" w:type="dxa"/>
          <w:right w:w="28" w:type="dxa"/>
        </w:tblCellMar>
      </w:tblPr>
      <w:tblGrid>
        <w:gridCol w:w="3290"/>
        <w:gridCol w:w="1535"/>
        <w:gridCol w:w="3575"/>
      </w:tblGrid>
      <w:tr>
        <w:trPr/>
        <w:tc>
          <w:tcPr>
            <w:tcW w:w="32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2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NUS</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8"/>
          <w:shd w:fill="FFFFFF" w:val="clear"/>
        </w:rPr>
      </w:pPr>
      <w:r>
        <w:rPr>
          <w:rFonts w:ascii="Times New Roman" w:hAnsi="Times New Roman"/>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8"/>
          <w:shd w:fill="FFFFFF" w:val="clear"/>
        </w:rPr>
        <w: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10, 2026, Nu Skin Enterprises, Inc. (the “Company”) issued a press release announcing its financial results for the three- and six-month periods ended June 30, 2026, and certain other information. A copy of the press release is attached as Exhibit 99.1 to this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furnished pursuant to this Item 2.02 and Exhibit 99.1 shall not be deemed “filed” for purposes of Section 18 of the Securities Exchange Act of 1934, as amended (the “Exchange Act”), and shall not be deemed to be incorporated by reference in any filing under the Securities Act of 1933, as amended, or the Exchange Act except as shall be expressly set forth by specific reference in such filing.</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1020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 Exhibits.</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pPr>
            <w:hyperlink w:anchor="ef20079831_ex99-1.htm">
              <w:r>
                <w:rPr>
                  <w:rStyle w:val="InternetLink"/>
                  <w:rFonts w:ascii="Times New Roman" w:hAnsi="Times New Roman"/>
                  <w:sz w:val="20"/>
                </w:rPr>
                <w:t>99.1</w:t>
              </w:r>
            </w:hyperlink>
          </w:p>
        </w:tc>
        <w:tc>
          <w:tcPr>
            <w:tcW w:w="9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Nu Skin Enterprises’ press release dated August 10, 2026, regarding financial results for the three- and six-month periods ended June 30, 2026.</w:t>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4524" w:type="dxa"/>
        <w:jc w:val="left"/>
        <w:tblInd w:w="0" w:type="dxa"/>
        <w:tblLayout w:type="fixed"/>
        <w:tblCellMar>
          <w:top w:w="0" w:type="dxa"/>
          <w:left w:w="0" w:type="dxa"/>
          <w:bottom w:w="0" w:type="dxa"/>
          <w:right w:w="0" w:type="dxa"/>
        </w:tblCellMar>
      </w:tblPr>
      <w:tblGrid>
        <w:gridCol w:w="1850"/>
        <w:gridCol w:w="2580"/>
        <w:gridCol w:w="94"/>
      </w:tblGrid>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NU SKIN ENTERPRISES, INC.</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58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Chelsea K. Lantz</w:t>
            </w:r>
          </w:p>
        </w:tc>
        <w:tc>
          <w:tcPr>
            <w:tcW w:w="94"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Chelsea K. Lantz</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r>
        <w:trPr/>
        <w:tc>
          <w:tcPr>
            <w:tcW w:w="1850" w:type="dxa"/>
            <w:tcBorders/>
            <w:vAlign w:val="center"/>
          </w:tcPr>
          <w:p>
            <w:pPr>
              <w:pStyle w:val="TableContents"/>
              <w:bidi w:val="0"/>
              <w:spacing w:before="0" w:after="283"/>
              <w:jc w:val="left"/>
              <w:rPr/>
            </w:pPr>
            <w:r>
              <w:rPr/>
              <w:t> </w:t>
            </w:r>
          </w:p>
        </w:tc>
        <w:tc>
          <w:tcPr>
            <w:tcW w:w="2674"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10, 2026</w:t>
            </w:r>
          </w:p>
        </w:tc>
        <w:tc>
          <w:tcPr>
            <w:tcW w:w="2674" w:type="dxa"/>
            <w:gridSpan w:val="2"/>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0" w:name="ef20079831_ex99-1.htm"/>
      <w:bookmarkStart w:id="1" w:name="ksef20079831_ex991"/>
      <w:bookmarkStart w:id="2" w:name="ef20079831_ex99-1.htm"/>
      <w:bookmarkStart w:id="3" w:name="ksef2007983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drawing>
          <wp:inline distT="0" distB="0" distL="0" distR="0">
            <wp:extent cx="2305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504825"/>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 IMMEDIATE RELEASE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Reports Second Quarter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PROVO, Utah — Aug. 10, 2026 —</w:t>
      </w:r>
      <w:r>
        <w:rPr>
          <w:rFonts w:ascii="Times New Roman" w:hAnsi="Times New Roman"/>
          <w:color w:val="000000"/>
          <w:sz w:val="24"/>
        </w:rPr>
        <w:t xml:space="preserve"> </w:t>
      </w:r>
      <w:r>
        <w:rPr>
          <w:rFonts w:ascii="Times New Roman" w:hAnsi="Times New Roman"/>
          <w:color w:val="000000"/>
          <w:sz w:val="20"/>
        </w:rPr>
        <w:t>Nu Skin Enterprises Inc. (NYSE: NUS) today announced second quarter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Q2 2026 vs. Prior-year Quarter</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4ee26e242338422a85947cf63f8e6f68"/>
      <w:bookmarkStart w:id="5" w:name="z4ee26e242338422a85947cf63f8e6f68"/>
      <w:bookmarkEnd w:id="5"/>
    </w:p>
    <w:tbl>
      <w:tblPr>
        <w:tblW w:w="9925" w:type="dxa"/>
        <w:jc w:val="left"/>
        <w:tblInd w:w="0" w:type="dxa"/>
        <w:tblLayout w:type="fixed"/>
        <w:tblCellMar>
          <w:top w:w="28" w:type="dxa"/>
          <w:left w:w="0" w:type="dxa"/>
          <w:bottom w:w="28" w:type="dxa"/>
          <w:right w:w="0" w:type="dxa"/>
        </w:tblCellMar>
      </w:tblPr>
      <w:tblGrid>
        <w:gridCol w:w="2210"/>
        <w:gridCol w:w="60"/>
        <w:gridCol w:w="60"/>
        <w:gridCol w:w="7595"/>
      </w:tblGrid>
      <w:tr>
        <w:trPr/>
        <w:tc>
          <w:tcPr>
            <w:tcW w:w="2210" w:type="dxa"/>
            <w:tcBorders>
              <w:top w:val="single" w:sz="12" w:space="0" w:color="000000"/>
              <w:bottom w:val="single" w:sz="12" w:space="0" w:color="000000"/>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Revenue</w:t>
            </w:r>
          </w:p>
        </w:tc>
        <w:tc>
          <w:tcPr>
            <w:tcW w:w="60" w:type="dxa"/>
            <w:tcBorders>
              <w:top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595" w:type="dxa"/>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$320.1 million; (17.1)%</w:t>
            </w:r>
          </w:p>
          <w:p>
            <w:pPr>
              <w:pStyle w:val="TableContents"/>
              <w:bidi w:val="0"/>
              <w:spacing w:before="0" w:after="0"/>
              <w:ind w:left="720" w:right="0" w:hanging="360"/>
              <w:jc w:val="left"/>
              <w:rPr/>
            </w:pPr>
            <w:r>
              <w:rPr/>
              <w:t>•          </w:t>
            </w:r>
            <w:r>
              <w:rPr>
                <w:rFonts w:ascii="Times New Roman" w:hAnsi="Times New Roman"/>
                <w:sz w:val="20"/>
              </w:rPr>
              <w:t>(1.0)% FX impact or $(4.0) million</w:t>
            </w:r>
          </w:p>
        </w:tc>
      </w:tr>
      <w:tr>
        <w:trPr/>
        <w:tc>
          <w:tcPr>
            <w:tcW w:w="221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Earnings Per Share (EPS)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$(5.14) or $0.20 excluding non-cash impairment and non-cash tax charges compared to $0.43</w:t>
            </w:r>
          </w:p>
        </w:tc>
      </w:tr>
      <w:tr>
        <w:trPr/>
        <w:tc>
          <w:tcPr>
            <w:tcW w:w="221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Customers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660,037; (14)%</w:t>
            </w:r>
          </w:p>
        </w:tc>
      </w:tr>
      <w:tr>
        <w:trPr/>
        <w:tc>
          <w:tcPr>
            <w:tcW w:w="221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Paid Affiliates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120,291; (8)%</w:t>
            </w:r>
          </w:p>
        </w:tc>
      </w:tr>
      <w:tr>
        <w:trPr/>
        <w:tc>
          <w:tcPr>
            <w:tcW w:w="221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Sales Leaders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26,998; (9)%</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We continue to make progress toward our long-term strategy with the continued rollout of Prysm iO and preparations for the formal launch of India,” said Ryan Napierski, Nu Skin president and CEO. “As these initiatives are taking hold, we are incorporating valuable learnings to strengthen our plans moving forward. At the same time, we are re-aligning our organizational resources to better position the business to drive sustainable, long-term value for our shareholders.”</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2</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Q2 2026 Year-over-year Operating Results</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6" w:name="zc57b3c6e80344113b2dce835bc01d61f"/>
      <w:bookmarkStart w:id="7" w:name="zc57b3c6e80344113b2dce835bc01d61f"/>
      <w:bookmarkEnd w:id="7"/>
    </w:p>
    <w:tbl>
      <w:tblPr>
        <w:tblW w:w="9775" w:type="dxa"/>
        <w:jc w:val="left"/>
        <w:tblInd w:w="0" w:type="dxa"/>
        <w:tblLayout w:type="fixed"/>
        <w:tblCellMar>
          <w:top w:w="28" w:type="dxa"/>
          <w:left w:w="0" w:type="dxa"/>
          <w:bottom w:w="28" w:type="dxa"/>
          <w:right w:w="0" w:type="dxa"/>
        </w:tblCellMar>
      </w:tblPr>
      <w:tblGrid>
        <w:gridCol w:w="2060"/>
        <w:gridCol w:w="60"/>
        <w:gridCol w:w="60"/>
        <w:gridCol w:w="7595"/>
      </w:tblGrid>
      <w:tr>
        <w:trPr/>
        <w:tc>
          <w:tcPr>
            <w:tcW w:w="2060" w:type="dxa"/>
            <w:tcBorders>
              <w:top w:val="single" w:sz="12" w:space="0" w:color="000000"/>
              <w:bottom w:val="single" w:sz="12" w:space="0" w:color="000000"/>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Revenue</w:t>
            </w:r>
          </w:p>
        </w:tc>
        <w:tc>
          <w:tcPr>
            <w:tcW w:w="60" w:type="dxa"/>
            <w:tcBorders>
              <w:top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595" w:type="dxa"/>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$320.1 million compared to $386.1 million</w:t>
            </w:r>
          </w:p>
          <w:p>
            <w:pPr>
              <w:pStyle w:val="TableContents"/>
              <w:bidi w:val="0"/>
              <w:spacing w:before="0" w:after="0"/>
              <w:ind w:left="720" w:right="0" w:hanging="360"/>
              <w:jc w:val="left"/>
              <w:rPr/>
            </w:pPr>
            <w:r>
              <w:rPr/>
              <w:t>•          </w:t>
            </w:r>
            <w:r>
              <w:rPr>
                <w:rFonts w:ascii="Times New Roman" w:hAnsi="Times New Roman"/>
                <w:sz w:val="20"/>
              </w:rPr>
              <w:t>(1.0)% FX impact or $(4.0) million</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Gross Margin</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68.2% compared to 68.8%</w:t>
            </w:r>
          </w:p>
          <w:p>
            <w:pPr>
              <w:pStyle w:val="TableContents"/>
              <w:bidi w:val="0"/>
              <w:spacing w:before="0" w:after="0"/>
              <w:ind w:left="720" w:right="0" w:hanging="360"/>
              <w:jc w:val="left"/>
              <w:rPr/>
            </w:pPr>
            <w:r>
              <w:rPr/>
              <w:t>•          </w:t>
            </w:r>
            <w:r>
              <w:rPr>
                <w:rFonts w:ascii="Times New Roman" w:hAnsi="Times New Roman"/>
                <w:sz w:val="20"/>
              </w:rPr>
              <w:t>Nu Skin business was 77.7% compared to 77.5%</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Selling Expenses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33.7% compared to 33.2%</w:t>
            </w:r>
          </w:p>
          <w:p>
            <w:pPr>
              <w:pStyle w:val="TableContents"/>
              <w:bidi w:val="0"/>
              <w:spacing w:before="0" w:after="0"/>
              <w:ind w:left="720" w:right="0" w:hanging="360"/>
              <w:jc w:val="left"/>
              <w:rPr/>
            </w:pPr>
            <w:r>
              <w:rPr/>
              <w:t>•          </w:t>
            </w:r>
            <w:r>
              <w:rPr>
                <w:rFonts w:ascii="Times New Roman" w:hAnsi="Times New Roman"/>
                <w:sz w:val="20"/>
              </w:rPr>
              <w:t>Nu Skin business was 39.8% compared to 40.0%</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G&amp;A Expenses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28.4% compared to 27.6%</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Operating Margin</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(18.5)% or 6.1% excluding non-cash impairment charge compared to 8.0%</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Interest Expense</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$3.3 million compared to $2.5 million</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Other Income (Expense)</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$(0.5) million compared to $(0.8) million</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Income Tax Rate</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(295.4)% or 36.6% excluding non-cash tax charge compared to 23.0%</w:t>
            </w:r>
          </w:p>
        </w:tc>
      </w:tr>
      <w:tr>
        <w:trPr/>
        <w:tc>
          <w:tcPr>
            <w:tcW w:w="2060"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EPS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59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$(5.14) or $0.20 excluding non-cash impairment and non-cash tax charges compared to $0.43</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Stockholder Value</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8" w:name="z36d4a573b55b436e9713640713f662b1"/>
      <w:bookmarkStart w:id="9" w:name="z36d4a573b55b436e9713640713f662b1"/>
      <w:bookmarkEnd w:id="9"/>
    </w:p>
    <w:tbl>
      <w:tblPr>
        <w:tblW w:w="5920" w:type="dxa"/>
        <w:jc w:val="left"/>
        <w:tblInd w:w="0" w:type="dxa"/>
        <w:tblLayout w:type="fixed"/>
        <w:tblCellMar>
          <w:top w:w="28" w:type="dxa"/>
          <w:left w:w="0" w:type="dxa"/>
          <w:bottom w:w="28" w:type="dxa"/>
          <w:right w:w="0" w:type="dxa"/>
        </w:tblCellMar>
      </w:tblPr>
      <w:tblGrid>
        <w:gridCol w:w="1655"/>
        <w:gridCol w:w="60"/>
        <w:gridCol w:w="60"/>
        <w:gridCol w:w="4145"/>
      </w:tblGrid>
      <w:tr>
        <w:trPr/>
        <w:tc>
          <w:tcPr>
            <w:tcW w:w="1655" w:type="dxa"/>
            <w:tcBorders>
              <w:top w:val="single" w:sz="12" w:space="0" w:color="000000"/>
              <w:bottom w:val="single" w:sz="12" w:space="0" w:color="000000"/>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Dividend Payments</w:t>
            </w:r>
          </w:p>
        </w:tc>
        <w:tc>
          <w:tcPr>
            <w:tcW w:w="60" w:type="dxa"/>
            <w:tcBorders>
              <w:top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4145" w:type="dxa"/>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$2.9 million</w:t>
            </w:r>
          </w:p>
        </w:tc>
      </w:tr>
      <w:tr>
        <w:trPr/>
        <w:tc>
          <w:tcPr>
            <w:tcW w:w="165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Stock Repurchases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414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$0.0 million</w:t>
            </w:r>
          </w:p>
          <w:p>
            <w:pPr>
              <w:pStyle w:val="TableContents"/>
              <w:bidi w:val="0"/>
              <w:spacing w:before="0" w:after="0"/>
              <w:ind w:left="720" w:right="0" w:hanging="360"/>
              <w:jc w:val="left"/>
              <w:rPr/>
            </w:pPr>
            <w:r>
              <w:rPr/>
              <w:t>•          </w:t>
            </w:r>
            <w:r>
              <w:rPr>
                <w:rFonts w:ascii="Times New Roman" w:hAnsi="Times New Roman"/>
                <w:sz w:val="20"/>
              </w:rPr>
              <w:t>$137.3 million remaining in authorization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Q3 and Full-year 2026 Outlook</w:t>
      </w:r>
    </w:p>
    <w:p>
      <w:pPr>
        <w:pStyle w:val="TextBody"/>
        <w:bidi w:val="0"/>
        <w:spacing w:before="0" w:after="0"/>
        <w:jc w:val="left"/>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10" w:name="z1a94fcef6cee4d0e9c806b0cfd965ec9"/>
      <w:bookmarkStart w:id="11" w:name="z1a94fcef6cee4d0e9c806b0cfd965ec9"/>
      <w:bookmarkEnd w:id="11"/>
    </w:p>
    <w:tbl>
      <w:tblPr>
        <w:tblW w:w="6190" w:type="dxa"/>
        <w:jc w:val="left"/>
        <w:tblInd w:w="0" w:type="dxa"/>
        <w:tblLayout w:type="fixed"/>
        <w:tblCellMar>
          <w:top w:w="28" w:type="dxa"/>
          <w:left w:w="0" w:type="dxa"/>
          <w:bottom w:w="28" w:type="dxa"/>
          <w:right w:w="0" w:type="dxa"/>
        </w:tblCellMar>
      </w:tblPr>
      <w:tblGrid>
        <w:gridCol w:w="1505"/>
        <w:gridCol w:w="60"/>
        <w:gridCol w:w="60"/>
        <w:gridCol w:w="4565"/>
      </w:tblGrid>
      <w:tr>
        <w:trPr/>
        <w:tc>
          <w:tcPr>
            <w:tcW w:w="1505" w:type="dxa"/>
            <w:tcBorders>
              <w:top w:val="single" w:sz="12" w:space="0" w:color="000000"/>
              <w:bottom w:val="single" w:sz="12" w:space="0" w:color="000000"/>
            </w:tcBorders>
            <w:vAlign w:val="center"/>
          </w:tcPr>
          <w:p>
            <w:pPr>
              <w:pStyle w:val="TableContents"/>
              <w:bidi w:val="0"/>
              <w:spacing w:before="0" w:after="0"/>
              <w:jc w:val="right"/>
              <w:rPr>
                <w:rFonts w:ascii="Times New Roman" w:hAnsi="Times New Roman"/>
                <w:b/>
                <w:sz w:val="20"/>
              </w:rPr>
            </w:pPr>
            <w:r>
              <w:rPr>
                <w:rFonts w:ascii="Times New Roman" w:hAnsi="Times New Roman"/>
                <w:b/>
                <w:sz w:val="20"/>
              </w:rPr>
              <w:t>Q3 2026 Revenue</w:t>
            </w:r>
          </w:p>
        </w:tc>
        <w:tc>
          <w:tcPr>
            <w:tcW w:w="60" w:type="dxa"/>
            <w:tcBorders>
              <w:top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left"/>
              <w:rPr/>
            </w:pPr>
            <w:r>
              <w:rPr/>
              <w:t> </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4565" w:type="dxa"/>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sz w:val="20"/>
              </w:rPr>
            </w:pPr>
            <w:bookmarkStart w:id="12" w:name="z_Hlk480964837"/>
            <w:bookmarkEnd w:id="12"/>
            <w:r>
              <w:rPr>
                <w:rFonts w:ascii="Times New Roman" w:hAnsi="Times New Roman"/>
                <w:sz w:val="20"/>
              </w:rPr>
              <w:t>$310 to $340 million; (15)% to (7)%</w:t>
            </w:r>
          </w:p>
          <w:p>
            <w:pPr>
              <w:pStyle w:val="TableContents"/>
              <w:bidi w:val="0"/>
              <w:spacing w:before="0" w:after="0"/>
              <w:ind w:left="720" w:right="0" w:hanging="360"/>
              <w:jc w:val="left"/>
              <w:rPr/>
            </w:pPr>
            <w:r>
              <w:rPr/>
              <w:t>•          </w:t>
            </w:r>
            <w:r>
              <w:rPr>
                <w:rFonts w:ascii="Times New Roman" w:hAnsi="Times New Roman"/>
                <w:sz w:val="20"/>
              </w:rPr>
              <w:t>Approximately (3) to (2)% FX impact</w:t>
            </w:r>
          </w:p>
        </w:tc>
      </w:tr>
      <w:tr>
        <w:trPr/>
        <w:tc>
          <w:tcPr>
            <w:tcW w:w="150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Q3 2026 EPS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456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$0.00 to $0.09 or $0.10 to $0.20 on an adjusted basis</w:t>
            </w:r>
          </w:p>
        </w:tc>
      </w:tr>
      <w:tr>
        <w:trPr/>
        <w:tc>
          <w:tcPr>
            <w:tcW w:w="150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2026 Revenue</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456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bookmarkStart w:id="13" w:name="z_Hlk480964947"/>
            <w:bookmarkEnd w:id="13"/>
            <w:r>
              <w:rPr>
                <w:rFonts w:ascii="Times New Roman" w:hAnsi="Times New Roman"/>
                <w:sz w:val="20"/>
              </w:rPr>
              <w:t>$1.28 to $1.35 billion;  (14)% to (9)%</w:t>
            </w:r>
          </w:p>
          <w:p>
            <w:pPr>
              <w:pStyle w:val="TableContents"/>
              <w:bidi w:val="0"/>
              <w:spacing w:before="0" w:after="0"/>
              <w:ind w:left="720" w:right="0" w:hanging="360"/>
              <w:jc w:val="left"/>
              <w:rPr/>
            </w:pPr>
            <w:r>
              <w:rPr/>
              <w:t>•          </w:t>
            </w:r>
            <w:r>
              <w:rPr>
                <w:rFonts w:ascii="Times New Roman" w:hAnsi="Times New Roman"/>
                <w:sz w:val="20"/>
              </w:rPr>
              <w:t>Approximately (1)% FX impact</w:t>
            </w:r>
          </w:p>
        </w:tc>
      </w:tr>
      <w:tr>
        <w:trPr/>
        <w:tc>
          <w:tcPr>
            <w:tcW w:w="1505" w:type="dxa"/>
            <w:tcBorders>
              <w:bottom w:val="single" w:sz="12" w:space="0" w:color="000000"/>
            </w:tcBorders>
            <w:tcMar>
              <w:top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2026 EPS</w:t>
            </w:r>
          </w:p>
        </w:tc>
        <w:tc>
          <w:tcPr>
            <w:tcW w:w="60" w:type="dxa"/>
            <w:tcBorders>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4565" w:type="dxa"/>
            <w:tcBorders>
              <w:bottom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($4.90) to ($4.73) or $0.70 to $0.90 on an adjusted basis</w:t>
            </w:r>
          </w:p>
        </w:tc>
      </w:tr>
    </w:tbl>
    <w:p>
      <w:pPr>
        <w:pStyle w:val="TextBody"/>
        <w:bidi w:val="0"/>
        <w:spacing w:before="0" w:after="0"/>
        <w:jc w:val="left"/>
        <w:rPr>
          <w:sz w:val="20"/>
        </w:rPr>
      </w:pPr>
      <w:r>
        <w:rPr>
          <w:sz w:val="20"/>
        </w:rPr>
      </w:r>
      <w:bookmarkStart w:id="14" w:name="z_Hlk480965013"/>
      <w:bookmarkStart w:id="15" w:name="z_Hlk480961062"/>
      <w:bookmarkStart w:id="16" w:name="z_Hlk480965013"/>
      <w:bookmarkStart w:id="17" w:name="z_Hlk480961062"/>
      <w:bookmarkEnd w:id="16"/>
      <w:bookmarkEnd w:id="17"/>
    </w:p>
    <w:p>
      <w:pPr>
        <w:pStyle w:val="TextBody"/>
        <w:bidi w:val="0"/>
        <w:spacing w:before="0" w:after="0"/>
        <w:jc w:val="left"/>
        <w:rPr>
          <w:color w:val="000000"/>
        </w:rPr>
      </w:pPr>
      <w:r>
        <w:rPr>
          <w:color w:val="000000"/>
        </w:rPr>
        <w:t>“</w:t>
      </w:r>
      <w:r>
        <w:rPr>
          <w:rFonts w:ascii="Times New Roman" w:hAnsi="Times New Roman"/>
          <w:color w:val="000000"/>
          <w:sz w:val="20"/>
        </w:rPr>
        <w:t>We delivered adjusted earnings per share near the midpoint of our guidance, reflecting our ongoing focus on profitability and disciplined execution,” said Chelsea Lantz, interim chief financial officer. “Based on our first-half performance and outlook for the rest of the year, we are updating our annual guidance to revenue of $1.28 billion to $1.35 billion and adjusted earnings per share of $0.70 to $0.90. For the third quarter, we expect revenue between $310 million and $340 million, with adjusted earnings per share in the range of $0.10 to $0.20.”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3</w:t>
            </w:r>
          </w:p>
        </w:tc>
      </w:tr>
    </w:tbl>
    <w:p>
      <w:pPr>
        <w:pStyle w:val="TextBody"/>
        <w:bidi w:val="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Nu Skin Enterprises management team will host a conference call with the investment community today at 5 p.m. (ET). Those wishing to access the webcast, as well as the financial information presented during the call, can visit the Investor Relations page on the company's website at ir.nuskin.com. A replay of the webcast will be available on the same page through Aug. 24,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Nu Skin Enterprises Inc.</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4"/>
        </w:rPr>
      </w:pPr>
      <w:r>
        <w:rPr>
          <w:rFonts w:ascii="Times New Roman" w:hAnsi="Times New Roman"/>
          <w:color w:val="000000"/>
          <w:sz w:val="20"/>
        </w:rPr>
        <w:t>Nu Skin Enterprises Inc.</w:t>
      </w:r>
      <w:r>
        <w:rPr>
          <w:rFonts w:ascii="Times New Roman" w:hAnsi="Times New Roman"/>
          <w:color w:val="272525"/>
          <w:sz w:val="24"/>
        </w:rPr>
        <w:t xml:space="preserve"> </w:t>
      </w:r>
      <w:r>
        <w:rPr>
          <w:rFonts w:ascii="Times New Roman" w:hAnsi="Times New Roman"/>
          <w:color w:val="272525"/>
          <w:sz w:val="20"/>
        </w:rPr>
        <w:t>(NYSE: NUS) is an intelligent beauty and wellness company, powered by a dynamic affiliate opportunity platform, which operates in nearly 50 markets worldwide. Backed by more than 40 years of scientific research, the company’s products help people look, feel and live their best with our newly introduced Prysm iO intelligent wellness platform, an award-winning line of beauty device systems and trusted brands in personal care and wellness products. Rhyz is the strategic investment arm of Nu Skin Enterprises, formed in 2018 consisting of synergistic consumer, technology and manufacturing companies focused on innovation within the beauty, wellness and lifestyle categories.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b/>
          <w:i/>
          <w:color w:val="000000"/>
          <w:sz w:val="20"/>
        </w:rPr>
        <w:t xml:space="preserve">Important Information Regarding Forward-Looking Statements: </w:t>
      </w:r>
      <w:r>
        <w:rPr>
          <w:rFonts w:ascii="Times New Roman" w:hAnsi="Times New Roman"/>
          <w:i/>
          <w:color w:val="000000"/>
          <w:sz w:val="20"/>
        </w:rPr>
        <w:t>This press release contains forward-looking statements within the meaning of Section 27A of the Securities Act of 1933, as amended, and Section 21E of the Securities Exchange Act of 1934, as amended, that represent the company’s current expectations and beliefs. All statements other than statements of historical fact are “forward-looking statements” for purposes of federal and state securities laws and include, but are not limited to, statements of management’s expectations regarding the company’s performance, growth, initiatives, shareholder value, Prysm launch and its timing, and India expansion; projections regarding revenue, expenses, margins, tax rates, earnings per share, foreign currency fluctuations, uses of cash, financial position and other financial items; statements of belief; and statements of assumptions underlying any of the foregoing. In some cases, you can identify these statements by forward-looking words such as “believe,” “expect,” “become,” “drive,” “project,” “outlook,” “guidance,” “will,” “would,” “could,” “may,” “might,” the negative of these words and other similar words.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forward-looking statements and related assumptions involve risks and uncertainties that could cause actual results and outcomes to differ materially from any forward-looking statements or views expressed herein. These risks and uncertainties include, but are not limited to, the following:</w:t>
      </w:r>
    </w:p>
    <w:p>
      <w:pPr>
        <w:pStyle w:val="Normal"/>
        <w:bidi w:val="0"/>
        <w:spacing w:before="0" w:after="0"/>
        <w:jc w:val="left"/>
        <w:rPr>
          <w:sz w:val="4"/>
          <w:szCs w:val="4"/>
        </w:rPr>
      </w:pPr>
      <w:r>
        <w:rPr>
          <w:sz w:val="4"/>
          <w:szCs w:val="4"/>
        </w:rPr>
      </w:r>
      <w:bookmarkStart w:id="18" w:name="zdebff36634f34fcfb3e9c5442e693a92"/>
      <w:bookmarkStart w:id="19" w:name="zdebff36634f34fcfb3e9c5442e693a92"/>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any failure of current or planned initiatives or products to generate interest among the company’s sales force and customers and generate sponsoring and selling activities on a sustained basis;</w:t>
            </w:r>
          </w:p>
        </w:tc>
      </w:tr>
    </w:tbl>
    <w:p>
      <w:pPr>
        <w:pStyle w:val="Normal"/>
        <w:bidi w:val="0"/>
        <w:spacing w:before="0" w:after="0"/>
        <w:jc w:val="left"/>
        <w:rPr>
          <w:sz w:val="4"/>
          <w:szCs w:val="4"/>
        </w:rPr>
      </w:pPr>
      <w:r>
        <w:rPr>
          <w:sz w:val="4"/>
          <w:szCs w:val="4"/>
        </w:rPr>
      </w:r>
      <w:bookmarkStart w:id="20" w:name="z1ada7d9ece614257adac7776d5438834"/>
      <w:bookmarkStart w:id="21" w:name="z1ada7d9ece614257adac7776d5438834"/>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risk that direct selling laws and regulations in any of the company’s markets, including the United States and Mainland China, may be modified, interpreted or enforced in a manner that results in negative changes to the company’s business model or negatively impacts its revenue, sales force or business, including through the interruption of sales activities, loss of licenses, increased scrutiny of sales force actions, imposition of fines, or any other adverse actions or events;</w:t>
            </w:r>
          </w:p>
        </w:tc>
      </w:tr>
    </w:tbl>
    <w:p>
      <w:pPr>
        <w:pStyle w:val="Normal"/>
        <w:bidi w:val="0"/>
        <w:spacing w:before="0" w:after="0"/>
        <w:jc w:val="left"/>
        <w:rPr>
          <w:sz w:val="4"/>
          <w:szCs w:val="4"/>
        </w:rPr>
      </w:pPr>
      <w:r>
        <w:rPr>
          <w:sz w:val="4"/>
          <w:szCs w:val="4"/>
        </w:rPr>
      </w:r>
      <w:bookmarkStart w:id="22" w:name="z3b63b860ef28488585f04c979e43825b"/>
      <w:bookmarkStart w:id="23" w:name="z3b63b860ef28488585f04c979e43825b"/>
      <w:bookmarkEnd w:id="23"/>
    </w:p>
    <w:tbl>
      <w:tblPr>
        <w:tblW w:w="3588" w:type="dxa"/>
        <w:jc w:val="left"/>
        <w:tblInd w:w="0" w:type="dxa"/>
        <w:tblLayout w:type="fixed"/>
        <w:tblCellMar>
          <w:top w:w="0" w:type="dxa"/>
          <w:left w:w="0" w:type="dxa"/>
          <w:bottom w:w="0" w:type="dxa"/>
          <w:right w:w="0" w:type="dxa"/>
        </w:tblCellMar>
      </w:tblPr>
      <w:tblGrid>
        <w:gridCol w:w="38"/>
        <w:gridCol w:w="110"/>
        <w:gridCol w:w="34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economic conditions and events globally;</w:t>
            </w:r>
          </w:p>
        </w:tc>
      </w:tr>
    </w:tbl>
    <w:p>
      <w:pPr>
        <w:pStyle w:val="TextBody"/>
        <w:bidi w:val="0"/>
        <w:spacing w:before="0" w:after="0"/>
        <w:jc w:val="left"/>
        <w:rPr/>
      </w:pPr>
      <w:r>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4</w:t>
            </w:r>
          </w:p>
        </w:tc>
      </w:tr>
    </w:tbl>
    <w:p>
      <w:pPr>
        <w:pStyle w:val="Normal"/>
        <w:bidi w:val="0"/>
        <w:spacing w:before="0" w:after="0"/>
        <w:jc w:val="left"/>
        <w:rPr>
          <w:sz w:val="4"/>
          <w:szCs w:val="4"/>
        </w:rPr>
      </w:pPr>
      <w:r>
        <w:rPr>
          <w:sz w:val="4"/>
          <w:szCs w:val="4"/>
        </w:rPr>
      </w:r>
      <w:bookmarkStart w:id="24" w:name="z5bfce996284e4408b548856c096d30f9"/>
      <w:bookmarkStart w:id="25" w:name="z5bfce996284e4408b548856c096d30f9"/>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the company’s future tax-planning initiatives, any prospective or retrospective increases in duties or tariffs on the company’s products imported into the company’s markets, and any adverse results of tax audits or unfavorable changes to tax laws in the company’s various markets;</w:t>
            </w:r>
          </w:p>
        </w:tc>
      </w:tr>
    </w:tbl>
    <w:p>
      <w:pPr>
        <w:pStyle w:val="Normal"/>
        <w:bidi w:val="0"/>
        <w:spacing w:before="0" w:after="0"/>
        <w:jc w:val="left"/>
        <w:rPr>
          <w:sz w:val="4"/>
          <w:szCs w:val="4"/>
        </w:rPr>
      </w:pPr>
      <w:r>
        <w:rPr>
          <w:sz w:val="4"/>
          <w:szCs w:val="4"/>
        </w:rPr>
      </w:r>
      <w:bookmarkStart w:id="26" w:name="zcf3dffa4167e4c359d61b0fa76c916bb"/>
      <w:bookmarkStart w:id="27" w:name="zcf3dffa4167e4c359d61b0fa76c916bb"/>
      <w:bookmarkEnd w:id="27"/>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competitive pressures in the company’s markets;</w:t>
            </w:r>
          </w:p>
        </w:tc>
      </w:tr>
    </w:tbl>
    <w:p>
      <w:pPr>
        <w:pStyle w:val="Normal"/>
        <w:bidi w:val="0"/>
        <w:spacing w:before="0" w:after="0"/>
        <w:jc w:val="left"/>
        <w:rPr>
          <w:sz w:val="4"/>
          <w:szCs w:val="4"/>
        </w:rPr>
      </w:pPr>
      <w:r>
        <w:rPr>
          <w:sz w:val="4"/>
          <w:szCs w:val="4"/>
        </w:rPr>
      </w:r>
      <w:bookmarkStart w:id="28" w:name="z4c9097dc30e241bcb344e74272d551a8"/>
      <w:bookmarkStart w:id="29" w:name="z4c9097dc30e241bcb344e74272d551a8"/>
      <w:bookmarkEnd w:id="29"/>
    </w:p>
    <w:tbl>
      <w:tblPr>
        <w:tblW w:w="8943" w:type="dxa"/>
        <w:jc w:val="left"/>
        <w:tblInd w:w="0" w:type="dxa"/>
        <w:tblLayout w:type="fixed"/>
        <w:tblCellMar>
          <w:top w:w="0" w:type="dxa"/>
          <w:left w:w="0" w:type="dxa"/>
          <w:bottom w:w="0" w:type="dxa"/>
          <w:right w:w="0" w:type="dxa"/>
        </w:tblCellMar>
      </w:tblPr>
      <w:tblGrid>
        <w:gridCol w:w="38"/>
        <w:gridCol w:w="110"/>
        <w:gridCol w:w="8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risk that epidemics or other crises, as well as any related disruptions, could negatively impact our business;</w:t>
            </w:r>
          </w:p>
        </w:tc>
      </w:tr>
    </w:tbl>
    <w:p>
      <w:pPr>
        <w:pStyle w:val="Normal"/>
        <w:bidi w:val="0"/>
        <w:spacing w:before="0" w:after="0"/>
        <w:jc w:val="left"/>
        <w:rPr>
          <w:sz w:val="4"/>
          <w:szCs w:val="4"/>
        </w:rPr>
      </w:pPr>
      <w:r>
        <w:rPr>
          <w:sz w:val="4"/>
          <w:szCs w:val="4"/>
        </w:rPr>
      </w:r>
      <w:bookmarkStart w:id="30" w:name="z58d43a7a99fc41ddb6c37d165c3c8a6d"/>
      <w:bookmarkStart w:id="31" w:name="z58d43a7a99fc41ddb6c37d165c3c8a6d"/>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adverse publicity related to the company’s business, products, industry or any legal actions or complaints by the company’s sales force or others;</w:t>
            </w:r>
          </w:p>
        </w:tc>
      </w:tr>
    </w:tbl>
    <w:p>
      <w:pPr>
        <w:pStyle w:val="Normal"/>
        <w:bidi w:val="0"/>
        <w:spacing w:before="0" w:after="0"/>
        <w:jc w:val="left"/>
        <w:rPr>
          <w:sz w:val="4"/>
          <w:szCs w:val="4"/>
        </w:rPr>
      </w:pPr>
      <w:r>
        <w:rPr>
          <w:sz w:val="4"/>
          <w:szCs w:val="4"/>
        </w:rPr>
      </w:r>
      <w:bookmarkStart w:id="32" w:name="zfb5f4d5e8a6a40acb66055a5e28ed4e9"/>
      <w:bookmarkStart w:id="33" w:name="zfb5f4d5e8a6a40acb66055a5e28ed4e9"/>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political, legal, tax and regulatory uncertainties, including trade policies, associated with operating in Mainland China and other international markets;</w:t>
            </w:r>
          </w:p>
        </w:tc>
      </w:tr>
    </w:tbl>
    <w:p>
      <w:pPr>
        <w:pStyle w:val="Normal"/>
        <w:bidi w:val="0"/>
        <w:spacing w:before="0" w:after="0"/>
        <w:jc w:val="left"/>
        <w:rPr>
          <w:sz w:val="4"/>
          <w:szCs w:val="4"/>
        </w:rPr>
      </w:pPr>
      <w:r>
        <w:rPr>
          <w:sz w:val="4"/>
          <w:szCs w:val="4"/>
        </w:rPr>
      </w:r>
      <w:bookmarkStart w:id="34" w:name="z8bd2072a669443f993793c4d4c7c221c"/>
      <w:bookmarkStart w:id="35" w:name="z8bd2072a669443f993793c4d4c7c221c"/>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uncertainty regarding meeting restrictions and other government scrutiny in Mainland China, as well as negative media and consumer sentiment in Mainland China on our business operations and results;</w:t>
            </w:r>
          </w:p>
        </w:tc>
      </w:tr>
    </w:tbl>
    <w:p>
      <w:pPr>
        <w:pStyle w:val="Normal"/>
        <w:bidi w:val="0"/>
        <w:spacing w:before="0" w:after="0"/>
        <w:jc w:val="left"/>
        <w:rPr>
          <w:sz w:val="4"/>
          <w:szCs w:val="4"/>
        </w:rPr>
      </w:pPr>
      <w:r>
        <w:rPr>
          <w:sz w:val="4"/>
          <w:szCs w:val="4"/>
        </w:rPr>
      </w:r>
      <w:bookmarkStart w:id="36" w:name="zc10e3acade1646a9b00dafffdaf59814"/>
      <w:bookmarkStart w:id="37" w:name="zc10e3acade1646a9b00dafffdaf59814"/>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risk of foreign-currency fluctuations and the currency translation impact on the company’s business associated with these fluctuations;</w:t>
            </w:r>
          </w:p>
        </w:tc>
      </w:tr>
    </w:tbl>
    <w:p>
      <w:pPr>
        <w:pStyle w:val="Normal"/>
        <w:bidi w:val="0"/>
        <w:spacing w:before="0" w:after="0"/>
        <w:jc w:val="left"/>
        <w:rPr>
          <w:sz w:val="4"/>
          <w:szCs w:val="4"/>
        </w:rPr>
      </w:pPr>
      <w:r>
        <w:rPr>
          <w:sz w:val="4"/>
          <w:szCs w:val="4"/>
        </w:rPr>
      </w:r>
      <w:bookmarkStart w:id="38" w:name="z831c9d6287654779b20f582dcba2c6bf"/>
      <w:bookmarkStart w:id="39" w:name="z831c9d6287654779b20f582dcba2c6bf"/>
      <w:bookmarkEnd w:id="39"/>
    </w:p>
    <w:tbl>
      <w:tblPr>
        <w:tblW w:w="8508" w:type="dxa"/>
        <w:jc w:val="left"/>
        <w:tblInd w:w="0" w:type="dxa"/>
        <w:tblLayout w:type="fixed"/>
        <w:tblCellMar>
          <w:top w:w="0" w:type="dxa"/>
          <w:left w:w="0" w:type="dxa"/>
          <w:bottom w:w="0" w:type="dxa"/>
          <w:right w:w="0" w:type="dxa"/>
        </w:tblCellMar>
      </w:tblPr>
      <w:tblGrid>
        <w:gridCol w:w="38"/>
        <w:gridCol w:w="110"/>
        <w:gridCol w:w="8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uncertainties regarding the future financial performance of the businesses the company has acquired;</w:t>
            </w:r>
          </w:p>
        </w:tc>
      </w:tr>
    </w:tbl>
    <w:p>
      <w:pPr>
        <w:pStyle w:val="Normal"/>
        <w:bidi w:val="0"/>
        <w:spacing w:before="0" w:after="0"/>
        <w:jc w:val="left"/>
        <w:rPr>
          <w:sz w:val="4"/>
          <w:szCs w:val="4"/>
        </w:rPr>
      </w:pPr>
      <w:r>
        <w:rPr>
          <w:sz w:val="4"/>
          <w:szCs w:val="4"/>
        </w:rPr>
      </w:r>
      <w:bookmarkStart w:id="40" w:name="z83cdd34409ee48a891bfc867efd3daf0"/>
      <w:bookmarkStart w:id="41" w:name="z83cdd34409ee48a891bfc867efd3daf0"/>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risks related to accurately predicting, delivering or maintaining sufficient quantities of products to support planned initiatives or launch strategies, and increased risk of inventory write-offs if the company over-forecasts demand for a product or changes its planned initiatives or launch strategies; and</w:t>
            </w:r>
          </w:p>
        </w:tc>
      </w:tr>
    </w:tbl>
    <w:p>
      <w:pPr>
        <w:pStyle w:val="Normal"/>
        <w:bidi w:val="0"/>
        <w:spacing w:before="0" w:after="0"/>
        <w:jc w:val="left"/>
        <w:rPr>
          <w:sz w:val="4"/>
          <w:szCs w:val="4"/>
        </w:rPr>
      </w:pPr>
      <w:r>
        <w:rPr>
          <w:sz w:val="4"/>
          <w:szCs w:val="4"/>
        </w:rPr>
      </w:r>
      <w:bookmarkStart w:id="42" w:name="z8133138949d2454f8639624b365cccaf"/>
      <w:bookmarkStart w:id="43" w:name="z8133138949d2454f8639624b365cccaf"/>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regulatory risks associated with the company’s products, which could require the company to modify its claims or inhibit its ability to import or continue selling a product in a market if the product is determined to be a medical device or if the company is unable to register the product in a timely manner under applicable regulatory requirements.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company’s financial performance and the forward-looking statements contained herein are further qualified by a detailed discussion of associated risks set forth in the documents filed by the company with the Securities and Exchange Commission. The forward-looking statements set forth the company’s beliefs as of the date that such information was first provided, and the company assumes no duty to update the forward-looking statements contained in this release to reflect any change except as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b/>
          <w:i/>
          <w:color w:val="000000"/>
          <w:sz w:val="20"/>
        </w:rPr>
        <w:t>Non-GAAP Financial Measures:</w:t>
      </w:r>
      <w:r>
        <w:rPr>
          <w:rFonts w:ascii="Times New Roman" w:hAnsi="Times New Roman"/>
          <w:i/>
          <w:color w:val="000000"/>
          <w:sz w:val="20"/>
        </w:rPr>
        <w:t xml:space="preserve"> 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The company believes that constant-currency revenue change is useful to investors, lenders and analysts because such information enables them to gauge the impact of foreign-currency fluctuations on the company’s revenue from period to period.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Earnings per share, operating margin, and income tax rate, each excluding impairment charges, tax charges, and/or other charges, also are non-GAAP financial measures.</w:t>
      </w:r>
    </w:p>
    <w:p>
      <w:pPr>
        <w:pStyle w:val="Normal"/>
        <w:bidi w:val="0"/>
        <w:spacing w:before="0" w:after="0"/>
        <w:jc w:val="left"/>
        <w:rPr>
          <w:sz w:val="4"/>
          <w:szCs w:val="4"/>
        </w:rPr>
      </w:pPr>
      <w:r>
        <w:rPr>
          <w:sz w:val="4"/>
          <w:szCs w:val="4"/>
        </w:rPr>
      </w:r>
      <w:bookmarkStart w:id="44" w:name="zff98c750e4ae4fdaaaf3e08fb0944234"/>
      <w:bookmarkStart w:id="45" w:name="zff98c750e4ae4fdaaaf3e08fb0944234"/>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Impairment charges and the tax charge incurred in the second quarter of 2026 are not part of the ongoing operations of our underlying business; and</w:t>
            </w:r>
          </w:p>
        </w:tc>
      </w:tr>
    </w:tbl>
    <w:p>
      <w:pPr>
        <w:pStyle w:val="Normal"/>
        <w:bidi w:val="0"/>
        <w:spacing w:before="0" w:after="0"/>
        <w:jc w:val="left"/>
        <w:rPr>
          <w:sz w:val="4"/>
          <w:szCs w:val="4"/>
        </w:rPr>
      </w:pPr>
      <w:r>
        <w:rPr>
          <w:sz w:val="4"/>
          <w:szCs w:val="4"/>
        </w:rPr>
      </w:r>
      <w:bookmarkStart w:id="46" w:name="z475cc63c602c417cb8d58d7b57d1bf1e"/>
      <w:bookmarkStart w:id="47" w:name="z475cc63c602c417cb8d58d7b57d1bf1e"/>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The other charges incurred in connection with certain corporate actions, as described in the footnotes to the non-GAAP reconciliation tables below, are not part of our ongoing operations.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The company believes that these non-GAAP financial measures are useful to investors, lenders and analysts because removing the impact of these items facilitates period-to-period comparisons of the company’s performance. Please see the reconciliations of these items to our earnings per share, gross margin, operating margin, income tax rate and revenue growth rate calculated under GAAP, below.</w:t>
      </w:r>
    </w:p>
    <w:p>
      <w:pPr>
        <w:pStyle w:val="TextBody"/>
        <w:bidi w:val="0"/>
        <w:spacing w:before="0" w:after="0"/>
        <w:jc w:val="both"/>
        <w:rPr>
          <w:rFonts w:ascii="Times New Roman" w:hAnsi="Times New Roman"/>
          <w:i/>
          <w:sz w:val="20"/>
        </w:rPr>
      </w:pPr>
      <w:r>
        <w:rPr>
          <w:rFonts w:ascii="Times New Roman" w:hAnsi="Times New Roman"/>
          <w:i/>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5</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sets forth revenue for the three-month periods ended June 30, 2026, and 2025 for each of our reportable segments (U.S.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48" w:name="zea94d5a76f904dfd9dbe011064cbd556"/>
      <w:bookmarkStart w:id="49" w:name="zea94d5a76f904dfd9dbe011064cbd556"/>
      <w:bookmarkEnd w:id="49"/>
    </w:p>
    <w:tbl>
      <w:tblPr>
        <w:tblW w:w="5880" w:type="dxa"/>
        <w:jc w:val="left"/>
        <w:tblInd w:w="0" w:type="dxa"/>
        <w:tblLayout w:type="fixed"/>
        <w:tblCellMar>
          <w:top w:w="0" w:type="dxa"/>
          <w:left w:w="0" w:type="dxa"/>
          <w:bottom w:w="0" w:type="dxa"/>
          <w:right w:w="0" w:type="dxa"/>
        </w:tblCellMar>
      </w:tblPr>
      <w:tblGrid>
        <w:gridCol w:w="1850"/>
        <w:gridCol w:w="60"/>
        <w:gridCol w:w="127"/>
        <w:gridCol w:w="706"/>
        <w:gridCol w:w="61"/>
        <w:gridCol w:w="61"/>
        <w:gridCol w:w="127"/>
        <w:gridCol w:w="708"/>
        <w:gridCol w:w="60"/>
        <w:gridCol w:w="60"/>
        <w:gridCol w:w="79"/>
        <w:gridCol w:w="586"/>
        <w:gridCol w:w="245"/>
        <w:gridCol w:w="60"/>
        <w:gridCol w:w="99"/>
        <w:gridCol w:w="731"/>
        <w:gridCol w:w="260"/>
      </w:tblGrid>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0" w:type="dxa"/>
            <w:gridSpan w:val="6"/>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Constant-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Currency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Change</w:t>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0" w:type="dxa"/>
            <w:gridSpan w:val="6"/>
            <w:vMerge w:val="continue"/>
            <w:tcBorders>
              <w:bottom w:val="single" w:sz="12" w:space="0" w:color="000000"/>
            </w:tcBorders>
            <w:tcMar>
              <w:bottom w:w="28" w:type="dxa"/>
            </w:tcMar>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continue"/>
            <w:tcBorders>
              <w:bottom w:val="single" w:sz="12" w:space="0" w:color="000000"/>
            </w:tcBorders>
            <w:tcMar>
              <w:bottom w:w="28" w:type="dxa"/>
            </w:tcMar>
            <w:vAlign w:val="bottom"/>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Change</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continue"/>
            <w:tcBorders>
              <w:bottom w:val="single" w:sz="12" w:space="0" w:color="000000"/>
            </w:tcBorders>
            <w:tcMar>
              <w:bottom w:w="28" w:type="dxa"/>
            </w:tcMar>
            <w:vAlign w:val="bottom"/>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33"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Americas</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59,763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45,956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53,224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43,257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(16.3</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38,143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32,317</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Hong Kong/Taiwan</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26,074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25,620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(24.8</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Nu Skin Other</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(81.5</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Nu Skin</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271,209</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Rhyz</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Manufacturing</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46,369</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Rhyz Other</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Rhyz</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48,903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320,112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(16.1</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sets forth revenue for the six-month periods ended June 30, 2026, and 2025 for each of our reportable segments (U.S.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0" w:name="z05fbdde2d9fb4181a3d7465c33f56260"/>
      <w:bookmarkStart w:id="51" w:name="z05fbdde2d9fb4181a3d7465c33f56260"/>
      <w:bookmarkEnd w:id="51"/>
    </w:p>
    <w:tbl>
      <w:tblPr>
        <w:tblW w:w="5870" w:type="dxa"/>
        <w:jc w:val="left"/>
        <w:tblInd w:w="0" w:type="dxa"/>
        <w:tblLayout w:type="fixed"/>
        <w:tblCellMar>
          <w:top w:w="0" w:type="dxa"/>
          <w:left w:w="0" w:type="dxa"/>
          <w:bottom w:w="0" w:type="dxa"/>
          <w:right w:w="0" w:type="dxa"/>
        </w:tblCellMar>
      </w:tblPr>
      <w:tblGrid>
        <w:gridCol w:w="1850"/>
        <w:gridCol w:w="60"/>
        <w:gridCol w:w="125"/>
        <w:gridCol w:w="695"/>
        <w:gridCol w:w="80"/>
        <w:gridCol w:w="60"/>
        <w:gridCol w:w="125"/>
        <w:gridCol w:w="695"/>
        <w:gridCol w:w="60"/>
        <w:gridCol w:w="60"/>
        <w:gridCol w:w="65"/>
        <w:gridCol w:w="600"/>
        <w:gridCol w:w="245"/>
        <w:gridCol w:w="60"/>
        <w:gridCol w:w="82"/>
        <w:gridCol w:w="748"/>
        <w:gridCol w:w="260"/>
      </w:tblGrid>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Constant-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Currency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Change</w:t>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vMerge w:val="continue"/>
            <w:tcBorders>
              <w:bottom w:val="single" w:sz="12" w:space="0" w:color="000000"/>
            </w:tcBorders>
            <w:tcMar>
              <w:bottom w:w="28" w:type="dxa"/>
            </w:tcMar>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continue"/>
            <w:tcBorders>
              <w:bottom w:val="single" w:sz="12" w:space="0" w:color="000000"/>
            </w:tcBorders>
            <w:tcMar>
              <w:bottom w:w="28" w:type="dxa"/>
            </w:tcMar>
            <w:vAlign w:val="bottom"/>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Change</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vMerge w:val="continue"/>
            <w:tcBorders>
              <w:bottom w:val="single" w:sz="12" w:space="0" w:color="000000"/>
            </w:tcBorders>
            <w:tcMar>
              <w:bottom w:w="28" w:type="dxa"/>
            </w:tcMar>
            <w:vAlign w:val="bottom"/>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Nu Skin</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Americas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117,581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91,104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88,731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103,006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77,882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(10.8</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Hong Kong/Taiwan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55,974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50,949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66,583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Nu Skin Other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(116.2</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(116.2</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Nu Skin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543,158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Rhyz</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Manufacturing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91,294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Rhyz Other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Total Rhyz</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640,720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750,628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6</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tables provide information concerning the number of Customers, Paid Affiliates and Sales Leaders in our core Nu Skin business for the three-month periods ended June 30, 2026 and 2025.</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52" w:name="z8f8a3c061dbe4c329f724ae1bb0f7516"/>
      <w:bookmarkStart w:id="53" w:name="z8f8a3c061dbe4c329f724ae1bb0f7516"/>
      <w:bookmarkEnd w:id="53"/>
    </w:p>
    <w:tbl>
      <w:tblPr>
        <w:tblW w:w="4741" w:type="dxa"/>
        <w:jc w:val="left"/>
        <w:tblInd w:w="0" w:type="dxa"/>
        <w:tblLayout w:type="fixed"/>
        <w:tblCellMar>
          <w:top w:w="0" w:type="dxa"/>
          <w:left w:w="0" w:type="dxa"/>
          <w:bottom w:w="0" w:type="dxa"/>
          <w:right w:w="0" w:type="dxa"/>
        </w:tblCellMar>
      </w:tblPr>
      <w:tblGrid>
        <w:gridCol w:w="1850"/>
        <w:gridCol w:w="60"/>
        <w:gridCol w:w="65"/>
        <w:gridCol w:w="763"/>
        <w:gridCol w:w="65"/>
        <w:gridCol w:w="65"/>
        <w:gridCol w:w="65"/>
        <w:gridCol w:w="763"/>
        <w:gridCol w:w="60"/>
        <w:gridCol w:w="60"/>
        <w:gridCol w:w="114"/>
        <w:gridCol w:w="551"/>
        <w:gridCol w:w="260"/>
      </w:tblGrid>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Change</w:t>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vMerge w:val="continue"/>
            <w:tcBorders>
              <w:bottom w:val="single" w:sz="12" w:space="0" w:color="000000"/>
            </w:tcBorders>
            <w:tcMar>
              <w:bottom w:w="28" w:type="dxa"/>
            </w:tcMar>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vMerge w:val="continue"/>
            <w:tcBorders>
              <w:bottom w:val="single" w:sz="12" w:space="0" w:color="000000"/>
            </w:tcBorders>
            <w:tcMar>
              <w:bottom w:w="28" w:type="dxa"/>
            </w:tcMar>
            <w:vAlign w:val="center"/>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vMerge w:val="continue"/>
            <w:tcBorders>
              <w:bottom w:val="single" w:sz="12" w:space="0" w:color="000000"/>
            </w:tcBorders>
            <w:tcMar>
              <w:bottom w:w="28" w:type="dxa"/>
            </w:tcMar>
            <w:vAlign w:val="center"/>
          </w:tcPr>
          <w:p>
            <w:pPr>
              <w:pStyle w:val="Normal"/>
              <w:bidi w:val="0"/>
              <w:jc w:val="left"/>
              <w:rPr/>
            </w:pPr>
            <w:r>
              <w:rPr/>
            </w:r>
          </w:p>
        </w:tc>
        <w:tc>
          <w:tcPr>
            <w:tcW w:w="260" w:type="dxa"/>
            <w:tcBorders/>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Customers</w:t>
            </w:r>
          </w:p>
        </w:tc>
        <w:tc>
          <w:tcPr>
            <w:tcW w:w="60" w:type="dxa"/>
            <w:tcBorders/>
            <w:vAlign w:val="bottom"/>
          </w:tcPr>
          <w:p>
            <w:pPr>
              <w:pStyle w:val="TableContents"/>
              <w:bidi w:val="0"/>
              <w:spacing w:before="0" w:after="283"/>
              <w:jc w:val="left"/>
              <w:rPr/>
            </w:pPr>
            <w:r>
              <w:rPr/>
              <w:t> </w:t>
            </w:r>
          </w:p>
        </w:tc>
        <w:tc>
          <w:tcPr>
            <w:tcW w:w="828"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183,757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103,891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69,354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100,849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111,332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36,549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54,305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504" w:right="0" w:hanging="144"/>
              <w:jc w:val="left"/>
              <w:rPr>
                <w:rFonts w:ascii="Times New Roman" w:hAnsi="Times New Roman"/>
                <w:b/>
                <w:color w:val="000000"/>
                <w:sz w:val="20"/>
              </w:rPr>
            </w:pPr>
            <w:r>
              <w:rPr>
                <w:rFonts w:ascii="Times New Roman" w:hAnsi="Times New Roman"/>
                <w:b/>
                <w:color w:val="000000"/>
                <w:sz w:val="20"/>
              </w:rPr>
              <w:t>Total Customers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660,037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771,407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Paid Affiliates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Americas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27,337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28,827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17,677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19,018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Europe &amp; Africa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13,307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9,390</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14,826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16,986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504" w:right="0" w:hanging="144"/>
              <w:jc w:val="left"/>
              <w:rPr>
                <w:rFonts w:ascii="Times New Roman" w:hAnsi="Times New Roman"/>
                <w:b/>
                <w:color w:val="000000"/>
                <w:sz w:val="20"/>
              </w:rPr>
            </w:pPr>
            <w:r>
              <w:rPr>
                <w:rFonts w:ascii="Times New Roman" w:hAnsi="Times New Roman"/>
                <w:b/>
                <w:color w:val="000000"/>
                <w:sz w:val="20"/>
              </w:rPr>
              <w:t>Total Paid Affiliates</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120,291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Sales Leaders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Americas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Mainland China</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5,899</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Southeast Asia/Pacific</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Japan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Europe &amp; Africa</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Hong Kong/Taiwan</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South Korea</w:t>
            </w:r>
          </w:p>
        </w:tc>
        <w:tc>
          <w:tcPr>
            <w:tcW w:w="60"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850" w:type="dxa"/>
            <w:tcBorders/>
            <w:vAlign w:val="bottom"/>
          </w:tcPr>
          <w:p>
            <w:pPr>
              <w:pStyle w:val="TableContents"/>
              <w:bidi w:val="0"/>
              <w:spacing w:before="0" w:after="0"/>
              <w:ind w:left="504" w:right="0" w:hanging="144"/>
              <w:jc w:val="left"/>
              <w:rPr>
                <w:rFonts w:ascii="Times New Roman" w:hAnsi="Times New Roman"/>
                <w:b/>
                <w:color w:val="000000"/>
                <w:sz w:val="20"/>
              </w:rPr>
            </w:pPr>
            <w:r>
              <w:rPr>
                <w:rFonts w:ascii="Times New Roman" w:hAnsi="Times New Roman"/>
                <w:b/>
                <w:color w:val="000000"/>
                <w:sz w:val="20"/>
              </w:rPr>
              <w:t>Total Sales Leaders</w:t>
            </w:r>
          </w:p>
        </w:tc>
        <w:tc>
          <w:tcPr>
            <w:tcW w:w="60"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26,998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0cb85b959cf24a6e834234c2ac932631"/>
      <w:bookmarkStart w:id="55" w:name="z0cb85b959cf24a6e834234c2ac932631"/>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rFonts w:ascii="Times New Roman" w:hAnsi="Times New Roman"/>
                <w:sz w:val="20"/>
              </w:rPr>
              <w:t>Customers” are persons who have purchased directly from the Company during the three months ended as of the date indicated. Our Customer numbers include members of our salesforce who made such a purchase, including Paid Affiliates and those who qualify as Sales Leaders, but they do not include consumers who purchase directly from members of our sales force.</w:t>
            </w:r>
          </w:p>
        </w:tc>
      </w:tr>
    </w:tbl>
    <w:p>
      <w:pPr>
        <w:pStyle w:val="Normal"/>
        <w:bidi w:val="0"/>
        <w:spacing w:before="0" w:after="0"/>
        <w:jc w:val="left"/>
        <w:rPr>
          <w:sz w:val="4"/>
          <w:szCs w:val="4"/>
        </w:rPr>
      </w:pPr>
      <w:r>
        <w:rPr>
          <w:sz w:val="4"/>
          <w:szCs w:val="4"/>
        </w:rPr>
      </w:r>
      <w:bookmarkStart w:id="56" w:name="zb46805043ef04a8a977956ad69b80512"/>
      <w:bookmarkStart w:id="57" w:name="zb46805043ef04a8a977956ad69b80512"/>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rFonts w:ascii="Times New Roman" w:hAnsi="Times New Roman"/>
                <w:sz w:val="20"/>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Normal"/>
        <w:bidi w:val="0"/>
        <w:spacing w:before="0" w:after="0"/>
        <w:jc w:val="left"/>
        <w:rPr>
          <w:sz w:val="4"/>
          <w:szCs w:val="4"/>
        </w:rPr>
      </w:pPr>
      <w:r>
        <w:rPr>
          <w:sz w:val="4"/>
          <w:szCs w:val="4"/>
        </w:rPr>
      </w:r>
      <w:bookmarkStart w:id="58" w:name="ze06aa2c376cd4b81bdb0cca4bb615a89"/>
      <w:bookmarkStart w:id="59" w:name="ze06aa2c376cd4b81bdb0cca4bb615a89"/>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t>
            </w:r>
            <w:r>
              <w:rPr>
                <w:rFonts w:ascii="Times New Roman" w:hAnsi="Times New Roman"/>
                <w:sz w:val="20"/>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7</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Statements of Income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(U.S. dollars in thousands, except per share amounts)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0" w:name="z2abc937f5a7b4bce9d4d2a3ee19425df"/>
      <w:bookmarkStart w:id="61" w:name="z2abc937f5a7b4bce9d4d2a3ee19425df"/>
      <w:bookmarkEnd w:id="61"/>
    </w:p>
    <w:tbl>
      <w:tblPr>
        <w:tblW w:w="8420" w:type="dxa"/>
        <w:jc w:val="left"/>
        <w:tblInd w:w="0" w:type="dxa"/>
        <w:tblLayout w:type="fixed"/>
        <w:tblCellMar>
          <w:top w:w="0" w:type="dxa"/>
          <w:left w:w="0" w:type="dxa"/>
          <w:bottom w:w="0" w:type="dxa"/>
          <w:right w:w="0" w:type="dxa"/>
        </w:tblCellMar>
      </w:tblPr>
      <w:tblGrid>
        <w:gridCol w:w="4445"/>
        <w:gridCol w:w="60"/>
        <w:gridCol w:w="125"/>
        <w:gridCol w:w="755"/>
        <w:gridCol w:w="80"/>
        <w:gridCol w:w="60"/>
        <w:gridCol w:w="125"/>
        <w:gridCol w:w="695"/>
        <w:gridCol w:w="80"/>
        <w:gridCol w:w="60"/>
        <w:gridCol w:w="125"/>
        <w:gridCol w:w="755"/>
        <w:gridCol w:w="80"/>
        <w:gridCol w:w="60"/>
        <w:gridCol w:w="125"/>
        <w:gridCol w:w="695"/>
        <w:gridCol w:w="95"/>
      </w:tblGrid>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9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vMerge w:val="continue"/>
            <w:tcBorders>
              <w:bottom w:val="single" w:sz="12" w:space="0" w:color="000000"/>
            </w:tcBorders>
            <w:tcMar>
              <w:bottom w:w="28" w:type="dxa"/>
            </w:tcMar>
            <w:vAlign w:val="bottom"/>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vMerge w:val="continue"/>
            <w:tcBorders>
              <w:bottom w:val="single" w:sz="12" w:space="0" w:color="000000"/>
            </w:tcBorders>
            <w:tcMar>
              <w:bottom w:w="28" w:type="dxa"/>
            </w:tcMar>
            <w:vAlign w:val="bottom"/>
          </w:tcPr>
          <w:p>
            <w:pPr>
              <w:pStyle w:val="Normal"/>
              <w:bidi w:val="0"/>
              <w:jc w:val="left"/>
              <w:rPr/>
            </w:pPr>
            <w:r>
              <w:rPr/>
            </w:r>
          </w:p>
        </w:tc>
        <w:tc>
          <w:tcPr>
            <w:tcW w:w="95" w:type="dxa"/>
            <w:tcBorders/>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640,720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750,628</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sales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207,932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237,934</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218,325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265,733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432,788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512,694</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Selling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107,922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128,228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217,976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246,774</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General and administrative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90,847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106,725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189,391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219,929</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Impairment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25,114</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277,644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234,953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488,081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491,817</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(55,293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20,877</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5,809</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Gain on sale of business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176,162</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income (expense), net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(29,218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4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(60,576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162,012</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186,623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33,378</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(249,798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(247,962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share (Note 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shares outstanding (000s):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44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49,601</w:t>
            </w:r>
          </w:p>
        </w:tc>
        <w:tc>
          <w:tcPr>
            <w:tcW w:w="95" w:type="dxa"/>
            <w:tcBorders/>
            <w:vAlign w:val="bottom"/>
          </w:tcPr>
          <w:p>
            <w:pPr>
              <w:pStyle w:val="TableContents"/>
              <w:bidi w:val="0"/>
              <w:spacing w:before="0" w:after="283"/>
              <w:jc w:val="left"/>
              <w:rPr/>
            </w:pPr>
            <w:r>
              <w:rPr/>
              <w:t> </w:t>
            </w:r>
          </w:p>
        </w:tc>
      </w:tr>
      <w:tr>
        <w:trPr/>
        <w:tc>
          <w:tcPr>
            <w:tcW w:w="444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Diluted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49,748</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8</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Balance Sheets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(U.S. dollars in thousands)</w:t>
      </w:r>
    </w:p>
    <w:p>
      <w:pPr>
        <w:pStyle w:val="TextBody"/>
        <w:bidi w:val="0"/>
        <w:spacing w:before="0" w:after="0"/>
        <w:jc w:val="center"/>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2" w:name="ze5681218ef634662bef0cda0bea9ea72"/>
      <w:bookmarkStart w:id="63" w:name="ze5681218ef634662bef0cda0bea9ea72"/>
      <w:bookmarkEnd w:id="63"/>
    </w:p>
    <w:tbl>
      <w:tblPr>
        <w:tblW w:w="10205" w:type="dxa"/>
        <w:jc w:val="left"/>
        <w:tblInd w:w="0" w:type="dxa"/>
        <w:tblLayout w:type="fixed"/>
        <w:tblCellMar>
          <w:top w:w="0" w:type="dxa"/>
          <w:left w:w="0" w:type="dxa"/>
          <w:bottom w:w="0" w:type="dxa"/>
          <w:right w:w="0" w:type="dxa"/>
        </w:tblCellMar>
      </w:tblPr>
      <w:tblGrid>
        <w:gridCol w:w="7705"/>
        <w:gridCol w:w="60"/>
        <w:gridCol w:w="125"/>
        <w:gridCol w:w="905"/>
        <w:gridCol w:w="80"/>
        <w:gridCol w:w="60"/>
        <w:gridCol w:w="142"/>
        <w:gridCol w:w="1033"/>
        <w:gridCol w:w="95"/>
      </w:tblGrid>
      <w:tr>
        <w:trPr/>
        <w:tc>
          <w:tcPr>
            <w:tcW w:w="7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vMerge w:val="restart"/>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vMerge w:val="continue"/>
            <w:tcBorders>
              <w:bottom w:val="single" w:sz="12" w:space="0" w:color="000000"/>
            </w:tcBorders>
            <w:tcMar>
              <w:bottom w:w="28" w:type="dxa"/>
            </w:tcMar>
            <w:vAlign w:val="bottom"/>
          </w:tcPr>
          <w:p>
            <w:pPr>
              <w:pStyle w:val="Normal"/>
              <w:bidi w:val="0"/>
              <w:jc w:val="left"/>
              <w:rPr/>
            </w:pPr>
            <w:r>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vMerge w:val="continue"/>
            <w:tcBorders>
              <w:bottom w:val="single" w:sz="12" w:space="0" w:color="000000"/>
            </w:tcBorders>
            <w:tcMar>
              <w:bottom w:w="28" w:type="dxa"/>
            </w:tcMar>
            <w:vAlign w:val="bottom"/>
          </w:tcPr>
          <w:p>
            <w:pPr>
              <w:pStyle w:val="Normal"/>
              <w:bidi w:val="0"/>
              <w:jc w:val="left"/>
              <w:rPr/>
            </w:pPr>
            <w:r>
              <w:rPr/>
            </w:r>
          </w:p>
        </w:tc>
        <w:tc>
          <w:tcPr>
            <w:tcW w:w="95" w:type="dxa"/>
            <w:tcBorders/>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189,643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238,630</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Current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receivable,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39,544</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Inventories,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191,497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178,643</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Prepaid expenses and 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76,364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89,670</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508,149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547,698</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379,550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377,168</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65,442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74,021</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83,625</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intangible assets,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37,884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42,614</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125,755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280,187</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1,121,530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1,405,313</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37,711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26,183</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Accrued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198,636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217,551</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20,000</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256,347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263,734</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50,075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57,640</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193,664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204,187</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78,705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74,512</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578,791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600,073</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Commitments and contingencies (Notes 6 and 12)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Class A common stock – 500 million shares authorized, $0.001 par value, 90.6 million shares issued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612,412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635,994</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Treasury stock, at cost – 41.9 million and 42.4 million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(1,558,183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(1,575,059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0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(118,152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(116,105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0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1,606,571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1,860,319</w:t>
            </w:r>
          </w:p>
        </w:tc>
        <w:tc>
          <w:tcPr>
            <w:tcW w:w="95" w:type="dxa"/>
            <w:tcBorders/>
            <w:vAlign w:val="bottom"/>
          </w:tcPr>
          <w:p>
            <w:pPr>
              <w:pStyle w:val="TableContents"/>
              <w:bidi w:val="0"/>
              <w:spacing w:before="0" w:after="283"/>
              <w:jc w:val="left"/>
              <w:rPr/>
            </w:pPr>
            <w:r>
              <w:rPr/>
              <w:t> </w:t>
            </w:r>
          </w:p>
        </w:tc>
      </w:tr>
      <w:tr>
        <w:trPr/>
        <w:tc>
          <w:tcPr>
            <w:tcW w:w="770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542,739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805,240</w:t>
            </w:r>
          </w:p>
        </w:tc>
        <w:tc>
          <w:tcPr>
            <w:tcW w:w="95" w:type="dxa"/>
            <w:tcBorders/>
            <w:shd w:fill="CCEEFF" w:val="clear"/>
            <w:vAlign w:val="bottom"/>
          </w:tcPr>
          <w:p>
            <w:pPr>
              <w:pStyle w:val="TableContents"/>
              <w:bidi w:val="0"/>
              <w:spacing w:before="0" w:after="283"/>
              <w:jc w:val="left"/>
              <w:rPr/>
            </w:pPr>
            <w:r>
              <w:rPr/>
              <w:t> </w:t>
            </w:r>
          </w:p>
        </w:tc>
      </w:tr>
      <w:tr>
        <w:trPr/>
        <w:tc>
          <w:tcPr>
            <w:tcW w:w="770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1,121,530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1,405,313</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175" w:type="dxa"/>
        <w:jc w:val="left"/>
        <w:tblInd w:w="0" w:type="dxa"/>
        <w:tblLayout w:type="fixed"/>
        <w:tblCellMar>
          <w:top w:w="0" w:type="dxa"/>
          <w:left w:w="0" w:type="dxa"/>
          <w:bottom w:w="0" w:type="dxa"/>
          <w:right w:w="0" w:type="dxa"/>
        </w:tblCellMar>
      </w:tblPr>
      <w:tblGrid>
        <w:gridCol w:w="5600"/>
        <w:gridCol w:w="575"/>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575"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9</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Operating Margin Excluding Certain Charges to GAAP Operating Margin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for per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64" w:name="z46a0b966771d4c43a7850dc69ff82474"/>
      <w:bookmarkStart w:id="65" w:name="z46a0b966771d4c43a7850dc69ff82474"/>
      <w:bookmarkEnd w:id="65"/>
    </w:p>
    <w:tbl>
      <w:tblPr>
        <w:tblW w:w="8030" w:type="dxa"/>
        <w:jc w:val="left"/>
        <w:tblInd w:w="0" w:type="dxa"/>
        <w:tblLayout w:type="fixed"/>
        <w:tblCellMar>
          <w:top w:w="0" w:type="dxa"/>
          <w:left w:w="0" w:type="dxa"/>
          <w:bottom w:w="0" w:type="dxa"/>
          <w:right w:w="0" w:type="dxa"/>
        </w:tblCellMar>
      </w:tblPr>
      <w:tblGrid>
        <w:gridCol w:w="3635"/>
        <w:gridCol w:w="60"/>
        <w:gridCol w:w="125"/>
        <w:gridCol w:w="695"/>
        <w:gridCol w:w="245"/>
        <w:gridCol w:w="60"/>
        <w:gridCol w:w="125"/>
        <w:gridCol w:w="695"/>
        <w:gridCol w:w="185"/>
        <w:gridCol w:w="60"/>
        <w:gridCol w:w="125"/>
        <w:gridCol w:w="695"/>
        <w:gridCol w:w="245"/>
        <w:gridCol w:w="60"/>
        <w:gridCol w:w="125"/>
        <w:gridCol w:w="695"/>
        <w:gridCol w:w="200"/>
      </w:tblGrid>
      <w:tr>
        <w:trPr/>
        <w:tc>
          <w:tcPr>
            <w:tcW w:w="3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200" w:type="dxa"/>
            <w:tcBorders/>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(59,319</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(55,293</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20,877</w:t>
            </w:r>
          </w:p>
        </w:tc>
        <w:tc>
          <w:tcPr>
            <w:tcW w:w="200" w:type="dxa"/>
            <w:tcBorders/>
            <w:shd w:fill="CCEEFF" w:val="clear"/>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inventory write-off</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0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Impact of other charges(1)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7,966</w:t>
            </w:r>
          </w:p>
        </w:tc>
        <w:tc>
          <w:tcPr>
            <w:tcW w:w="200" w:type="dxa"/>
            <w:tcBorders/>
            <w:shd w:fill="CCEEFF" w:val="clear"/>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impairment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80,714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25,114</w:t>
            </w:r>
          </w:p>
        </w:tc>
        <w:tc>
          <w:tcPr>
            <w:tcW w:w="20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operating income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19,556</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30,780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31,180</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53,957</w:t>
            </w:r>
          </w:p>
        </w:tc>
        <w:tc>
          <w:tcPr>
            <w:tcW w:w="200" w:type="dxa"/>
            <w:tcBorders/>
            <w:shd w:fill="CCEEFF" w:val="clear"/>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6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margin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6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margin, excluding certain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6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320,112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386,138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640,720</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750,628</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Other charges for the first quarter of 2026 consist of $1.0 million related to the wind down of the separate BeautyBio business and $1.6 million of other employee severance charges. Other charges for the first quarter of 2025 consist of expenses incurred in connection with the Mavely sale, including $2.7 million of transaction bonuses for certain employees and $5.2 million of equity compensation as a result of the vesting of the Mavely profits interest units.</w:t>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280" w:type="dxa"/>
        <w:jc w:val="left"/>
        <w:tblInd w:w="0" w:type="dxa"/>
        <w:tblLayout w:type="fixed"/>
        <w:tblCellMar>
          <w:top w:w="0" w:type="dxa"/>
          <w:left w:w="0" w:type="dxa"/>
          <w:bottom w:w="0" w:type="dxa"/>
          <w:right w:w="0" w:type="dxa"/>
        </w:tblCellMar>
      </w:tblPr>
      <w:tblGrid>
        <w:gridCol w:w="5600"/>
        <w:gridCol w:w="680"/>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680"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10</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Effective Tax Rate Excluding Impact of Certain Charges to GAAP Effective Tax Rate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for per share amounts)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6" w:name="z2141eca312564ad39fefe5eecf881919"/>
      <w:bookmarkStart w:id="67" w:name="z2141eca312564ad39fefe5eecf881919"/>
      <w:bookmarkEnd w:id="67"/>
    </w:p>
    <w:tbl>
      <w:tblPr>
        <w:tblW w:w="10205" w:type="dxa"/>
        <w:jc w:val="left"/>
        <w:tblInd w:w="0" w:type="dxa"/>
        <w:tblLayout w:type="fixed"/>
        <w:tblCellMar>
          <w:top w:w="0" w:type="dxa"/>
          <w:left w:w="0" w:type="dxa"/>
          <w:bottom w:w="0" w:type="dxa"/>
          <w:right w:w="0" w:type="dxa"/>
        </w:tblCellMar>
      </w:tblPr>
      <w:tblGrid>
        <w:gridCol w:w="5735"/>
        <w:gridCol w:w="60"/>
        <w:gridCol w:w="125"/>
        <w:gridCol w:w="755"/>
        <w:gridCol w:w="245"/>
        <w:gridCol w:w="60"/>
        <w:gridCol w:w="125"/>
        <w:gridCol w:w="590"/>
        <w:gridCol w:w="185"/>
        <w:gridCol w:w="60"/>
        <w:gridCol w:w="125"/>
        <w:gridCol w:w="755"/>
        <w:gridCol w:w="245"/>
        <w:gridCol w:w="60"/>
        <w:gridCol w:w="125"/>
        <w:gridCol w:w="755"/>
        <w:gridCol w:w="200"/>
      </w:tblGrid>
      <w:tr>
        <w:trPr/>
        <w:tc>
          <w:tcPr>
            <w:tcW w:w="57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200" w:type="dxa"/>
            <w:tcBorders/>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Provision (benefit)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186,623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187,386</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33,378</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inventory write-off on 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Impact of other charges(1) on provision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impairment on 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(13,370</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(12,741</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5,433</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gain on Mavely sale on provision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(31,104</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gain on unrealized investment loss on 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6,074</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valuation allowance on deferred tax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(167,505</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(167,505</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Provision for income taxes, excluding impact of certain charges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5,748</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6,292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9,108</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14,506</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before provision for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(63,175</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27,411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(60,576</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162,012</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inventory write-off</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3,116</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Impact of other charges(1)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7,966</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impairment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80,714</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25,114</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gain on Mavely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(176,162</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unrealized investment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28,077</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before provision for income taxes, excluding impact certain charges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15,700</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27,411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25,897</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47,007</w:t>
            </w:r>
          </w:p>
        </w:tc>
        <w:tc>
          <w:tcPr>
            <w:tcW w:w="20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Effective tax rate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(295.4</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(309.3</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w:t>
            </w:r>
          </w:p>
        </w:tc>
        <w:tc>
          <w:tcPr>
            <w:tcW w:w="2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Effective tax rate, excluding impact of certain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30.9</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280" w:type="dxa"/>
        <w:jc w:val="left"/>
        <w:tblInd w:w="0" w:type="dxa"/>
        <w:tblLayout w:type="fixed"/>
        <w:tblCellMar>
          <w:top w:w="0" w:type="dxa"/>
          <w:left w:w="0" w:type="dxa"/>
          <w:bottom w:w="0" w:type="dxa"/>
          <w:right w:w="0" w:type="dxa"/>
        </w:tblCellMar>
      </w:tblPr>
      <w:tblGrid>
        <w:gridCol w:w="5600"/>
        <w:gridCol w:w="680"/>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680"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11</w:t>
            </w:r>
          </w:p>
        </w:tc>
      </w:tr>
    </w:tbl>
    <w:p>
      <w:pPr>
        <w:pStyle w:val="TextBody"/>
        <w:bidi w:val="0"/>
        <w:spacing w:before="0" w:after="0"/>
        <w:jc w:val="center"/>
        <w:rPr>
          <w:rFonts w:ascii="Times New Roman" w:hAnsi="Times New Roman"/>
          <w:color w:val="000000"/>
          <w:sz w:val="20"/>
        </w:rPr>
      </w:pPr>
      <w:r>
        <w:rPr>
          <w:rFonts w:ascii="Times New Roman" w:hAnsi="Times New Roman"/>
          <w:b/>
          <w:color w:val="000000"/>
          <w:sz w:val="20"/>
        </w:rPr>
        <w:t>NU SKIN ENTERPRISES, INC. </w:t>
      </w:r>
      <w:r>
        <w:rPr>
          <w:rFonts w:ascii="Times New Roman" w:hAnsi="Times New Roman"/>
          <w:color w:val="000000"/>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Reconciliation of Earnings Per Share Excluding Impact of Certain Charges to GAAP Earnings Per Share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for per share amounts)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Normal"/>
        <w:bidi w:val="0"/>
        <w:spacing w:before="0" w:after="0"/>
        <w:jc w:val="left"/>
        <w:rPr>
          <w:sz w:val="4"/>
          <w:szCs w:val="4"/>
        </w:rPr>
      </w:pPr>
      <w:r>
        <w:rPr>
          <w:sz w:val="4"/>
          <w:szCs w:val="4"/>
        </w:rPr>
      </w:r>
      <w:bookmarkStart w:id="68" w:name="z47b7a9b3cb404fb5851a6be1b3d7259d"/>
      <w:bookmarkStart w:id="69" w:name="z47b7a9b3cb404fb5851a6be1b3d7259d"/>
      <w:bookmarkEnd w:id="69"/>
    </w:p>
    <w:tbl>
      <w:tblPr>
        <w:tblW w:w="9045" w:type="dxa"/>
        <w:jc w:val="left"/>
        <w:tblInd w:w="0" w:type="dxa"/>
        <w:tblLayout w:type="fixed"/>
        <w:tblCellMar>
          <w:top w:w="0" w:type="dxa"/>
          <w:left w:w="0" w:type="dxa"/>
          <w:bottom w:w="0" w:type="dxa"/>
          <w:right w:w="0" w:type="dxa"/>
        </w:tblCellMar>
      </w:tblPr>
      <w:tblGrid>
        <w:gridCol w:w="5135"/>
        <w:gridCol w:w="60"/>
        <w:gridCol w:w="125"/>
        <w:gridCol w:w="755"/>
        <w:gridCol w:w="80"/>
        <w:gridCol w:w="60"/>
        <w:gridCol w:w="125"/>
        <w:gridCol w:w="590"/>
        <w:gridCol w:w="60"/>
        <w:gridCol w:w="60"/>
        <w:gridCol w:w="125"/>
        <w:gridCol w:w="755"/>
        <w:gridCol w:w="80"/>
        <w:gridCol w:w="60"/>
        <w:gridCol w:w="125"/>
        <w:gridCol w:w="755"/>
        <w:gridCol w:w="95"/>
      </w:tblGrid>
      <w:tr>
        <w:trPr/>
        <w:tc>
          <w:tcPr>
            <w:tcW w:w="5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95" w:type="dxa"/>
            <w:tcBorders/>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(249,798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(247,962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128,634</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Inventory write-off</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Inventory write-off</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other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charges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7,966</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impairment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Impairment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25,114</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(5,433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Mavely sale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Mavely sale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(176,162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31,104</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unrealized investment loss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Unrealized investment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28,077</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(6,074</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valuation allowance on deferred tax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167,505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167,505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net income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32,501</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Diluted earnings per share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Diluted earnings per share, excluding impact of certain charges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0.65</w:t>
            </w:r>
          </w:p>
        </w:tc>
        <w:tc>
          <w:tcPr>
            <w:tcW w:w="95" w:type="dxa"/>
            <w:tcBorders/>
            <w:vAlign w:val="bottom"/>
          </w:tcPr>
          <w:p>
            <w:pPr>
              <w:pStyle w:val="TableContents"/>
              <w:bidi w:val="0"/>
              <w:spacing w:before="0" w:after="283"/>
              <w:jc w:val="left"/>
              <w:rPr/>
            </w:pPr>
            <w:r>
              <w:rPr/>
              <w:t> </w:t>
            </w:r>
          </w:p>
        </w:tc>
      </w:tr>
      <w:tr>
        <w:trPr/>
        <w:tc>
          <w:tcPr>
            <w:tcW w:w="5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1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common shares outstanding (000)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49,748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tbl>
      <w:tblPr>
        <w:tblW w:w="6280" w:type="dxa"/>
        <w:jc w:val="left"/>
        <w:tblInd w:w="0" w:type="dxa"/>
        <w:tblLayout w:type="fixed"/>
        <w:tblCellMar>
          <w:top w:w="0" w:type="dxa"/>
          <w:left w:w="0" w:type="dxa"/>
          <w:bottom w:w="0" w:type="dxa"/>
          <w:right w:w="0" w:type="dxa"/>
        </w:tblCellMar>
      </w:tblPr>
      <w:tblGrid>
        <w:gridCol w:w="5600"/>
        <w:gridCol w:w="680"/>
      </w:tblGrid>
      <w:tr>
        <w:trPr/>
        <w:tc>
          <w:tcPr>
            <w:tcW w:w="56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Nu Skin Enterprises Reports Second Quarter 2026 Financial Results</w:t>
            </w:r>
          </w:p>
        </w:tc>
        <w:tc>
          <w:tcPr>
            <w:tcW w:w="680" w:type="dxa"/>
            <w:tcBorders/>
            <w:vAlign w:val="center"/>
          </w:tcPr>
          <w:p>
            <w:pPr>
              <w:pStyle w:val="TableContents"/>
              <w:bidi w:val="0"/>
              <w:spacing w:before="0" w:after="0"/>
              <w:jc w:val="right"/>
              <w:rPr>
                <w:rFonts w:ascii="Times New Roman" w:hAnsi="Times New Roman"/>
                <w:i/>
                <w:sz w:val="20"/>
              </w:rPr>
            </w:pPr>
            <w:r>
              <w:rPr>
                <w:rFonts w:ascii="Times New Roman" w:hAnsi="Times New Roman"/>
                <w:i/>
                <w:sz w:val="20"/>
              </w:rPr>
              <w:t>page 12</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NU SKIN ENTERPRISES,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Earnings Per Share Excluding Impact of Certain Charges to GAAP Earnings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Normal"/>
        <w:bidi w:val="0"/>
        <w:spacing w:before="0" w:after="0"/>
        <w:jc w:val="left"/>
        <w:rPr>
          <w:sz w:val="4"/>
          <w:szCs w:val="4"/>
        </w:rPr>
      </w:pPr>
      <w:r>
        <w:rPr>
          <w:sz w:val="4"/>
          <w:szCs w:val="4"/>
        </w:rPr>
      </w:r>
      <w:bookmarkStart w:id="70" w:name="zc6a570a245114552bf8ede24ccc7ad74"/>
      <w:bookmarkStart w:id="71" w:name="zc6a570a245114552bf8ede24ccc7ad74"/>
      <w:bookmarkEnd w:id="71"/>
    </w:p>
    <w:tbl>
      <w:tblPr>
        <w:tblW w:w="8944" w:type="dxa"/>
        <w:jc w:val="left"/>
        <w:tblInd w:w="0" w:type="dxa"/>
        <w:tblLayout w:type="fixed"/>
        <w:tblCellMar>
          <w:top w:w="0" w:type="dxa"/>
          <w:left w:w="0" w:type="dxa"/>
          <w:bottom w:w="0" w:type="dxa"/>
          <w:right w:w="0" w:type="dxa"/>
        </w:tblCellMar>
      </w:tblPr>
      <w:tblGrid>
        <w:gridCol w:w="4265"/>
        <w:gridCol w:w="60"/>
        <w:gridCol w:w="170"/>
        <w:gridCol w:w="599"/>
        <w:gridCol w:w="108"/>
        <w:gridCol w:w="81"/>
        <w:gridCol w:w="173"/>
        <w:gridCol w:w="611"/>
        <w:gridCol w:w="80"/>
        <w:gridCol w:w="60"/>
        <w:gridCol w:w="260"/>
        <w:gridCol w:w="916"/>
        <w:gridCol w:w="166"/>
        <w:gridCol w:w="124"/>
        <w:gridCol w:w="260"/>
        <w:gridCol w:w="916"/>
        <w:gridCol w:w="95"/>
      </w:tblGrid>
      <w:tr>
        <w:trPr/>
        <w:tc>
          <w:tcPr>
            <w:tcW w:w="4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December 31, 2026</w:t>
            </w:r>
          </w:p>
        </w:tc>
        <w:tc>
          <w:tcPr>
            <w:tcW w:w="95" w:type="dxa"/>
            <w:tcBorders/>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Low end</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High end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Low end</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17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High end</w:t>
            </w:r>
          </w:p>
        </w:tc>
        <w:tc>
          <w:tcPr>
            <w:tcW w:w="9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Earnings Per Share</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(4.90</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inventory write-off</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Inventory write-off</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1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0.06</w:t>
            </w:r>
          </w:p>
        </w:tc>
        <w:tc>
          <w:tcPr>
            <w:tcW w:w="9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6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other charges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lineRule="auto" w:line="240" w:before="0" w:after="0"/>
              <w:ind w:left="180" w:right="0" w:hanging="0"/>
              <w:jc w:val="left"/>
              <w:rPr>
                <w:rFonts w:ascii="Times New Roman" w:hAnsi="Times New Roman"/>
                <w:color w:val="000000"/>
                <w:sz w:val="20"/>
              </w:rPr>
            </w:pPr>
            <w:r>
              <w:rPr>
                <w:rFonts w:ascii="Times New Roman" w:hAnsi="Times New Roman"/>
                <w:color w:val="000000"/>
                <w:sz w:val="20"/>
              </w:rPr>
              <w:t>Other charges(2)</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0.15</w:t>
            </w:r>
          </w:p>
        </w:tc>
        <w:tc>
          <w:tcPr>
            <w:tcW w:w="9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0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16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2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impairment: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Impairment charges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1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9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Tax impact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0.26</w:t>
            </w:r>
          </w:p>
        </w:tc>
        <w:tc>
          <w:tcPr>
            <w:tcW w:w="95" w:type="dxa"/>
            <w:tcBorders/>
            <w:vAlign w:val="bottom"/>
          </w:tcPr>
          <w:p>
            <w:pPr>
              <w:pStyle w:val="TableContents"/>
              <w:bidi w:val="0"/>
              <w:spacing w:before="0" w:after="283"/>
              <w:jc w:val="left"/>
              <w:rPr/>
            </w:pPr>
            <w:r>
              <w:rPr/>
              <w:t> </w:t>
            </w:r>
          </w:p>
        </w:tc>
      </w:tr>
      <w:tr>
        <w:trPr/>
        <w:tc>
          <w:tcPr>
            <w:tcW w:w="42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Impact of valuation allowance on deferred tax assets</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1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95" w:type="dxa"/>
            <w:tcBorders/>
            <w:shd w:fill="CCEEFF" w:val="clear"/>
            <w:vAlign w:val="bottom"/>
          </w:tcPr>
          <w:p>
            <w:pPr>
              <w:pStyle w:val="TableContents"/>
              <w:bidi w:val="0"/>
              <w:spacing w:before="0" w:after="283"/>
              <w:jc w:val="left"/>
              <w:rPr/>
            </w:pPr>
            <w:r>
              <w:rPr/>
              <w:t> </w:t>
            </w:r>
          </w:p>
        </w:tc>
      </w:tr>
      <w:tr>
        <w:trPr/>
        <w:tc>
          <w:tcPr>
            <w:tcW w:w="42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EPS</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0.10</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1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0.70</w:t>
            </w:r>
          </w:p>
        </w:tc>
        <w:tc>
          <w:tcPr>
            <w:tcW w:w="1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1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We are currently anticipating other charges for the third quarter of 2026 of approximately $5 million in cash-based transition cost. Other charges for the first quarter of 2026 consist of $1.0 million related to the wind down of the separate BeautyBio business and $1.6 million of other employee severance charges.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363636"/>
          <w:sz w:val="20"/>
        </w:rPr>
      </w:pPr>
      <w:r>
        <w:rPr>
          <w:rFonts w:ascii="Times New Roman" w:hAnsi="Times New Roman"/>
          <w:b/>
          <w:color w:val="363636"/>
          <w:sz w:val="20"/>
        </w:rPr>
        <w:t>CONTACTS:</w:t>
      </w:r>
    </w:p>
    <w:p>
      <w:pPr>
        <w:pStyle w:val="TextBody"/>
        <w:bidi w:val="0"/>
        <w:spacing w:before="0" w:after="0"/>
        <w:jc w:val="left"/>
        <w:rPr>
          <w:rFonts w:ascii="Times New Roman" w:hAnsi="Times New Roman"/>
          <w:color w:val="000000"/>
          <w:sz w:val="20"/>
        </w:rPr>
      </w:pPr>
      <w:r>
        <w:rPr>
          <w:rFonts w:ascii="Times New Roman" w:hAnsi="Times New Roman"/>
          <w:color w:val="363636"/>
          <w:sz w:val="20"/>
        </w:rPr>
        <w:t>Media:</w:t>
      </w:r>
      <w:r>
        <w:rPr>
          <w:rFonts w:ascii="Times New Roman" w:hAnsi="Times New Roman"/>
          <w:color w:val="363636"/>
          <w:sz w:val="20"/>
          <w:u w:val="single"/>
        </w:rPr>
        <w:t xml:space="preserve"> </w:t>
      </w:r>
      <w:r>
        <w:rPr>
          <w:rFonts w:ascii="Times New Roman" w:hAnsi="Times New Roman"/>
          <w:color w:val="000000"/>
          <w:sz w:val="20"/>
          <w:u w:val="single"/>
        </w:rPr>
        <w:t>media@nuskin.com</w:t>
      </w:r>
      <w:r>
        <w:rPr>
          <w:rFonts w:ascii="Times New Roman" w:hAnsi="Times New Roman"/>
          <w:color w:val="363636"/>
          <w:sz w:val="20"/>
        </w:rPr>
        <w:t>, (801) 345-6397</w:t>
      </w:r>
    </w:p>
    <w:p>
      <w:pPr>
        <w:pStyle w:val="TextBody"/>
        <w:bidi w:val="0"/>
        <w:spacing w:before="0" w:after="0"/>
        <w:jc w:val="left"/>
        <w:rPr>
          <w:rFonts w:ascii="Times New Roman" w:hAnsi="Times New Roman"/>
          <w:color w:val="000000"/>
          <w:sz w:val="20"/>
        </w:rPr>
      </w:pPr>
      <w:r>
        <w:rPr>
          <w:rFonts w:ascii="Times New Roman" w:hAnsi="Times New Roman"/>
          <w:color w:val="363636"/>
          <w:sz w:val="20"/>
        </w:rPr>
        <w:t xml:space="preserve">Investors: </w:t>
      </w:r>
      <w:r>
        <w:rPr>
          <w:rFonts w:ascii="Times New Roman" w:hAnsi="Times New Roman"/>
          <w:color w:val="000000"/>
          <w:sz w:val="20"/>
          <w:u w:val="single"/>
        </w:rPr>
        <w:t>investorrelations@nuskin.com</w:t>
      </w:r>
      <w:r>
        <w:rPr>
          <w:rFonts w:ascii="Times New Roman" w:hAnsi="Times New Roman"/>
          <w:color w:val="363636"/>
          <w:sz w:val="20"/>
        </w:rPr>
        <w:t>, (801) 345-3577</w:t>
      </w:r>
    </w:p>
    <w:p>
      <w:pPr>
        <w:pStyle w:val="TextBody"/>
        <w:bidi w:val="0"/>
        <w:spacing w:before="0" w:after="0"/>
        <w:jc w:val="left"/>
        <w:rPr>
          <w:rFonts w:ascii="Times New Roman" w:hAnsi="Times New Roman"/>
          <w:color w:val="363636"/>
          <w:sz w:val="20"/>
        </w:rPr>
      </w:pPr>
      <w:r>
        <w:rPr>
          <w:rFonts w:ascii="Times New Roman" w:hAnsi="Times New Roman"/>
          <w:color w:val="363636"/>
          <w:sz w:val="20"/>
        </w:rPr>
      </w:r>
    </w:p>
    <w:p>
      <w:pPr>
        <w:pStyle w:val="TextBody"/>
        <w:bidi w:val="0"/>
        <w:spacing w:before="0" w:after="0"/>
        <w:jc w:val="left"/>
        <w:rPr>
          <w:rFonts w:ascii="Times New Roman" w:hAnsi="Times New Roman"/>
          <w:color w:val="363636"/>
        </w:rPr>
      </w:pPr>
      <w:r>
        <w:rPr>
          <w:rFonts w:ascii="Times New Roman" w:hAnsi="Times New Roman"/>
          <w:color w:val="363636"/>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4003</Words>
  <Characters>21361</Characters>
  <CharactersWithSpaces>26415</CharactersWithSpaces>
  <Paragraphs>3302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